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3"/>
              </w:rPr>
              <w:t>Delaware</w:t>
            </w:r>
          </w:p>
        </w:tc>
        <w:tc>
          <w:tcPr>
            <w:tcW w:w="4560" w:type="dxa"/>
            <w:vAlign w:val="bottom"/>
          </w:tcPr>
          <w:p>
            <w:pPr>
              <w:jc w:val="right"/>
              <w:ind w:right="59"/>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2"/>
              </w:rPr>
              <w:t>(State or other jurisdiction of</w:t>
            </w:r>
          </w:p>
        </w:tc>
        <w:tc>
          <w:tcPr>
            <w:tcW w:w="4560" w:type="dxa"/>
            <w:vAlign w:val="bottom"/>
          </w:tcPr>
          <w:p>
            <w:pPr>
              <w:jc w:val="center"/>
              <w:ind w:left="335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0"/>
              </w:rPr>
              <w:t>6649 Westwood Blvd.</w:t>
            </w:r>
          </w:p>
        </w:tc>
        <w:tc>
          <w:tcPr>
            <w:tcW w:w="4560" w:type="dxa"/>
            <w:vAlign w:val="bottom"/>
          </w:tcPr>
          <w:p>
            <w:pPr>
              <w:spacing w:after="0"/>
              <w:rPr>
                <w:sz w:val="20"/>
                <w:szCs w:val="20"/>
                <w:color w:val="auto"/>
              </w:rPr>
            </w:pPr>
          </w:p>
        </w:tc>
      </w:t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6"/>
              </w:rPr>
              <w:t>Orlando, FL</w:t>
            </w:r>
          </w:p>
        </w:tc>
        <w:tc>
          <w:tcPr>
            <w:tcW w:w="4560" w:type="dxa"/>
            <w:vAlign w:val="bottom"/>
          </w:tcPr>
          <w:p>
            <w:pPr>
              <w:jc w:val="right"/>
              <w:ind w:right="259"/>
              <w:spacing w:after="0"/>
              <w:rPr>
                <w:sz w:val="20"/>
                <w:szCs w:val="20"/>
                <w:color w:val="auto"/>
              </w:rPr>
            </w:pPr>
            <w:r>
              <w:rPr>
                <w:rFonts w:ascii="Arial" w:cs="Arial" w:eastAsia="Arial" w:hAnsi="Arial"/>
                <w:sz w:val="18"/>
                <w:szCs w:val="18"/>
                <w:b w:val="1"/>
                <w:bCs w:val="1"/>
                <w:color w:val="auto"/>
              </w:rPr>
              <w:t>32821</w:t>
            </w:r>
          </w:p>
        </w:tc>
      </w:tr>
      <w:tr>
        <w:trPr>
          <w:trHeight w:val="218"/>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7"/>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Arial" w:cs="Arial" w:eastAsia="Arial" w:hAnsi="Arial"/>
                <w:sz w:val="18"/>
                <w:szCs w:val="18"/>
                <w:b w:val="1"/>
                <w:bCs w:val="1"/>
                <w:color w:val="auto"/>
              </w:rPr>
              <w:t>(407) 206-6000</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0" w:type="dxa"/>
            <w:vAlign w:val="bottom"/>
          </w:tcPr>
          <w:p>
            <w:pPr>
              <w:ind w:left="280"/>
              <w:spacing w:after="0"/>
              <w:rPr>
                <w:sz w:val="20"/>
                <w:szCs w:val="20"/>
                <w:color w:val="auto"/>
              </w:rPr>
            </w:pPr>
            <w:r>
              <w:rPr>
                <w:rFonts w:ascii="Arial" w:cs="Arial" w:eastAsia="Arial" w:hAnsi="Arial"/>
                <w:sz w:val="18"/>
                <w:szCs w:val="18"/>
                <w:color w:val="auto"/>
              </w:rPr>
              <w:t>x</w:t>
            </w:r>
          </w:p>
        </w:tc>
        <w:tc>
          <w:tcPr>
            <w:tcW w:w="33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5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July 28, 2017 was 27,029,239.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90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45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00" w:type="dxa"/>
            <w:vAlign w:val="bottom"/>
            <w:vMerge w:val="continue"/>
          </w:tcPr>
          <w:p>
            <w:pPr>
              <w:spacing w:after="0"/>
              <w:rPr>
                <w:sz w:val="16"/>
                <w:szCs w:val="16"/>
                <w:color w:val="auto"/>
              </w:rPr>
            </w:pPr>
          </w:p>
        </w:tc>
        <w:tc>
          <w:tcPr>
            <w:tcW w:w="3900" w:type="dxa"/>
            <w:vAlign w:val="bottom"/>
            <w:tcBorders>
              <w:bottom w:val="single" w:sz="8" w:color="0000EE"/>
            </w:tcBorders>
            <w:gridSpan w:val="15"/>
            <w:vMerge w:val="continue"/>
          </w:tcPr>
          <w:p>
            <w:pPr>
              <w:spacing w:after="0"/>
              <w:rPr>
                <w:sz w:val="16"/>
                <w:szCs w:val="16"/>
                <w:color w:val="auto"/>
              </w:rPr>
            </w:pPr>
          </w:p>
        </w:tc>
        <w:tc>
          <w:tcPr>
            <w:tcW w:w="4540" w:type="dxa"/>
            <w:vAlign w:val="bottom"/>
            <w:gridSpan w:val="6"/>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2"/>
                <w:szCs w:val="22"/>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80" w:type="dxa"/>
            <w:vAlign w:val="bottom"/>
            <w:gridSpan w:val="13"/>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36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580" w:type="dxa"/>
            <w:vAlign w:val="bottom"/>
            <w:gridSpan w:val="2"/>
          </w:tcPr>
          <w:p>
            <w:pPr>
              <w:jc w:val="center"/>
              <w:ind w:left="39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Interim Consolidated Financial Statements</w:t>
              </w:r>
            </w:hyperlink>
          </w:p>
        </w:tc>
        <w:tc>
          <w:tcPr>
            <w:tcW w:w="446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43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1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65">
              <w:r>
                <w:rPr>
                  <w:rFonts w:ascii="Arial" w:cs="Arial" w:eastAsia="Arial" w:hAnsi="Arial"/>
                  <w:sz w:val="17"/>
                  <w:szCs w:val="17"/>
                  <w:color w:val="0000EE"/>
                  <w:w w:val="73"/>
                </w:rPr>
                <w:t>63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Controls and Procedures</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5">
              <w:r>
                <w:rPr>
                  <w:rFonts w:ascii="Arial" w:cs="Arial" w:eastAsia="Arial" w:hAnsi="Arial"/>
                  <w:sz w:val="17"/>
                  <w:szCs w:val="17"/>
                  <w:color w:val="0000EE"/>
                  <w:w w:val="73"/>
                </w:rPr>
                <w:t>63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1"/>
                <w:szCs w:val="21"/>
                <w:color w:val="auto"/>
              </w:rPr>
            </w:pP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1"/>
                <w:szCs w:val="21"/>
                <w:color w:val="auto"/>
              </w:rPr>
            </w:pPr>
          </w:p>
        </w:tc>
        <w:tc>
          <w:tcPr>
            <w:tcW w:w="686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Unregistered Sales of Equity Securities and Use of Proceeds</w:t>
              </w:r>
            </w:hyperlink>
          </w:p>
        </w:tc>
        <w:tc>
          <w:tcPr>
            <w:tcW w:w="38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Defaults Upon Senior Securities</w:t>
              </w:r>
            </w:hyperlink>
          </w:p>
        </w:tc>
        <w:tc>
          <w:tcPr>
            <w:tcW w:w="586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Mine Safety Disclosures</w:t>
              </w:r>
            </w:hyperlink>
          </w:p>
        </w:tc>
        <w:tc>
          <w:tcPr>
            <w:tcW w:w="642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1"/>
                <w:szCs w:val="21"/>
                <w:color w:val="auto"/>
              </w:rPr>
            </w:pPr>
          </w:p>
        </w:tc>
        <w:tc>
          <w:tcPr>
            <w:tcW w:w="82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1"/>
                <w:szCs w:val="21"/>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688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44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580" w:type="dxa"/>
            <w:vAlign w:val="bottom"/>
            <w:gridSpan w:val="2"/>
          </w:tcPr>
          <w:p>
            <w:pPr>
              <w:jc w:val="center"/>
              <w:ind w:left="31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662"/>
        <w:spacing w:after="0" w:line="226" w:lineRule="auto"/>
        <w:rPr>
          <w:sz w:val="20"/>
          <w:szCs w:val="20"/>
          <w:color w:val="auto"/>
        </w:rPr>
      </w:pPr>
      <w:r>
        <w:rPr>
          <w:rFonts w:ascii="Arial" w:cs="Arial" w:eastAsia="Arial" w:hAnsi="Arial"/>
          <w:sz w:val="18"/>
          <w:szCs w:val="18"/>
          <w:color w:val="auto"/>
        </w:rPr>
        <w:t>Throughout this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5"/>
          <w:szCs w:val="25"/>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18"/>
          <w:szCs w:val="18"/>
          <w:color w:val="auto"/>
          <w:vertAlign w:val="superscript"/>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25"/>
          <w:szCs w:val="25"/>
          <w:color w:val="auto"/>
          <w:vertAlign w:val="superscript"/>
        </w:rPr>
        <w:t>SM</w:t>
      </w:r>
      <w:r>
        <w:rPr>
          <w:rFonts w:ascii="Arial" w:cs="Arial" w:eastAsia="Arial" w:hAnsi="Arial"/>
          <w:sz w:val="18"/>
          <w:szCs w:val="18"/>
          <w:color w:val="auto"/>
        </w:rPr>
        <w:t>, Marriott Grand Residence Club</w:t>
      </w:r>
      <w:r>
        <w:rPr>
          <w:rFonts w:ascii="Arial" w:cs="Arial" w:eastAsia="Arial" w:hAnsi="Arial"/>
          <w:sz w:val="25"/>
          <w:szCs w:val="25"/>
          <w:color w:val="auto"/>
          <w:vertAlign w:val="superscript"/>
        </w:rPr>
        <w:t>®</w:t>
      </w:r>
      <w:r>
        <w:rPr>
          <w:rFonts w:ascii="Arial" w:cs="Arial" w:eastAsia="Arial" w:hAnsi="Arial"/>
          <w:sz w:val="18"/>
          <w:szCs w:val="18"/>
          <w:color w:val="auto"/>
        </w:rPr>
        <w:t>, Grand Residences by Marriott</w:t>
      </w:r>
      <w:r>
        <w:rPr>
          <w:rFonts w:ascii="Arial" w:cs="Arial" w:eastAsia="Arial" w:hAnsi="Arial"/>
          <w:sz w:val="25"/>
          <w:szCs w:val="25"/>
          <w:color w:val="auto"/>
          <w:vertAlign w:val="superscript"/>
        </w:rPr>
        <w:t>®</w:t>
      </w:r>
      <w:r>
        <w:rPr>
          <w:rFonts w:ascii="Arial" w:cs="Arial" w:eastAsia="Arial" w:hAnsi="Arial"/>
          <w:sz w:val="18"/>
          <w:szCs w:val="18"/>
          <w:color w:val="auto"/>
        </w:rPr>
        <w:t>, and The Ritz-Carlton Club</w:t>
      </w:r>
      <w:r>
        <w:rPr>
          <w:rFonts w:ascii="Arial" w:cs="Arial" w:eastAsia="Arial" w:hAnsi="Arial"/>
          <w:sz w:val="25"/>
          <w:szCs w:val="25"/>
          <w:color w:val="auto"/>
          <w:vertAlign w:val="superscript"/>
        </w:rPr>
        <w:t>®</w:t>
      </w:r>
      <w:r>
        <w:rPr>
          <w:rFonts w:ascii="Arial" w:cs="Arial" w:eastAsia="Arial" w:hAnsi="Arial"/>
          <w:sz w:val="18"/>
          <w:szCs w:val="18"/>
          <w:color w:val="auto"/>
        </w:rPr>
        <w:t>. We also refer to Marriott International’s Marriott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loyalty program. We may also refer to brand names, trademarks, service marks and trade names of other companies and organizations, and these brand names, trademarks, service marks and trade names are the property of their respective owners.</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5"/>
          </w:tcPr>
          <w:p>
            <w:pPr>
              <w:ind w:left="84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8"/>
                <w:szCs w:val="18"/>
                <w:color w:val="auto"/>
              </w:rPr>
            </w:pPr>
          </w:p>
        </w:tc>
        <w:tc>
          <w:tcPr>
            <w:tcW w:w="296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June 17, 2016</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20" w:type="dxa"/>
            <w:vAlign w:val="bottom"/>
          </w:tcPr>
          <w:p>
            <w:pPr>
              <w:spacing w:after="0"/>
              <w:rPr>
                <w:sz w:val="20"/>
                <w:szCs w:val="20"/>
                <w:color w:val="auto"/>
              </w:rPr>
            </w:pPr>
          </w:p>
        </w:tc>
        <w:tc>
          <w:tcPr>
            <w:tcW w:w="136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June 17, 2016</w:t>
            </w:r>
          </w:p>
        </w:tc>
      </w:tr>
      <w:tr>
        <w:trPr>
          <w:trHeight w:val="297"/>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(91 days)</w:t>
            </w:r>
          </w:p>
        </w:tc>
        <w:tc>
          <w:tcPr>
            <w:tcW w:w="1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(84 days)</w:t>
            </w: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(182 days)</w:t>
            </w:r>
          </w:p>
        </w:tc>
        <w:tc>
          <w:tcPr>
            <w:tcW w:w="220" w:type="dxa"/>
            <w:vAlign w:val="bottom"/>
          </w:tcPr>
          <w:p>
            <w:pPr>
              <w:spacing w:after="0"/>
              <w:rPr>
                <w:sz w:val="24"/>
                <w:szCs w:val="24"/>
                <w:color w:val="auto"/>
              </w:rPr>
            </w:pPr>
          </w:p>
        </w:tc>
        <w:tc>
          <w:tcPr>
            <w:tcW w:w="1360" w:type="dxa"/>
            <w:vAlign w:val="bottom"/>
          </w:tcPr>
          <w:p>
            <w:pPr>
              <w:jc w:val="right"/>
              <w:ind w:right="391"/>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191,010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146,450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363,165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284,819</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w w:val="87"/>
                <w:shd w:val="clear" w:color="auto" w:fill="CCEEFF"/>
              </w:rPr>
              <w:t>Resort management and other services</w:t>
            </w:r>
          </w:p>
        </w:tc>
        <w:tc>
          <w:tcPr>
            <w:tcW w:w="1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137,864</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Financing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28,654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64,641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57,878</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155,357</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Cost reimbursements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98,842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206,375</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shd w:val="clear" w:color="auto" w:fill="CCEEFF"/>
              </w:rPr>
              <w:t>TOTAL REVENUES</w:t>
            </w:r>
          </w:p>
        </w:tc>
        <w:tc>
          <w:tcPr>
            <w:tcW w:w="8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497,620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423,171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983,739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842,293</w:t>
            </w:r>
          </w:p>
        </w:tc>
      </w:tr>
      <w:tr>
        <w:trPr>
          <w:trHeight w:val="237"/>
        </w:trPr>
        <w:tc>
          <w:tcPr>
            <w:tcW w:w="4740" w:type="dxa"/>
            <w:vAlign w:val="bottom"/>
            <w:gridSpan w:val="6"/>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w w:val="93"/>
                <w:shd w:val="clear" w:color="auto" w:fill="CCEEFF"/>
              </w:rPr>
              <w:t>Cost of vacation ownership products</w:t>
            </w: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69,370</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Marketing and sales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104,029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78,919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204,690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157,331</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w w:val="87"/>
                <w:shd w:val="clear" w:color="auto" w:fill="CCEEFF"/>
              </w:rPr>
              <w:t>Resort management and other services</w:t>
            </w:r>
          </w:p>
        </w:tc>
        <w:tc>
          <w:tcPr>
            <w:tcW w:w="1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83,870</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Financing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7,201</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130,688</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25,361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57,073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50,720</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Litigation settlement</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Consumer financing interest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10,479</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Royalty fee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27,383</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Cost reimbursements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98,842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206,375</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EXPENSES</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368,674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862,759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743,114</w:t>
            </w:r>
          </w:p>
        </w:tc>
      </w:tr>
      <w:tr>
        <w:trPr>
          <w:trHeight w:val="237"/>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(Losses) gains and other (expense)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10,675</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Interest expense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INCOME BEFORE INCOME TAXES</w:t>
            </w: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101,332</w:t>
            </w:r>
          </w:p>
        </w:tc>
      </w:tr>
      <w:tr>
        <w:trPr>
          <w:trHeight w:val="243"/>
        </w:trPr>
        <w:tc>
          <w:tcPr>
            <w:tcW w:w="4740" w:type="dxa"/>
            <w:vAlign w:val="bottom"/>
            <w:gridSpan w:val="6"/>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(40,615)</w:t>
            </w:r>
          </w:p>
        </w:tc>
      </w:tr>
      <w:tr>
        <w:trPr>
          <w:trHeight w:val="27"/>
        </w:trPr>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NET INCOME</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60,717</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7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gridSpan w:val="6"/>
          </w:tcPr>
          <w:p>
            <w:pPr>
              <w:ind w:left="260"/>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2.11</w:t>
            </w:r>
          </w:p>
        </w:tc>
      </w:tr>
      <w:tr>
        <w:trPr>
          <w:trHeight w:val="27"/>
        </w:trPr>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Earnings per share - Diluted</w:t>
            </w: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r>
      <w:tr>
        <w:trPr>
          <w:trHeight w:val="324"/>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7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CASH DIVIDENDS DECLARED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r>
      <w:tr>
        <w:trPr>
          <w:trHeight w:val="432"/>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gridSpan w:val="7"/>
          </w:tcPr>
          <w:p>
            <w:pPr>
              <w:ind w:left="460"/>
              <w:spacing w:after="0"/>
              <w:rPr>
                <w:sz w:val="20"/>
                <w:szCs w:val="20"/>
                <w:color w:val="auto"/>
              </w:rPr>
            </w:pPr>
            <w:r>
              <w:rPr>
                <w:rFonts w:ascii="Arial" w:cs="Arial" w:eastAsia="Arial" w:hAnsi="Arial"/>
                <w:sz w:val="18"/>
                <w:szCs w:val="18"/>
                <w:b w:val="1"/>
                <w:bCs w:val="1"/>
                <w:color w:val="auto"/>
                <w:w w:val="96"/>
              </w:rPr>
              <w:t>See Notes to Interim Consolidated Financial Statements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5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ind w:left="82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8"/>
                <w:szCs w:val="18"/>
                <w:color w:val="auto"/>
              </w:rPr>
            </w:pPr>
          </w:p>
        </w:tc>
        <w:tc>
          <w:tcPr>
            <w:tcW w:w="2860" w:type="dxa"/>
            <w:vAlign w:val="bottom"/>
            <w:gridSpan w:val="4"/>
          </w:tcPr>
          <w:p>
            <w:pPr>
              <w:jc w:val="right"/>
              <w:ind w:right="75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17, 2016</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0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6"/>
                <w:szCs w:val="16"/>
                <w:b w:val="1"/>
                <w:bCs w:val="1"/>
                <w:color w:val="auto"/>
                <w:w w:val="94"/>
              </w:rPr>
              <w:t>June 17, 2016</w:t>
            </w:r>
          </w:p>
        </w:tc>
      </w:tr>
      <w:tr>
        <w:trPr>
          <w:trHeight w:val="297"/>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18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(84 days)</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(182 days)</w:t>
            </w:r>
          </w:p>
        </w:tc>
        <w:tc>
          <w:tcPr>
            <w:tcW w:w="200" w:type="dxa"/>
            <w:vAlign w:val="bottom"/>
          </w:tcPr>
          <w:p>
            <w:pPr>
              <w:spacing w:after="0"/>
              <w:rPr>
                <w:sz w:val="24"/>
                <w:szCs w:val="24"/>
                <w:color w:val="auto"/>
              </w:rPr>
            </w:pPr>
          </w:p>
        </w:tc>
        <w:tc>
          <w:tcPr>
            <w:tcW w:w="1280" w:type="dxa"/>
            <w:vAlign w:val="bottom"/>
          </w:tcPr>
          <w:p>
            <w:pPr>
              <w:jc w:val="right"/>
              <w:ind w:right="334"/>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36,309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60,717</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1,753</w:t>
            </w: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Derivative instrument adjustment, net of tax</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shd w:val="clear" w:color="auto" w:fill="CCEEFF"/>
              </w:rPr>
              <w:t>Total other comprehensive income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36,107</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84,705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62,071</w:t>
            </w: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30, 2016</w:t>
            </w:r>
          </w:p>
        </w:tc>
      </w:tr>
      <w:tr>
        <w:trPr>
          <w:trHeight w:val="3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85,151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147,102</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$31,005 and $27,525 from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and contracts receivable, net (including $4,311 and $4,865 from VIEs, respectively)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131,395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161,733</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Vacation ownership notes receivable, net (including $655,180 and $717,543 from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972,311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744,430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712,536</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202,802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$10,647 and $0 from VIEs, respectively)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127,994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128,935</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2,433,436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76,456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124,439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55,542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$537 and $584 from VIEs, respectively)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112,916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147,469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95,495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95,516</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62,874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Debt, net (including $671,221 and $738,362 from VIEs, respectively)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773,557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737,224</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156,835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149,168</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1,464,618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1,483,600</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Contingencies and Commitments (Note 8)</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w w:val="92"/>
              </w:rPr>
              <w:t>Common stock — $0.01 par value; 100,000,000 shares authorized; 36,839,064 and 36,633,868 shares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issued, respectively</w:t>
            </w:r>
          </w:p>
        </w:tc>
        <w:tc>
          <w:tcPr>
            <w:tcW w:w="2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 at cost; 9,669,970 and 9,643,562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1,161,507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1,162,283</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404,869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346,341</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907,819</w:t>
            </w:r>
          </w:p>
        </w:tc>
      </w:tr>
      <w:tr>
        <w:trPr>
          <w:trHeight w:val="25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2,433,436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499"/>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shd w:val="clear" w:color="auto" w:fill="CCEEFF"/>
              </w:rPr>
              <w:t>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77,976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60,717</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10,192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10,177</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26,821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19,591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6,856</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Loss (gain) on disposal of property and equipment, net</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(10,675)</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15,792</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Net change in assets and liabilities: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Accounts and contracts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(11,084)</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Notes receivable originations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(227,643)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(124,318)</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Notes receivable collections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120,548</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16,007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(13,924)</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Purchase of vacation ownership units for future transfer to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26,111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Accounts payable, advance deposits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(86,355)</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19,654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22,627</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Payroll and benefit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(27,313)</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Deferred compensation liability</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7,053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6,536</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2,152</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21,078</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Capital expenditures for property and equipment (excluding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(15,142)</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Purchase of company owned life insurance</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Dispositions, net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69,738</w:t>
            </w:r>
          </w:p>
        </w:tc>
      </w:tr>
      <w:tr>
        <w:trPr>
          <w:trHeight w:val="217"/>
        </w:trPr>
        <w:tc>
          <w:tcPr>
            <w:tcW w:w="7640" w:type="dxa"/>
            <w:vAlign w:val="bottom"/>
          </w:tcPr>
          <w:p>
            <w:pPr>
              <w:ind w:left="70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(21,425)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54,596</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79"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499"/>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shd w:val="clear" w:color="auto" w:fill="CCEEFF"/>
              </w:rPr>
              <w:t>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Borrowings from securitization transactions</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50,260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91,281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Repayment of debt related to securitization transactions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(84,040)</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Borrowings from Revolving Corporate Credit Facility</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85,000</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Repayment of Revolving Corporate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(163,359)</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Accelerated stock repurchase forward contract</w:t>
            </w:r>
          </w:p>
        </w:tc>
        <w:tc>
          <w:tcPr>
            <w:tcW w:w="2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(14,470)</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Payment of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(26,067)</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Payment of withholding taxes on vesting of restricted stock units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(3,876)</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r>
      <w:tr>
        <w:trPr>
          <w:trHeight w:val="217"/>
        </w:trPr>
        <w:tc>
          <w:tcPr>
            <w:tcW w:w="76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(63,865)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(155,190)</w:t>
            </w:r>
          </w:p>
        </w:tc>
      </w:tr>
      <w:tr>
        <w:trPr>
          <w:trHeight w:val="3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Effect of changes in exchange rates on cash, cash equivalents and restricted cash</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(3,238)</w:t>
            </w: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(69,198)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(82,754)</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Cash, cash equivalents and restricted cash,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248,512</w:t>
            </w:r>
          </w:p>
        </w:tc>
      </w:tr>
      <w:tr>
        <w:trPr>
          <w:trHeight w:val="284"/>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143,904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165,758</w:t>
            </w:r>
          </w:p>
        </w:tc>
      </w:tr>
      <w:tr>
        <w:trPr>
          <w:trHeight w:val="311"/>
        </w:trPr>
        <w:tc>
          <w:tcPr>
            <w:tcW w:w="7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Property acquired via capital lease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Non-cash issuance of treasury stock for employee stock purchase plan</w:t>
            </w:r>
          </w:p>
        </w:tc>
        <w:tc>
          <w:tcPr>
            <w:tcW w:w="2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307</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Disposition accruals not yet paid</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4,636</w:t>
            </w:r>
          </w:p>
        </w:tc>
      </w:tr>
      <w:tr>
        <w:trPr>
          <w:trHeight w:val="237"/>
        </w:trPr>
        <w:tc>
          <w:tcPr>
            <w:tcW w:w="7640" w:type="dxa"/>
            <w:vAlign w:val="bottom"/>
          </w:tcPr>
          <w:p>
            <w:pPr>
              <w:ind w:left="280"/>
              <w:spacing w:after="0"/>
              <w:rPr>
                <w:sz w:val="20"/>
                <w:szCs w:val="20"/>
                <w:color w:val="auto"/>
              </w:rPr>
            </w:pPr>
            <w:r>
              <w:rPr>
                <w:rFonts w:ascii="Arial" w:cs="Arial" w:eastAsia="Arial" w:hAnsi="Arial"/>
                <w:sz w:val="16"/>
                <w:szCs w:val="16"/>
                <w:color w:val="auto"/>
              </w:rPr>
              <w:t>Non-cash transfer from Inventory to Property and equipment</w:t>
            </w:r>
          </w:p>
        </w:tc>
        <w:tc>
          <w:tcPr>
            <w:tcW w:w="2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9,741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Non-cash issuance of debt in connection with acquisition of vacation ownership units</w:t>
            </w: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79"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provides on-site management for Ritz-Carlton branded properties.</w:t>
      </w:r>
    </w:p>
    <w:p>
      <w:pPr>
        <w:spacing w:after="0" w:line="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June 30, 2017, our portfolio consisted of over 65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w:t>
      </w:r>
    </w:p>
    <w:p>
      <w:pPr>
        <w:spacing w:after="0" w:line="46" w:lineRule="exact"/>
        <w:rPr>
          <w:sz w:val="20"/>
          <w:szCs w:val="20"/>
          <w:color w:val="auto"/>
        </w:rPr>
      </w:pPr>
    </w:p>
    <w:p>
      <w:pPr>
        <w:jc w:val="both"/>
        <w:ind w:right="28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8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Beginning with our 2017 fiscal year, we changed our financial reporting cycle to a calendar year-end and end-of-month quarterly reporting cycle. Accordingly, our 2017 fiscal year began on December 31, 2016 (the day after the end of the 2016 fiscal year) and will end on December 31, 2017, and our 2017 quarters include the three month periods ended March 31, June 30, September 30, and December 31, except that the period ended March 31, 2017 also includes December 31, 2016. Our future fiscal years will begin on January 1 and end on December 31. Historically, our fiscal year was a 52 or 53 week fiscal year that ended on the Friday nearest to December 31, and our quarterly reporting cycle included twelve week periods for the first, second, and third quarters and a sixteen week period (or in some cases a seventeen week period) for the fourth quarter. We have not restated, and do not plan to restate, historical results.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reporting periods as we refer to them in this report, their date ranges, and the number of days in each:</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Reporting Period</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Date Range</w:t>
            </w:r>
          </w:p>
        </w:tc>
        <w:tc>
          <w:tcPr>
            <w:tcW w:w="2280" w:type="dxa"/>
            <w:vAlign w:val="bottom"/>
          </w:tcPr>
          <w:p>
            <w:pPr>
              <w:ind w:left="520"/>
              <w:spacing w:after="0"/>
              <w:rPr>
                <w:sz w:val="20"/>
                <w:szCs w:val="20"/>
                <w:color w:val="auto"/>
              </w:rPr>
            </w:pPr>
            <w:r>
              <w:rPr>
                <w:rFonts w:ascii="Arial" w:cs="Arial" w:eastAsia="Arial" w:hAnsi="Arial"/>
                <w:sz w:val="18"/>
                <w:szCs w:val="18"/>
                <w:b w:val="1"/>
                <w:bCs w:val="1"/>
                <w:color w:val="auto"/>
              </w:rPr>
              <w:t>Number of Days</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2017 second quarter</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April 1, 2017 — June 30,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2016 second quarter</w:t>
            </w:r>
          </w:p>
        </w:tc>
        <w:tc>
          <w:tcPr>
            <w:tcW w:w="4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March 26, 2016 — June 17,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2017 first half</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 — June 30,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182</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2016 first half</w:t>
            </w:r>
          </w:p>
        </w:tc>
        <w:tc>
          <w:tcPr>
            <w:tcW w:w="4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January 2, 2016 — June 17,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168</w:t>
            </w: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2017 fiscal year</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 — December 31,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2016 fiscal year</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January 2, 2016 — December 30,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364</w:t>
            </w:r>
          </w:p>
        </w:tc>
      </w:tr>
    </w:tbl>
    <w:p>
      <w:pPr>
        <w:spacing w:after="0" w:line="200" w:lineRule="exact"/>
        <w:rPr>
          <w:sz w:val="20"/>
          <w:szCs w:val="20"/>
          <w:color w:val="auto"/>
        </w:rPr>
      </w:pPr>
    </w:p>
    <w:p>
      <w:pPr>
        <w:spacing w:after="0" w:line="2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change in our financial reporting cycle, our 2017 second quarter had seven more days of activity than our 2016 second quarter, and our 2017 first half had 14 more days of activity than our 2016 first half. While our 2017 full fiscal year will have only two additional days of activity as compared to our 2016 full fiscal year, our 2017 third quarter will have eight additional days of activity, and our 2017 fourth quarter will have 20 fewer days of activity than the corresponding periods in our 2016 fiscal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These Financial Statements have not been audited. Amounts as of December 30,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December 30, 2016.</w:t>
      </w:r>
    </w:p>
    <w:p>
      <w:pPr>
        <w:spacing w:after="0" w:line="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loss contingencies and income taxes. Accordingly, actual amounts may differ from these estimated amounts.</w:t>
      </w:r>
    </w:p>
    <w:p>
      <w:pPr>
        <w:spacing w:after="0" w:line="79"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We have reclassified certain prior year amounts to conform to our current period presentation. Our Financial Statements include adjustments for the 2016 second quarter and 2016 first half to correct immaterial presentation errors, consistent with those reported in our Annual Report on Form 10-K for the fiscal year ended December 30, 2016, within the following line items on our Statements of Income: Resort management and other services revenues, Resort management and other services expenses and General and administrative expenses. Correction of these immaterial errors had no impact on our consolidated Net income.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these adjustments on the Financial Statements is as follows:</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95"/>
              </w:rPr>
              <w:t>Quarter Ended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4"/>
          </w:tcPr>
          <w:p>
            <w:pPr>
              <w:jc w:val="center"/>
              <w:ind w:right="50"/>
              <w:spacing w:after="0"/>
              <w:rPr>
                <w:sz w:val="20"/>
                <w:szCs w:val="20"/>
                <w:color w:val="auto"/>
              </w:rPr>
            </w:pPr>
            <w:r>
              <w:rPr>
                <w:rFonts w:ascii="Arial" w:cs="Arial" w:eastAsia="Arial" w:hAnsi="Arial"/>
                <w:sz w:val="16"/>
                <w:szCs w:val="16"/>
                <w:b w:val="1"/>
                <w:bCs w:val="1"/>
                <w:color w:val="auto"/>
                <w:w w:val="92"/>
              </w:rPr>
              <w:t>Year to Date Ended</w:t>
            </w:r>
          </w:p>
        </w:tc>
      </w:tr>
      <w:tr>
        <w:trPr>
          <w:trHeight w:val="33"/>
        </w:trPr>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90"/>
              </w:rPr>
              <w:t>June 17, 2016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center"/>
              <w:ind w:left="495"/>
              <w:spacing w:after="0"/>
              <w:rPr>
                <w:sz w:val="20"/>
                <w:szCs w:val="20"/>
                <w:color w:val="auto"/>
              </w:rPr>
            </w:pPr>
            <w:r>
              <w:rPr>
                <w:rFonts w:ascii="Arial" w:cs="Arial" w:eastAsia="Arial" w:hAnsi="Arial"/>
                <w:sz w:val="16"/>
                <w:szCs w:val="16"/>
                <w:b w:val="1"/>
                <w:bCs w:val="1"/>
                <w:color w:val="auto"/>
                <w:w w:val="90"/>
              </w:rPr>
              <w:t>June 17, 2016</w:t>
            </w:r>
          </w:p>
        </w:tc>
        <w:tc>
          <w:tcPr>
            <w:tcW w:w="700" w:type="dxa"/>
            <w:vAlign w:val="bottom"/>
          </w:tcPr>
          <w:p>
            <w:pPr>
              <w:spacing w:after="0"/>
              <w:rPr>
                <w:sz w:val="18"/>
                <w:szCs w:val="18"/>
                <w:color w:val="auto"/>
              </w:rPr>
            </w:pPr>
          </w:p>
        </w:tc>
      </w:tr>
      <w:tr>
        <w:trPr>
          <w:trHeight w:val="297"/>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(84 days)</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0"/>
              </w:rPr>
              <w:t>(168 days)</w:t>
            </w:r>
          </w:p>
        </w:tc>
        <w:tc>
          <w:tcPr>
            <w:tcW w:w="700" w:type="dxa"/>
            <w:vAlign w:val="bottom"/>
            <w:tcBorders>
              <w:bottom w:val="single" w:sz="8" w:color="auto"/>
            </w:tcBorders>
          </w:tcPr>
          <w:p>
            <w:pPr>
              <w:spacing w:after="0"/>
              <w:rPr>
                <w:sz w:val="24"/>
                <w:szCs w:val="24"/>
                <w:color w:val="auto"/>
              </w:rPr>
            </w:pPr>
          </w:p>
        </w:tc>
      </w:tr>
      <w:tr>
        <w:trPr>
          <w:trHeight w:val="264"/>
        </w:trPr>
        <w:tc>
          <w:tcPr>
            <w:tcW w:w="3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Revised</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Previous Filing</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Revised</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Previous Filing</w:t>
            </w:r>
          </w:p>
        </w:tc>
      </w:tr>
      <w:tr>
        <w:trPr>
          <w:trHeight w:val="250"/>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Resort management and other services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80,930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150,559</w:t>
            </w: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423,171</w:t>
            </w:r>
          </w:p>
        </w:tc>
        <w:tc>
          <w:tcPr>
            <w:tcW w:w="120" w:type="dxa"/>
            <w:vAlign w:val="bottom"/>
          </w:tcPr>
          <w:p>
            <w:pPr>
              <w:spacing w:after="0"/>
              <w:rPr>
                <w:sz w:val="21"/>
                <w:szCs w:val="21"/>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429,945</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842,293</w:t>
            </w:r>
          </w:p>
        </w:tc>
        <w:tc>
          <w:tcPr>
            <w:tcW w:w="10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854,988</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Resort management and other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95,108</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25,361</w:t>
            </w:r>
          </w:p>
        </w:tc>
        <w:tc>
          <w:tcPr>
            <w:tcW w:w="120" w:type="dxa"/>
            <w:vAlign w:val="bottom"/>
          </w:tcPr>
          <w:p>
            <w:pPr>
              <w:spacing w:after="0"/>
              <w:rPr>
                <w:sz w:val="21"/>
                <w:szCs w:val="21"/>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24,588</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50,720</w:t>
            </w:r>
          </w:p>
        </w:tc>
        <w:tc>
          <w:tcPr>
            <w:tcW w:w="10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49,885</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3180" w:type="dxa"/>
            <w:vAlign w:val="bottom"/>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375,448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755,809</w:t>
            </w:r>
          </w:p>
        </w:tc>
      </w:tr>
      <w:tr>
        <w:trPr>
          <w:trHeight w:val="41"/>
        </w:trPr>
        <w:tc>
          <w:tcPr>
            <w:tcW w:w="3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Beginning in our 2017 fiscal year, participants in the Marriott Vacations Worldwide Deferred Compensation Plan (the “Deferred Compensation Plan”) may select a rate of return based on various market-based investment alternatives for a portion of their contributions, as well as any future Company contributions, to the Deferred Compensation Plan, and may also select such a rate for a portion of their existing account balances. 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A portion of a participant’s contributions to the Deferred Compensation Plan must be subject to a fixed rate of return, which for our 2017 fiscal year was reduced to 3.5 percent.</w:t>
      </w:r>
    </w:p>
    <w:p>
      <w:pPr>
        <w:spacing w:after="0" w:line="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variable interest entity (“VIE”). We are considered the primary beneficiary of the rabbi trust because we direct the activities of the trust and are the beneficiary of the trust. At June 30, 2017, the value of the assets held in the rabbi trust was $10.6 million, which is included in the Other line within assets on our Balance Sheets.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2017-09 –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(“ASU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09”)</w:t>
      </w:r>
    </w:p>
    <w:p>
      <w:pPr>
        <w:spacing w:after="0" w:line="1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which clarifies when changes to the terms or conditions of a share-based payment award must be accounted for as modifications for the purpose of applying the modification guidance in Accounting Standards Codification Topic 718. This update is effective for all entities for annual periods beginning after December 15, 2017, and for interim periods within those annual periods, with early adoption permitted. Our early adoption of ASU 2017-09 in the 2017 second quarter did not have an impact on our financial statements or disclosures.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2016-18 – “</w:t>
      </w:r>
      <w:r>
        <w:rPr>
          <w:rFonts w:ascii="Arial" w:cs="Arial" w:eastAsia="Arial" w:hAnsi="Arial"/>
          <w:sz w:val="18"/>
          <w:szCs w:val="18"/>
          <w:i w:val="1"/>
          <w:iCs w:val="1"/>
          <w:color w:val="auto"/>
        </w:rPr>
        <w:t>Restricted Cash</w:t>
      </w:r>
      <w:r>
        <w:rPr>
          <w:rFonts w:ascii="Arial" w:cs="Arial" w:eastAsia="Arial" w:hAnsi="Arial"/>
          <w:sz w:val="18"/>
          <w:szCs w:val="18"/>
          <w:color w:val="auto"/>
        </w:rPr>
        <w:t>” (“ASU 2016-18”)</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November 2016, the FASB issued ASU 2016-18, which requires entities to show the changes in the total of cash, cash equivalents, restricted cash and restricted cash equivalents in the statement of cash flows. As a result, we will no longer present changes in restricted cash as a component of investing activities. This update is effective for public companies for fiscal years beginning after December 15, 2017, including interim periods within those fiscal years. We adopted ASU 2016-18 on a retrospective basis commencing in the 2017 first quarter.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which resulted in benefits to our provision for income taxes of $2.8 million in the 2017 second quarter and $5.2 million in the 2017 first half. The new guidance requires excess tax benefits to be presented as an operating inflow rather than as a financing inflow in the statement of cash flows. Prior to the adoption of ASU 2016-09, excess tax benefits were recorded in additional paid-in-capital on the balance sheet. This update is effective for annual periods beginning after December 15, 2016 and interim periods within those annual periods. We adopted ASU 2016-09 in the 2017 first quarter. The adoption of ASU 2016-09 decreased our provision for income taxes, the amount of which depends on the vesting activity of our share-based compensation awards in any given period, and eliminated the presentation of excess tax benefits as a financing inflow on our statement of cash flows. Further, we made an accounting policy election to recognize forfeitures of share-based compensation awards as they occur, the cumulative effect of which resulted in an adjustment of $0.4 million to opening retained earnings. The adoption of ASU 2016-09 did not have any other material impacts on our financial statements and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Standards Update No. 2016-16 –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w:t>
      </w:r>
    </w:p>
    <w:p>
      <w:pPr>
        <w:spacing w:after="0" w:line="14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We are evaluating the impact that ASU 2016-16, including the timing of implementation, will have on our financial statements and disclosures.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are evaluating the impact that ASU 2016-13, including the timing of implementation, will have on our financial statements and disclosures.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fiscal years beginning after December 15, 2018, including interim periods within those fiscal years, with early adoption permitted. Although we expect to adopt ASU 2016-02 in fiscal year 2019 and have commenced our implementation efforts, we continue to evaluate the impact that adoption of this accounting standards update will have on our financial statements and disclosures.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right="40" w:firstLine="648"/>
        <w:spacing w:after="0" w:line="266" w:lineRule="auto"/>
        <w:rPr>
          <w:sz w:val="20"/>
          <w:szCs w:val="20"/>
          <w:color w:val="auto"/>
        </w:rPr>
      </w:pPr>
      <w:r>
        <w:rPr>
          <w:rFonts w:ascii="Arial" w:cs="Arial" w:eastAsia="Arial" w:hAnsi="Arial"/>
          <w:sz w:val="17"/>
          <w:szCs w:val="17"/>
          <w:color w:val="auto"/>
        </w:rPr>
        <w:t>In May 2014, the FASB issued ASU 2014-09, which, as amended, supersedes the revenue recognition requirements in Topic 605, Revenue Recognition, as well as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annual reporting periods, and interim periods within those reporting periods, beginning after December 15, 2017. The new standard may be applied retrospectively or on a modified retrospective basis with the cumulative effect recognized on the date of adoption. We will adopt ASU 2014-09, as amended, commencing in fiscal year 2018, on a retrospective basis. While we continue to evaluate the impact that adoption of this accounting standards update will have on our financial statements and disclosures, we expect the amount and timing of revenue recognition related to our accounting for management fee revenues, ancillary revenues and rental revenues will remain materially consistent with our current accounting. We expect adoption of ASU 2014-09 will result in the following with respect to the recognition of revenues from the sale of vacation ownership products within our North America segment:</w:t>
      </w:r>
    </w:p>
    <w:p>
      <w:pPr>
        <w:spacing w:after="0" w:line="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alignment of our assessment of collectibility of the transaction price with our credit granting policies;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deferral of revenue recognition deemed collectible from expiration of the statutory rescission period to closing, when control of the vacation ownership product is transferred to the customer;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impact to sales reserve accounting;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presentation of certain sales incentives (e.g., Marriott Rewards Points).</w:t>
      </w:r>
    </w:p>
    <w:p>
      <w:pPr>
        <w:spacing w:after="0" w:line="10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we expect to elect the practical expedient available in ASU 2014-09 to expense all marketing and sales costs as they are incurred. We anticipate disclosing additional detail on the impact of adoption of this accounting standards update later in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$1.5 million at both June 30, 2017 and December 30, 2016.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2017</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717,543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224,560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98,508</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156,709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156,260</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254,768</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1,036,449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972,311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Refer to Footnote No. 4, “Financial Instruments,” for discussion of eligibility of our vacation ownership notes receivable for securitization.</w:t>
      </w:r>
    </w:p>
    <w:p>
      <w:pPr>
        <w:spacing w:after="0" w:line="20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June 30,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20"/>
                <w:szCs w:val="20"/>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74,636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45,320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84,684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130,004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117,008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79,289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113,236</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203,374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288,265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491,639</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381,269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655,180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1,036,449</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Weighted average stated interest rate at June 30, 2017</w:t>
            </w:r>
          </w:p>
        </w:tc>
        <w:tc>
          <w:tcPr>
            <w:tcW w:w="200" w:type="dxa"/>
            <w:vAlign w:val="bottom"/>
          </w:tcPr>
          <w:p>
            <w:pPr>
              <w:spacing w:after="0"/>
              <w:rPr>
                <w:sz w:val="20"/>
                <w:szCs w:val="20"/>
                <w:color w:val="auto"/>
              </w:rPr>
            </w:pPr>
          </w:p>
        </w:tc>
        <w:tc>
          <w:tcPr>
            <w:tcW w:w="1760" w:type="dxa"/>
            <w:vAlign w:val="bottom"/>
          </w:tcPr>
          <w:p>
            <w:pPr>
              <w:jc w:val="center"/>
              <w:ind w:right="92"/>
              <w:spacing w:after="0"/>
              <w:rPr>
                <w:sz w:val="20"/>
                <w:szCs w:val="20"/>
                <w:color w:val="auto"/>
              </w:rPr>
            </w:pPr>
            <w:r>
              <w:rPr>
                <w:rFonts w:ascii="Arial" w:cs="Arial" w:eastAsia="Arial" w:hAnsi="Arial"/>
                <w:sz w:val="18"/>
                <w:szCs w:val="18"/>
                <w:color w:val="auto"/>
                <w:w w:val="90"/>
              </w:rPr>
              <w:t>11.6%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2"/>
              <w:spacing w:after="0"/>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12.3%</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 at June 30, 2017</w:t>
            </w: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0.0% to 18.0%</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4.9% to 19.5%</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19.5%</w:t>
            </w:r>
          </w:p>
        </w:tc>
      </w:tr>
      <w:tr>
        <w:trPr>
          <w:trHeight w:val="27"/>
        </w:trPr>
        <w:tc>
          <w:tcPr>
            <w:tcW w:w="5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5"/>
          </w:tcPr>
          <w:p>
            <w:pPr>
              <w:ind w:left="84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8"/>
                <w:szCs w:val="18"/>
                <w:color w:val="auto"/>
              </w:rPr>
            </w:pPr>
          </w:p>
        </w:tc>
        <w:tc>
          <w:tcPr>
            <w:tcW w:w="2860" w:type="dxa"/>
            <w:vAlign w:val="bottom"/>
            <w:gridSpan w:val="4"/>
          </w:tcPr>
          <w:p>
            <w:pPr>
              <w:ind w:left="680"/>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17, 2016</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280" w:type="dxa"/>
            <w:vAlign w:val="bottom"/>
          </w:tcPr>
          <w:p>
            <w:pPr>
              <w:jc w:val="right"/>
              <w:ind w:right="175"/>
              <w:spacing w:after="0"/>
              <w:rPr>
                <w:sz w:val="20"/>
                <w:szCs w:val="20"/>
                <w:color w:val="auto"/>
              </w:rPr>
            </w:pPr>
            <w:r>
              <w:rPr>
                <w:rFonts w:ascii="Arial" w:cs="Arial" w:eastAsia="Arial" w:hAnsi="Arial"/>
                <w:sz w:val="16"/>
                <w:szCs w:val="16"/>
                <w:b w:val="1"/>
                <w:bCs w:val="1"/>
                <w:color w:val="auto"/>
                <w:w w:val="96"/>
              </w:rPr>
              <w:t>June 17, 2016</w:t>
            </w:r>
          </w:p>
        </w:tc>
        <w:tc>
          <w:tcPr>
            <w:tcW w:w="0" w:type="dxa"/>
            <w:vAlign w:val="bottom"/>
          </w:tcPr>
          <w:p>
            <w:pPr>
              <w:spacing w:after="0"/>
              <w:rPr>
                <w:sz w:val="1"/>
                <w:szCs w:val="1"/>
                <w:color w:val="auto"/>
              </w:rPr>
            </w:pPr>
          </w:p>
        </w:tc>
      </w:tr>
      <w:tr>
        <w:trPr>
          <w:trHeight w:val="297"/>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(91 days)</w:t>
            </w:r>
          </w:p>
        </w:tc>
        <w:tc>
          <w:tcPr>
            <w:tcW w:w="20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(84 days)</w:t>
            </w:r>
          </w:p>
        </w:tc>
        <w:tc>
          <w:tcPr>
            <w:tcW w:w="20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(182 days)</w:t>
            </w:r>
          </w:p>
        </w:tc>
        <w:tc>
          <w:tcPr>
            <w:tcW w:w="200" w:type="dxa"/>
            <w:vAlign w:val="bottom"/>
          </w:tcPr>
          <w:p>
            <w:pPr>
              <w:spacing w:after="0"/>
              <w:rPr>
                <w:sz w:val="24"/>
                <w:szCs w:val="24"/>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b w:val="1"/>
                <w:bCs w:val="1"/>
                <w:color w:val="auto"/>
              </w:rPr>
              <w:t>(168 days)</w:t>
            </w:r>
          </w:p>
        </w:tc>
        <w:tc>
          <w:tcPr>
            <w:tcW w:w="0" w:type="dxa"/>
            <w:vAlign w:val="bottom"/>
          </w:tcPr>
          <w:p>
            <w:pPr>
              <w:spacing w:after="0"/>
              <w:rPr>
                <w:sz w:val="1"/>
                <w:szCs w:val="1"/>
                <w:color w:val="auto"/>
              </w:rPr>
            </w:pPr>
          </w:p>
        </w:tc>
      </w:tr>
      <w:tr>
        <w:trPr>
          <w:trHeight w:val="215"/>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securitized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21,201</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46,294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42,392</w:t>
            </w:r>
          </w:p>
        </w:tc>
        <w:tc>
          <w:tcPr>
            <w:tcW w:w="0" w:type="dxa"/>
            <w:vAlign w:val="bottom"/>
          </w:tcPr>
          <w:p>
            <w:pPr>
              <w:spacing w:after="0"/>
              <w:rPr>
                <w:sz w:val="1"/>
                <w:szCs w:val="1"/>
                <w:color w:val="auto"/>
              </w:rPr>
            </w:pP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 non-securitized</w:t>
            </w:r>
          </w:p>
        </w:tc>
        <w:tc>
          <w:tcPr>
            <w:tcW w:w="20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6,052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interest income associated with vacation ownership notes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30,803</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27,253</w:t>
            </w:r>
          </w:p>
        </w:tc>
        <w:tc>
          <w:tcPr>
            <w:tcW w:w="2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61,159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55,027</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the 2017 first half: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110,363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22,426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Defaulted vacation ownership notes receivable repurchase activity</w:t>
            </w:r>
            <w:r>
              <w:rPr>
                <w:rFonts w:ascii="Arial" w:cs="Arial" w:eastAsia="Arial" w:hAnsi="Arial"/>
                <w:sz w:val="18"/>
                <w:szCs w:val="18"/>
                <w:color w:val="auto"/>
                <w:w w:val="98"/>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62,507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47,986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110,493</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00" w:right="40" w:hanging="1292"/>
        <w:spacing w:after="0" w:line="252" w:lineRule="auto"/>
        <w:tabs>
          <w:tab w:leader="none" w:pos="652"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Asia Pacific or Europe, when revocation is complete. For both non-securitized and securitized vacation ownership notes receivable, we estimated average remaining default rates of 7.14 percent and 7.09 percent as of June 30, 2017 and December 30, 2016, respectively. A 0.5 percentage point increase in the estimated default rate would have resulted in an increase in our allowance for loan losses of $5.4 million and $5.0 million as of June 30, 2017 and December 30, 2016, respectively.</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1"/>
              </w:rPr>
              <w:t>Non-Securitized</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Securitized</w:t>
            </w: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Vacation Ownership</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Vacation Ownership</w:t>
            </w:r>
          </w:p>
        </w:tc>
        <w:tc>
          <w:tcPr>
            <w:tcW w:w="940" w:type="dxa"/>
            <w:vAlign w:val="bottom"/>
          </w:tcPr>
          <w:p>
            <w:pPr>
              <w:spacing w:after="0"/>
              <w:rPr>
                <w:sz w:val="17"/>
                <w:szCs w:val="17"/>
                <w:color w:val="auto"/>
              </w:rPr>
            </w:pPr>
          </w:p>
        </w:tc>
      </w:tr>
      <w:tr>
        <w:trPr>
          <w:trHeight w:val="231"/>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87"/>
              </w:rPr>
              <w:t>Notes Receivable</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Notes Receivable</w:t>
            </w: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88"/>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June 30, 2017</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December 30, 2016</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2017 second quarter</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2016 second quarter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2017 first half</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2016 first half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38,478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6,990</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45,468</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43,792</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6,687</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50,479</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38,179</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7,484</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45,663</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47,471</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10,407</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57,878</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41,135</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6,839</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47,974</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47,136</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9,699</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56,835</w:t>
            </w:r>
          </w:p>
        </w:tc>
      </w:tr>
    </w:tbl>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20,052</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11,037</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34,431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65,520</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397,960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683,462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1,081,422</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443,776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703,166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1,146,942</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24,248</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10,668</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39,811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74,727</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748,123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1,007,947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311,396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771,278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1,082,674</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700"/>
              <w:spacing w:after="0"/>
              <w:rPr>
                <w:sz w:val="20"/>
                <w:szCs w:val="20"/>
                <w:color w:val="auto"/>
              </w:rPr>
            </w:pPr>
            <w:r>
              <w:rPr>
                <w:rFonts w:ascii="Arial" w:cs="Arial" w:eastAsia="Arial" w:hAnsi="Arial"/>
                <w:sz w:val="16"/>
                <w:szCs w:val="16"/>
                <w:b w:val="1"/>
                <w:bCs w:val="1"/>
                <w:color w:val="auto"/>
              </w:rPr>
              <w:t>At June 30, 2017</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30, 2016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color w:val="auto"/>
                <w:w w:val="86"/>
                <w:vertAlign w:val="superscript"/>
              </w:rPr>
              <w:t>(1)</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834,009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381,269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415,074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269,161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1,047,096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1,189,725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972,311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1,103,170</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(614,157)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(614,386)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(729,188)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Warehouse credit facility,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corporate credit facility,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Non-interest bearing note payable,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(725,963)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with the exception of other assets, has been determined using Level 3 inputs. Fair value of other assets that are financial instruments has been determined using Level 2 inputs.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At December 30, 2016</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20"/>
                <w:szCs w:val="20"/>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Eligible for securitization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224,560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258,365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98,508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112,901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156,709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156,260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381,269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415,074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254,768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269,161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fair value of our other assets that are financial instruments using Level 2 inputs. These assets consist of COLI policies held in a rabbi trust. The carrying value of the COLI policies is equal to their cash surrender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and Warehouse Credit Facility</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generate cash flow estimates by modeling all bond tranches for our active vacation ownership notes receivable securitization transactions and our non-recourse warehouse credit facility (the “Warehouse Credit Facility”),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carrying value of the outstanding balance on our $200 million revolving corporate credit facility (the “Revolving Corporate Credit Facility”) approximates fair value, as the contractual interest rate for funds currently borrowed floats at an annual borrowing rate as defined in the Revolving Corporate Credit Facility, which is determined based on certain publicly available rates plus an applicable margin based on our credit rating.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 See Footnote No. 5, “Acquisitions and Dispositions,” and Footnote No. 9, “Debt,” for additional information on this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2017 second quarter, we acquired 36 completed vacation ownership units located at our resort in Marco Island, Florida for $33.6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Flows. See Footnote No. 8, “Contingencies and Commitments,” for information on our remaining commitment related to this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left="60" w:right="40" w:firstLine="648"/>
        <w:spacing w:after="0" w:line="259" w:lineRule="auto"/>
        <w:rPr>
          <w:sz w:val="20"/>
          <w:szCs w:val="20"/>
          <w:color w:val="auto"/>
        </w:rPr>
      </w:pPr>
      <w:r>
        <w:rPr>
          <w:rFonts w:ascii="Arial" w:cs="Arial" w:eastAsia="Arial" w:hAnsi="Arial"/>
          <w:sz w:val="18"/>
          <w:szCs w:val="18"/>
          <w:color w:val="auto"/>
        </w:rPr>
        <w:t>During the 2017 second quarter, we acquired 112 completed vacation ownership units located on the Big Island of Hawaii. The transaction was accounted for as an asset acquisition with all of the purchase price allocated to Inventory. As consideration for the acquisition, we paid $27.3 million in cash, settled a $0.5 million note receivable from the seller on a non-cash basis, and issued a non-interest bearing note payable for $63.6 million. See Footnote No. 9, “Debt,” for information on the non-interest bearing note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11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During the 2016 first quarter,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As consideration for the acquisition, we paid $23.5 million in cash; the value of the acquired property was allocated to Inventory. We rebranded this property as Marriott Vacation Club Pulse, South Beach and converted it, in its entirety, into vacation ownership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2016 second quarter,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(Losses) gains and other (expense) income line on our Statements of Income for the 2016 second quarter and the 2016 first half.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2015, we completed the acquisition of an operating property located in Surfers Paradise, Australia. During the 2016 second quarter, we disposed of the portion of this operating property that we did not intend to convert into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this portion of the operating property through 2021 up to a specified maximum of AUD $2.9 million ($2.2 million), which was recorded as a deferred gain in the Other line within liabilities on our balance sheet. We recognized a loss, inclusive of the deferred gain, of AUD $1.2 million ($0.9 million) in connection with the sale, which was recorded in (Losses) gains and other (expense) income line on the Statement of Income for the 2016 second quarter and the 2016 first half.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5"/>
          </w:tcPr>
          <w:p>
            <w:pPr>
              <w:ind w:left="96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8"/>
                <w:szCs w:val="18"/>
                <w:color w:val="auto"/>
              </w:rPr>
            </w:pPr>
          </w:p>
        </w:tc>
        <w:tc>
          <w:tcPr>
            <w:tcW w:w="310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Year to Date Ended</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June 30, 2017</w:t>
            </w:r>
            <w:r>
              <w:rPr>
                <w:rFonts w:ascii="Arial" w:cs="Arial" w:eastAsia="Arial" w:hAnsi="Arial"/>
                <w:sz w:val="17"/>
                <w:szCs w:val="17"/>
                <w:b w:val="1"/>
                <w:bCs w:val="1"/>
                <w:color w:val="auto"/>
                <w:w w:val="88"/>
                <w:vertAlign w:val="superscript"/>
              </w:rPr>
              <w:t>(1)</w:t>
            </w:r>
          </w:p>
        </w:tc>
        <w:tc>
          <w:tcPr>
            <w:tcW w:w="200" w:type="dxa"/>
            <w:vAlign w:val="bottom"/>
          </w:tcPr>
          <w:p>
            <w:pPr>
              <w:spacing w:after="0"/>
              <w:rPr>
                <w:sz w:val="22"/>
                <w:szCs w:val="22"/>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June 17, 2016</w:t>
            </w:r>
            <w:r>
              <w:rPr>
                <w:rFonts w:ascii="Arial" w:cs="Arial" w:eastAsia="Arial" w:hAnsi="Arial"/>
                <w:sz w:val="17"/>
                <w:szCs w:val="17"/>
                <w:b w:val="1"/>
                <w:bCs w:val="1"/>
                <w:color w:val="auto"/>
                <w:w w:val="89"/>
                <w:vertAlign w:val="superscript"/>
              </w:rPr>
              <w:t>(2)</w:t>
            </w:r>
          </w:p>
        </w:tc>
        <w:tc>
          <w:tcPr>
            <w:tcW w:w="20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June 30, 2017</w:t>
            </w:r>
            <w:r>
              <w:rPr>
                <w:rFonts w:ascii="Arial" w:cs="Arial" w:eastAsia="Arial" w:hAnsi="Arial"/>
                <w:sz w:val="17"/>
                <w:szCs w:val="17"/>
                <w:b w:val="1"/>
                <w:bCs w:val="1"/>
                <w:color w:val="auto"/>
                <w:w w:val="88"/>
                <w:vertAlign w:val="superscript"/>
              </w:rPr>
              <w:t>(1)</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Arial" w:cs="Arial" w:eastAsia="Arial" w:hAnsi="Arial"/>
                <w:sz w:val="16"/>
                <w:szCs w:val="16"/>
                <w:b w:val="1"/>
                <w:bCs w:val="1"/>
                <w:color w:val="auto"/>
                <w:w w:val="93"/>
              </w:rPr>
              <w:t>June 17, 2016</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266"/>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200" w:type="dxa"/>
            <w:vAlign w:val="bottom"/>
          </w:tcPr>
          <w:p>
            <w:pPr>
              <w:spacing w:after="0"/>
              <w:rPr>
                <w:sz w:val="23"/>
                <w:szCs w:val="23"/>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(84 days)</w:t>
            </w:r>
          </w:p>
        </w:tc>
        <w:tc>
          <w:tcPr>
            <w:tcW w:w="200" w:type="dxa"/>
            <w:vAlign w:val="bottom"/>
          </w:tcPr>
          <w:p>
            <w:pPr>
              <w:spacing w:after="0"/>
              <w:rPr>
                <w:sz w:val="23"/>
                <w:szCs w:val="2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(182 days)</w:t>
            </w:r>
          </w:p>
        </w:tc>
        <w:tc>
          <w:tcPr>
            <w:tcW w:w="200" w:type="dxa"/>
            <w:vAlign w:val="bottom"/>
          </w:tcPr>
          <w:p>
            <w:pPr>
              <w:spacing w:after="0"/>
              <w:rPr>
                <w:sz w:val="23"/>
                <w:szCs w:val="23"/>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(168 days)</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44,276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36,309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77,976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60,717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28,345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28,734</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44,276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36,309</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77,976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60,717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28,345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Employee stock options and SARs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earnings per share</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28,834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57"/>
        </w:trPr>
        <w:tc>
          <w:tcPr>
            <w:tcW w:w="458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2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306,000 shares of common stock, the maximum number of shares issuable as of June 30, 2017 upon the vesting of certain performance-based awards, because the performance conditions required to be met for the shares subject to such awards to vest were not achieved by the end of the reporting period.</w:t>
      </w:r>
    </w:p>
    <w:p>
      <w:pPr>
        <w:spacing w:after="0" w:line="41" w:lineRule="exact"/>
        <w:rPr>
          <w:rFonts w:ascii="Arial" w:cs="Arial" w:eastAsia="Arial" w:hAnsi="Arial"/>
          <w:sz w:val="25"/>
          <w:szCs w:val="25"/>
          <w:color w:val="auto"/>
          <w:vertAlign w:val="superscript"/>
        </w:rPr>
      </w:pPr>
    </w:p>
    <w:p>
      <w:pPr>
        <w:jc w:val="both"/>
        <w:ind w:left="660" w:right="2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263,000 shares of common stock, the maximum number of shares issuable as of June 17, 2016 upon the vesting of certain performance-based awards, because the performance conditions required to be met for the shares subject to such awards to vest were not achieved by the end of the reporting period.</w:t>
      </w:r>
    </w:p>
    <w:p>
      <w:pPr>
        <w:spacing w:after="0" w:line="96"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2017 second quarter and the 2017 first half, our calculation of diluted earnings per share included shares of underlying stock appreciation rights (“SARs”) that may be settled in shares of common stock, because the exercise prices of such SARs were less than or equal to the average market prices for the applicable period.</w:t>
      </w:r>
    </w:p>
    <w:p>
      <w:pPr>
        <w:spacing w:after="0" w:line="5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For the 2016 second quarter, we excluded from our calculation of diluted earnings per share 62,018 shares underlying SARs that may be settled in shares of common stock because the exercise price of $77.42 of such SARs was greater than the average market price for the applicable period.</w:t>
      </w:r>
    </w:p>
    <w:p>
      <w:pPr>
        <w:spacing w:after="0" w:line="1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2016 first half, we excluded from our calculation of diluted earnings per share 194,615 shares underlying SARs that may be settled in shares of common stock because the exercise prices of such SARs, which ranged from $61.71 to $77.42, were greater than the average market price for the applicable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2017</w:t>
            </w:r>
          </w:p>
        </w:tc>
        <w:tc>
          <w:tcPr>
            <w:tcW w:w="200" w:type="dxa"/>
            <w:vAlign w:val="bottom"/>
          </w:tcPr>
          <w:p>
            <w:pPr>
              <w:spacing w:after="0"/>
              <w:rPr>
                <w:sz w:val="20"/>
                <w:szCs w:val="20"/>
                <w:color w:val="auto"/>
              </w:rPr>
            </w:pPr>
          </w:p>
        </w:tc>
        <w:tc>
          <w:tcPr>
            <w:tcW w:w="19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70"/>
        </w:trPr>
        <w:tc>
          <w:tcPr>
            <w:tcW w:w="6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421,082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337,949</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0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8"/>
                <w:szCs w:val="18"/>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318,351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330,728</w:t>
            </w:r>
          </w:p>
        </w:tc>
        <w:tc>
          <w:tcPr>
            <w:tcW w:w="0" w:type="dxa"/>
            <w:vAlign w:val="bottom"/>
          </w:tcPr>
          <w:p>
            <w:pPr>
              <w:spacing w:after="0"/>
              <w:rPr>
                <w:sz w:val="1"/>
                <w:szCs w:val="1"/>
                <w:color w:val="auto"/>
              </w:rPr>
            </w:pPr>
          </w:p>
        </w:tc>
      </w:tr>
      <w:tr>
        <w:trPr>
          <w:trHeight w:val="237"/>
        </w:trPr>
        <w:tc>
          <w:tcPr>
            <w:tcW w:w="6720" w:type="dxa"/>
            <w:vAlign w:val="bottom"/>
          </w:tcPr>
          <w:p>
            <w:pPr>
              <w:ind w:left="1140"/>
              <w:spacing w:after="0"/>
              <w:rPr>
                <w:sz w:val="20"/>
                <w:szCs w:val="20"/>
                <w:color w:val="auto"/>
              </w:rPr>
            </w:pPr>
            <w:r>
              <w:rPr>
                <w:rFonts w:ascii="Arial" w:cs="Arial" w:eastAsia="Arial" w:hAnsi="Arial"/>
                <w:sz w:val="18"/>
                <w:szCs w:val="18"/>
                <w:color w:val="auto"/>
              </w:rPr>
              <w:t>Real estate inventory</w:t>
            </w:r>
          </w:p>
        </w:tc>
        <w:tc>
          <w:tcPr>
            <w:tcW w:w="300" w:type="dxa"/>
            <w:vAlign w:val="bottom"/>
          </w:tcPr>
          <w:p>
            <w:pPr>
              <w:spacing w:after="0"/>
              <w:rPr>
                <w:sz w:val="20"/>
                <w:szCs w:val="20"/>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739,433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708,163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744,430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712,536</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$65.8 million of inventory related to estimated future foreclosures at June 30, 2017.</w:t>
      </w:r>
    </w:p>
    <w:p>
      <w:pPr>
        <w:spacing w:after="0" w:line="9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decreased carrying values of inventory by $0.4 million during the 2017 first half and increased carrying values of inventory by $10.7 million during the 2016 first half.</w:t>
      </w:r>
    </w:p>
    <w:p>
      <w:pPr>
        <w:spacing w:after="0" w:line="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addition to the above, at June 30, 2017, we had $48.7 million of completed vacation ownership units which have been classified as a component of Property and equipment until the time at which they are legally registered for sale as vacation ownership products. Furthermore, at June 30, 2017, we also had $315.2 million of commitments to acquire completed vacation ownership units as discussed below in Footnote No. 8, “Contingencies and Commitments.”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2017, we had the following commitments outstanding:</w:t>
      </w:r>
    </w:p>
    <w:p>
      <w:pPr>
        <w:spacing w:after="0" w:line="117" w:lineRule="exact"/>
        <w:rPr>
          <w:sz w:val="20"/>
          <w:szCs w:val="20"/>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$26.2 million, of which we expect $6.7 million, $11.4 million, $4.2 million, $1.7 million, $0.8 million and $1.4 million will be paid in 2017, 2018, 2019, 2020, 2021 and thereafter, respectively.</w:t>
      </w:r>
    </w:p>
    <w:p>
      <w:pPr>
        <w:spacing w:after="0" w:line="73" w:lineRule="exact"/>
        <w:rPr>
          <w:rFonts w:ascii="Arial" w:cs="Arial" w:eastAsia="Arial" w:hAnsi="Arial"/>
          <w:sz w:val="18"/>
          <w:szCs w:val="18"/>
          <w:color w:val="auto"/>
        </w:rPr>
      </w:pPr>
    </w:p>
    <w:p>
      <w:pPr>
        <w:ind w:left="980" w:right="180" w:hanging="324"/>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commitment to purchase an operating property located in New York, New York, for $158.5 million, of which $7.2 million is attributed to a related capital lease arrangement and recorded in Debt. We expect to acquire the units in the property in their current form, over time, and we expect to make payments for these units of $96.8 million and $61.7 million in 2018 and 2019, respectively. We currently manage this property, which we have rebranded as Marriott Vacation Club Pulse, New York City. See Footnote No. 12, “Variable Interest Entities,” for additional information on this transaction.</w:t>
      </w:r>
    </w:p>
    <w:p>
      <w:pPr>
        <w:spacing w:after="0" w:line="80" w:lineRule="exact"/>
        <w:rPr>
          <w:rFonts w:ascii="Arial" w:cs="Arial" w:eastAsia="Arial" w:hAnsi="Arial"/>
          <w:sz w:val="18"/>
          <w:szCs w:val="18"/>
          <w:color w:val="auto"/>
        </w:rPr>
      </w:pPr>
    </w:p>
    <w:p>
      <w:pPr>
        <w:ind w:left="980" w:right="80" w:hanging="324"/>
        <w:spacing w:after="0" w:line="293"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commitments to purchase vacation ownership units located in two resorts in Bali, Indonesia in two separate transactions, contingent upon completion of construction to agreed-upon standards within specified timeframes, for use in our Asia Pacific segment. We expect to complete the acquisition of 51 vacation ownership units in the 2017 third quarter pursuant to one of the commitments, subject to the completion of specific construction milestones, and to make remaining payments of $15.4 million with respect to these units. We expect to complete the acquisition of 88 vacation ownership units in 2019 pursuant to the other commitment and to make payments with respect to these units when specific construction milestones are completed, as follows: $7.8 million in 2017, $5.9 million in 2018 and $25.4 million in 2019.</w:t>
      </w:r>
    </w:p>
    <w:p>
      <w:pPr>
        <w:spacing w:after="0" w:line="56"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remaining commitment to purchase vacation ownership units located at our resort in Marco Island, Florida for $102.2 million, which we expect will be paid as follows: $50.0 million in 2018 and $52.2 million in 2019. See Footnote No. 5, “Acquisitions and Dispositions,” and Footnote No. 12, “Variable Interest Entities,” for additional information on this transaction.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980" w:right="4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new operating lease commitments that expire in 2029. Our aggregate minimum lease payments under these contracts are $17.6 million, of which we expect $0.2 million, $0.4 million, $1.7 million, $1.7 million, $1.9 million and $11.7 million will be paid in 2017, 2018, 2019, 2020, 2021 and thereafter, respectively.</w:t>
      </w:r>
    </w:p>
    <w:p>
      <w:pPr>
        <w:spacing w:after="0" w:line="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Surety bonds issued as of June 30, 2017 totaled $37.7 million, the majority of which were requested by federal, state or local governments in connection with our operations.</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Additionally, as of June 30, 2017, we had $4.6 million of letters of credit outstanding under our Revolving Corporate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April 2013, Krishna and Sherrie Narayan and other owners of 12 residential units (owners of two of which subsequently agreed to release their claims) at the resort formerly known as The Ritz-Carlton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the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 seeking review of the Hawaii Supreme Court’s decision. In January 2016, the U.S. Supreme Court issued an order vacating the Hawaii Supreme Court’s decision and remanding the case with instructions to reconsider its ruling in light of a recent U.S. Supreme Court decision reiterating the obligation of courts to enforce arbitration agreements. On July 14, 2017, the Hawaii Supreme Court issued a decision reaffirming its prior ruling and remanding the case to the Circuit Court for trial. On July 24, 2017, we filed a motion for reconsideration of that decision. Given the inherent uncertainties of litigation, we cannot estimate a range of the potential liability, if any, at this time.</w:t>
      </w:r>
    </w:p>
    <w:p>
      <w:pPr>
        <w:spacing w:after="0" w:line="83"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In July 2015, the Intermediate Court of Appeals reversed the decision of the Circuit Court and directed that the action be reinstated in the Circuit Court, based on the Hawaii Supreme Court’s decision in the Narayan case discussed above, which was subsequently vacated by the U.S. Supreme Court. On July 14, 2017, the Hawaii Supreme Court issued an opinion reaffirming its 2015 ruling in the Nayayan case and remanding that case to the trial court. We filed a motion for reconsideration of the Hawaii Supreme Court’s decision in the Narayan case on July 24, 2017, which remains pending.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May 26,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on April 25, 2016. We filed a motion to dismiss. The Court held a hearing and the parties are awaiting a decision.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March 31, 2017, RCHFU, L.L.C. and other owners of 232 fractional interests at The Ritz-Carlton Club, Aspen Highlands (“RCC Aspen Highlands”) served an amended complaint in an action pending in the court against us, certain of our subsidiaries, and other third party defendants. The U.S. District Court for the District of Colorado has ordered that no further amendments will be permitted.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remains pending.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5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May 20, 2016, we, certain of our subsidiaries, and other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On September 15, 2016, we filed a motion to dismiss the complaint and a motion to stay the case pending referral of certain questions to Florida state regulators, which motions remain pending.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discount and debt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2017</w:t>
            </w:r>
          </w:p>
        </w:tc>
        <w:tc>
          <w:tcPr>
            <w:tcW w:w="20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6"/>
                <w:szCs w:val="16"/>
                <w:b w:val="1"/>
                <w:bCs w:val="1"/>
                <w:color w:val="auto"/>
                <w:w w:val="95"/>
              </w:rPr>
              <w:t>At December 30, 2016</w:t>
            </w:r>
          </w:p>
        </w:tc>
        <w:tc>
          <w:tcPr>
            <w:tcW w:w="0" w:type="dxa"/>
            <w:vAlign w:val="bottom"/>
          </w:tcPr>
          <w:p>
            <w:pPr>
              <w:spacing w:after="0"/>
              <w:rPr>
                <w:sz w:val="1"/>
                <w:szCs w:val="1"/>
                <w:color w:val="auto"/>
              </w:rPr>
            </w:pPr>
          </w:p>
        </w:tc>
      </w:tr>
      <w:tr>
        <w:trPr>
          <w:trHeight w:val="270"/>
        </w:trPr>
        <w:tc>
          <w:tcPr>
            <w:tcW w:w="6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621,602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738,362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729,188</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Warehouse Credit Facility, gross</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Revolving Corporate Credit Facility, gross</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(5)</w:t>
            </w: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discount</w:t>
            </w:r>
            <w:r>
              <w:rPr>
                <w:rFonts w:ascii="Arial" w:cs="Arial" w:eastAsia="Arial" w:hAnsi="Arial"/>
                <w:sz w:val="18"/>
                <w:szCs w:val="18"/>
                <w:color w:val="auto"/>
                <w:vertAlign w:val="superscript"/>
              </w:rPr>
              <w:t>(6)</w:t>
            </w: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gross</w:t>
            </w: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773,557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737,224</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Interest rates as of June 30, 2017 range from 2.2% to 6.3% with a weighted average interest rate of 2.5%.</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June 30, 2017 was 2.2%.</w:t>
      </w:r>
    </w:p>
    <w:p>
      <w:pPr>
        <w:spacing w:after="0" w:line="56" w:lineRule="exact"/>
        <w:rPr>
          <w:rFonts w:ascii="Arial" w:cs="Arial" w:eastAsia="Arial" w:hAnsi="Arial"/>
          <w:sz w:val="24"/>
          <w:szCs w:val="24"/>
          <w:color w:val="auto"/>
          <w:vertAlign w:val="superscript"/>
        </w:rPr>
      </w:pPr>
    </w:p>
    <w:p>
      <w:pPr>
        <w:ind w:left="660" w:right="160" w:hanging="652"/>
        <w:spacing w:after="0" w:line="20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no borrowings were outstanding at December 30, 2016, unamortized debt issuance costs of $0.9 million were included in the Other line within Assets on the Balance Sheet.</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effective interest rate as of June 30, 2017 was 5.1%.</w:t>
      </w:r>
    </w:p>
    <w:p>
      <w:pPr>
        <w:spacing w:after="0" w:line="56" w:lineRule="exact"/>
        <w:rPr>
          <w:rFonts w:ascii="Arial" w:cs="Arial" w:eastAsia="Arial" w:hAnsi="Arial"/>
          <w:sz w:val="25"/>
          <w:szCs w:val="25"/>
          <w:color w:val="auto"/>
          <w:vertAlign w:val="superscript"/>
        </w:rPr>
      </w:pPr>
    </w:p>
    <w:p>
      <w:pPr>
        <w:ind w:left="660" w:right="160" w:hanging="652"/>
        <w:spacing w:after="0" w:line="20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As no borrowings were outstanding at December 30, 2016, unamortized debt issuance costs of $2.9 million were included in the Other line within Assets on the Balance Sheet.</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Discount based on imputed interest rate of 6.0%.</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No. 12, “Variable Interest Entities,” for a discussion of the collateral for the non-recourse debt associated with the securitized vacation ownership notes receivable and the Warehouse Credit Facility.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June 30,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Revolving</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Vacation Ownership</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Warehouse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Non-Interest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Credit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Credit</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Bearing Note</w:t>
            </w: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Capital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2"/>
        </w:trPr>
        <w:tc>
          <w:tcPr>
            <w:tcW w:w="1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Securitizations</w:t>
            </w:r>
            <w:r>
              <w:rPr>
                <w:rFonts w:ascii="Arial" w:cs="Arial" w:eastAsia="Arial" w:hAnsi="Arial"/>
                <w:sz w:val="17"/>
                <w:szCs w:val="17"/>
                <w:b w:val="1"/>
                <w:bCs w:val="1"/>
                <w:color w:val="auto"/>
                <w:w w:val="87"/>
                <w:vertAlign w:val="superscript"/>
              </w:rPr>
              <w:t>(1)</w:t>
            </w:r>
          </w:p>
        </w:tc>
        <w:tc>
          <w:tcPr>
            <w:tcW w:w="14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Facility</w:t>
            </w:r>
            <w:r>
              <w:rPr>
                <w:rFonts w:ascii="Arial" w:cs="Arial" w:eastAsia="Arial" w:hAnsi="Arial"/>
                <w:sz w:val="17"/>
                <w:szCs w:val="17"/>
                <w:b w:val="1"/>
                <w:bCs w:val="1"/>
                <w:color w:val="auto"/>
                <w:w w:val="89"/>
                <w:vertAlign w:val="superscript"/>
              </w:rPr>
              <w:t>(1)</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Facility</w:t>
            </w: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Payable</w:t>
            </w:r>
          </w:p>
        </w:tc>
        <w:tc>
          <w:tcPr>
            <w:tcW w:w="24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Debt</w:t>
            </w:r>
          </w:p>
        </w:tc>
        <w:tc>
          <w:tcPr>
            <w:tcW w:w="22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Leases</w:t>
            </w:r>
          </w:p>
        </w:tc>
        <w:tc>
          <w:tcPr>
            <w:tcW w:w="280" w:type="dxa"/>
            <w:vAlign w:val="bottom"/>
          </w:tcPr>
          <w:p>
            <w:pPr>
              <w:spacing w:after="0"/>
              <w:rPr>
                <w:sz w:val="21"/>
                <w:szCs w:val="21"/>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197"/>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8"/>
              </w:rPr>
              <w:t>Debt Principal Payments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3"/>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2017, remaining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44,767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46,191</w:t>
            </w:r>
          </w:p>
        </w:tc>
      </w:tr>
      <w:tr>
        <w:trPr>
          <w:trHeight w:val="27"/>
        </w:trPr>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125,472</w:t>
            </w: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75,774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157,616</w:t>
            </w:r>
          </w:p>
        </w:tc>
      </w:tr>
      <w:tr>
        <w:trPr>
          <w:trHeight w:val="27"/>
        </w:trPr>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116,912</w:t>
            </w: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73,567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73,572</w:t>
            </w:r>
          </w:p>
        </w:tc>
      </w:tr>
      <w:tr>
        <w:trPr>
          <w:trHeight w:val="27"/>
        </w:trPr>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269,759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269,949</w:t>
            </w:r>
          </w:p>
        </w:tc>
      </w:tr>
      <w:tr>
        <w:trPr>
          <w:trHeight w:val="237"/>
        </w:trPr>
        <w:tc>
          <w:tcPr>
            <w:tcW w:w="1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621,602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49,619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47,500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17145</wp:posOffset>
            </wp:positionV>
            <wp:extent cx="588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-130175</wp:posOffset>
            </wp:positionV>
            <wp:extent cx="588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ind w:left="660" w:hanging="652"/>
        <w:spacing w:after="0"/>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The debt associated with our vacation ownership notes receivable securitizations and the Warehouse Credit Facility is non-recourse to us.</w:t>
      </w:r>
    </w:p>
    <w:p>
      <w:pPr>
        <w:spacing w:after="0" w:line="98" w:lineRule="exact"/>
        <w:rPr>
          <w:sz w:val="20"/>
          <w:szCs w:val="20"/>
          <w:color w:val="auto"/>
        </w:rPr>
      </w:pPr>
    </w:p>
    <w:p>
      <w:pPr>
        <w:jc w:val="both"/>
        <w:ind w:right="600" w:firstLine="648"/>
        <w:spacing w:after="0" w:line="336"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paid cash for interest, net of amounts capitalized, of $9.9 million and $8.9 million in the 2017 first half and the 2016 first half,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2017 first half, and as of June 30, 2017, no securitized vacation ownership notes receivable pools were out of compliance with their respective established parameters. As of June 30, 2017, we had 7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Warehouse Credit Facility, which has a borrowing capacity of $250 million, allows for the securitization of vacation ownership notes receivable on a non-recourse basis. The Warehouse Credit Facility terminates on March 7, 2019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During the 2017 second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 We generally expect to securitize our vacation ownership notes receivable, including any vacation ownership notes receivable held in the Warehouse Credit Facility, in the ABS market once per 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Revolving Corporate Credit Facility, which terminates on September 10, 2019,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plus an applicable margin that varies from 1.625 percent to 3.125 percent depending on our credit rating. In addition, we pay a commitment fee on the unused availability under the Revolving Corporate Credit Facility at a rate that varies from 20 basis points per annum to 50 basis points per annum depending on our credit rating.</w:t>
      </w:r>
    </w:p>
    <w:p>
      <w:pPr>
        <w:spacing w:after="0" w:line="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Any amounts that are borrowed under the Revolving Corporate Credit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June 30, 2017, we were in compliance with the requirements of applicable financial and operating covenants under the facility.</w:t>
      </w:r>
    </w:p>
    <w:p>
      <w:pPr>
        <w:spacing w:after="0" w:line="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Subsequent to the end of the 2017 second quarter, we borrowed $27.5 million under our Revolving Corporate Credit Facility to facilitate the funding of our short-term working capital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During the 2017 second quarter, we issued a non-interest bearing note payable in connection with the acquisition of vacation ownership units located on the Big Island of Hawaii. See Footnote No. 5, “Acquisitions and Dispositions,” for additional information regarding this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2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June 30, 2017, there were 36,839,064 shares of Marriott Vacations Worldwide common stock issued, of which 27,169,094 shares were outstanding and 9,669,970 shares were held as treasury stock. At December 30, 2016, there were 36,633,868 shares of Marriott Vacations Worldwide common stock issued, of which 26,990,306 shares were outstanding and 9,643,562 shares were held as treasury stock. Marriott Vacations Worldwide has 2,000,000 authorized shares of preferred stock, par value of $0.01 per share, none of which were issued or outstanding as of June 30, 2017 or December 30, 2016.</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changes in shareholders’ equity during the quarter ended June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260" w:type="dxa"/>
            <w:vAlign w:val="bottom"/>
          </w:tcPr>
          <w:p>
            <w:pPr>
              <w:spacing w:after="0"/>
              <w:rPr>
                <w:sz w:val="17"/>
                <w:szCs w:val="17"/>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37"/>
        </w:trPr>
        <w:tc>
          <w:tcPr>
            <w:tcW w:w="3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60" w:type="dxa"/>
            <w:vAlign w:val="bottom"/>
          </w:tcPr>
          <w:p>
            <w:pPr>
              <w:spacing w:after="0"/>
              <w:rPr>
                <w:sz w:val="20"/>
                <w:szCs w:val="20"/>
                <w:color w:val="auto"/>
              </w:rPr>
            </w:pPr>
          </w:p>
        </w:tc>
        <w:tc>
          <w:tcPr>
            <w:tcW w:w="1000" w:type="dxa"/>
            <w:vAlign w:val="bottom"/>
          </w:tcPr>
          <w:p>
            <w:pPr>
              <w:jc w:val="right"/>
              <w:ind w:right="311"/>
              <w:spacing w:after="0"/>
              <w:rPr>
                <w:sz w:val="20"/>
                <w:szCs w:val="20"/>
                <w:color w:val="auto"/>
              </w:rPr>
            </w:pPr>
            <w:r>
              <w:rPr>
                <w:rFonts w:ascii="Arial" w:cs="Arial" w:eastAsia="Arial" w:hAnsi="Arial"/>
                <w:sz w:val="16"/>
                <w:szCs w:val="16"/>
                <w:b w:val="1"/>
                <w:bCs w:val="1"/>
                <w:color w:val="auto"/>
              </w:rPr>
              <w:t>Equity</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Impact of adoption of ASU 2016-09</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2017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77,976</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 instrument adjustment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Amounts related to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Employee stock plan issuance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622</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1,161,507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404,869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968,818</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2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For the 2017 first half</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119.01</w:t>
            </w:r>
          </w:p>
        </w:tc>
      </w:tr>
      <w:tr>
        <w:trPr>
          <w:trHeight w:val="27"/>
        </w:trPr>
        <w:tc>
          <w:tcPr>
            <w:tcW w:w="63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2017</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9,705,129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612,307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63.09</w:t>
            </w:r>
          </w:p>
        </w:tc>
      </w:tr>
      <w:tr>
        <w:trPr>
          <w:trHeight w:val="20"/>
        </w:trPr>
        <w:tc>
          <w:tcPr>
            <w:tcW w:w="6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February 9, 2017, our Board of Directors extended the duration of our existing share repurchase program to September 30, 2017. As of June 30, 2017, our Board of Directors had authorized the repurchase of an aggregate of up to 10.9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2017, 1.2 million shares remained available for repurchase under the authorization approved by our Board of Directors. The authorization for the share repurchase program may be suspended, terminated, increased or decreased by our Board of Directors at any time without prior notice. See Footnote No. 14, “Subsequent Events,” for additional information on the share repurchase program, including a recent increase in the number of shares available for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2017 first half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9, 2017</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February 23,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March 9,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11, 2017</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May 25,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8,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$0.35</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maintain the Marriott Vacations Worldwide Corporation Stock and Cash Incentive Plan (the “Stock Plan”) for the benefit of our officers, directors and employees. Under the Stock Plan, we award: (1) restricted stock units (“RSUs”) of our common stock, (2) SARs and (3) stock options to purchase our common stock. A total of 6 million shares are authorized for issuance pursuant to grants under the Stock Plan. As of June 30, 2017, 1.4 million shares were available for grants under the Stock Plan.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our share-based compensation expense related to award grants to our officers, directors and employees for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2017</w:t>
            </w:r>
          </w:p>
        </w:tc>
        <w:tc>
          <w:tcPr>
            <w:tcW w:w="480" w:type="dxa"/>
            <w:vAlign w:val="bottom"/>
          </w:tcPr>
          <w:p>
            <w:pPr>
              <w:spacing w:after="0"/>
              <w:rPr>
                <w:sz w:val="20"/>
                <w:szCs w:val="20"/>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0"/>
              </w:rPr>
              <w:t>June 17, 2016</w:t>
            </w:r>
          </w:p>
        </w:tc>
        <w:tc>
          <w:tcPr>
            <w:tcW w:w="32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 2017</w:t>
            </w:r>
          </w:p>
        </w:tc>
        <w:tc>
          <w:tcPr>
            <w:tcW w:w="320" w:type="dxa"/>
            <w:vAlign w:val="bottom"/>
          </w:tcPr>
          <w:p>
            <w:pPr>
              <w:spacing w:after="0"/>
              <w:rPr>
                <w:sz w:val="20"/>
                <w:szCs w:val="20"/>
                <w:color w:val="auto"/>
              </w:rPr>
            </w:pPr>
          </w:p>
        </w:tc>
        <w:tc>
          <w:tcPr>
            <w:tcW w:w="162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4"/>
                <w:szCs w:val="2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(91 days)</w:t>
            </w:r>
          </w:p>
        </w:tc>
        <w:tc>
          <w:tcPr>
            <w:tcW w:w="480" w:type="dxa"/>
            <w:vAlign w:val="bottom"/>
          </w:tcPr>
          <w:p>
            <w:pPr>
              <w:spacing w:after="0"/>
              <w:rPr>
                <w:sz w:val="24"/>
                <w:szCs w:val="2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(84 days)</w:t>
            </w:r>
          </w:p>
        </w:tc>
        <w:tc>
          <w:tcPr>
            <w:tcW w:w="320" w:type="dxa"/>
            <w:vAlign w:val="bottom"/>
          </w:tcPr>
          <w:p>
            <w:pPr>
              <w:spacing w:after="0"/>
              <w:rPr>
                <w:sz w:val="24"/>
                <w:szCs w:val="2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(182 days)</w:t>
            </w:r>
          </w:p>
        </w:tc>
        <w:tc>
          <w:tcPr>
            <w:tcW w:w="320" w:type="dxa"/>
            <w:vAlign w:val="bottom"/>
          </w:tcPr>
          <w:p>
            <w:pPr>
              <w:spacing w:after="0"/>
              <w:rPr>
                <w:sz w:val="24"/>
                <w:szCs w:val="24"/>
                <w:color w:val="auto"/>
              </w:rPr>
            </w:pPr>
          </w:p>
        </w:tc>
        <w:tc>
          <w:tcPr>
            <w:tcW w:w="1620" w:type="dxa"/>
            <w:vAlign w:val="bottom"/>
          </w:tcPr>
          <w:p>
            <w:pPr>
              <w:jc w:val="right"/>
              <w:ind w:right="573"/>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0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1,443</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SARs</w:t>
            </w:r>
          </w:p>
        </w:tc>
        <w:tc>
          <w:tcPr>
            <w:tcW w:w="30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860</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5,175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6,856</w:t>
            </w:r>
          </w:p>
        </w:tc>
      </w:tr>
      <w:tr>
        <w:trPr>
          <w:trHeight w:val="27"/>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2017</w:t>
            </w:r>
          </w:p>
        </w:tc>
        <w:tc>
          <w:tcPr>
            <w:tcW w:w="220" w:type="dxa"/>
            <w:vAlign w:val="bottom"/>
          </w:tcPr>
          <w:p>
            <w:pPr>
              <w:spacing w:after="0"/>
              <w:rPr>
                <w:sz w:val="20"/>
                <w:szCs w:val="20"/>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30, 2016</w:t>
            </w:r>
          </w:p>
        </w:tc>
      </w:tr>
      <w:tr>
        <w:trPr>
          <w:trHeight w:val="250"/>
        </w:trPr>
        <w:tc>
          <w:tcPr>
            <w:tcW w:w="6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2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6,551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3,307</w:t>
            </w:r>
          </w:p>
        </w:tc>
      </w:tr>
      <w:tr>
        <w:trPr>
          <w:trHeight w:val="27"/>
        </w:trPr>
        <w:tc>
          <w:tcPr>
            <w:tcW w:w="6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12,307</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SARs</w:t>
            </w:r>
          </w:p>
        </w:tc>
        <w:tc>
          <w:tcPr>
            <w:tcW w:w="32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
        </w:trPr>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22,299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13,453</w:t>
            </w:r>
          </w:p>
        </w:tc>
      </w:tr>
      <w:tr>
        <w:trPr>
          <w:trHeight w:val="27"/>
        </w:trPr>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granted 111,748 service based RSUs, which are subject to time-based vesting conditions, with a weighted average grant-date fair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$95.51, to our employees and non-employee directors during the 2017 first half. During the 2017 first half, we also granted performance based RSUs,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performance based vesting conditions, to members of management. A maximum of 94,436 RSUs may be earned under the performance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RSUs granted during the 2017 first half.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granted 81,977 SARs, with a weighted average grant-date fair value of $27.63 and a weighted average exercise price of $97.53, to members of management during the 2017 first half.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2017 first half:</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30.41%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60" w:type="dxa"/>
            <w:vAlign w:val="bottom"/>
          </w:tcPr>
          <w:p>
            <w:pPr>
              <w:jc w:val="center"/>
              <w:ind w:left="690"/>
              <w:spacing w:after="0"/>
              <w:rPr>
                <w:sz w:val="20"/>
                <w:szCs w:val="20"/>
                <w:color w:val="auto"/>
              </w:rPr>
            </w:pPr>
            <w:r>
              <w:rPr>
                <w:rFonts w:ascii="Arial" w:cs="Arial" w:eastAsia="Arial" w:hAnsi="Arial"/>
                <w:sz w:val="18"/>
                <w:szCs w:val="18"/>
                <w:color w:val="auto"/>
                <w:w w:val="90"/>
              </w:rPr>
              <w:t>1.44%</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2.06%</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June 30,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Assets: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Vacation ownership notes receivable, net of reserves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receivable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50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601,235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53,945</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655,180</w:t>
            </w:r>
          </w:p>
        </w:tc>
      </w:tr>
      <w:tr>
        <w:trPr>
          <w:trHeight w:val="270"/>
        </w:trPr>
        <w:tc>
          <w:tcPr>
            <w:tcW w:w="200" w:type="dxa"/>
            <w:vAlign w:val="bottom"/>
          </w:tcPr>
          <w:p>
            <w:pPr>
              <w:spacing w:after="0"/>
              <w:rPr>
                <w:sz w:val="23"/>
                <w:szCs w:val="23"/>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4,311</w:t>
            </w:r>
          </w:p>
        </w:tc>
      </w:tr>
      <w:tr>
        <w:trPr>
          <w:trHeight w:val="270"/>
        </w:trPr>
        <w:tc>
          <w:tcPr>
            <w:tcW w:w="200" w:type="dxa"/>
            <w:vAlign w:val="bottom"/>
          </w:tcPr>
          <w:p>
            <w:pPr>
              <w:spacing w:after="0"/>
              <w:rPr>
                <w:sz w:val="23"/>
                <w:szCs w:val="23"/>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29,646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31,005</w:t>
            </w:r>
          </w:p>
        </w:tc>
      </w:tr>
      <w:tr>
        <w:trPr>
          <w:trHeight w:val="27"/>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634,840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55,656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690,496</w:t>
            </w:r>
          </w:p>
        </w:tc>
      </w:tr>
      <w:tr>
        <w:trPr>
          <w:trHeight w:val="27"/>
        </w:trPr>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-899795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-548005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-205105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660" w:space="720"/>
            <w:col w:w="60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Debt</w:t>
            </w:r>
          </w:p>
        </w:tc>
        <w:tc>
          <w:tcPr>
            <w:tcW w:w="7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621,602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49,619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671,221</w:t>
            </w:r>
          </w:p>
        </w:tc>
      </w:tr>
      <w:tr>
        <w:trPr>
          <w:trHeight w:val="27"/>
        </w:trPr>
        <w:tc>
          <w:tcPr>
            <w:tcW w:w="5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622,072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671,758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2017 second quarter: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20"/>
                <w:szCs w:val="20"/>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4,583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445"/>
        </w:trPr>
        <w:tc>
          <w:tcPr>
            <w:tcW w:w="1142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table shows the interest income and expense recognized as a result of our involvement with these variable interest entities during the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2017 first half:</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20"/>
                <w:szCs w:val="20"/>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46,294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9,403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288</w:t>
            </w:r>
          </w:p>
        </w:tc>
      </w:tr>
      <w:tr>
        <w:trPr>
          <w:trHeight w:val="70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2017 first half and the 2016 first half: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300" w:type="dxa"/>
            <w:vAlign w:val="bottom"/>
          </w:tcPr>
          <w:p>
            <w:pPr>
              <w:spacing w:after="0"/>
              <w:rPr>
                <w:sz w:val="20"/>
                <w:szCs w:val="20"/>
                <w:color w:val="auto"/>
              </w:rPr>
            </w:pPr>
          </w:p>
        </w:tc>
        <w:tc>
          <w:tcPr>
            <w:tcW w:w="158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1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(182 days)</w:t>
            </w:r>
          </w:p>
        </w:tc>
        <w:tc>
          <w:tcPr>
            <w:tcW w:w="300" w:type="dxa"/>
            <w:vAlign w:val="bottom"/>
          </w:tcPr>
          <w:p>
            <w:pPr>
              <w:spacing w:after="0"/>
              <w:rPr>
                <w:sz w:val="24"/>
                <w:szCs w:val="24"/>
                <w:color w:val="auto"/>
              </w:rPr>
            </w:pPr>
          </w:p>
        </w:tc>
        <w:tc>
          <w:tcPr>
            <w:tcW w:w="1580" w:type="dxa"/>
            <w:vAlign w:val="bottom"/>
          </w:tcPr>
          <w:p>
            <w:pPr>
              <w:jc w:val="right"/>
              <w:ind w:right="532"/>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Principal receipts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110,754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78,698</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receipts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40,197</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Reserve release</w:t>
            </w:r>
          </w:p>
        </w:tc>
        <w:tc>
          <w:tcPr>
            <w:tcW w:w="28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265</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shd w:val="clear" w:color="auto" w:fill="CCEEFF"/>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156,593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119,160</w:t>
            </w:r>
          </w:p>
        </w:tc>
      </w:tr>
      <w:tr>
        <w:trPr>
          <w:trHeight w:val="22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280" w:type="dxa"/>
            <w:vAlign w:val="bottom"/>
          </w:tcPr>
          <w:p>
            <w:pPr>
              <w:spacing w:after="0"/>
              <w:rPr>
                <w:sz w:val="3"/>
                <w:szCs w:val="3"/>
                <w:color w:val="auto"/>
              </w:rPr>
            </w:pPr>
          </w:p>
        </w:tc>
        <w:tc>
          <w:tcPr>
            <w:tcW w:w="6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Principal to investors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(69,074)</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(12,724)</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to investors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r>
      <w:tr>
        <w:trPr>
          <w:trHeight w:val="237"/>
        </w:trPr>
        <w:tc>
          <w:tcPr>
            <w:tcW w:w="28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(88,828)</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30,332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cash flows between us and the Warehouse Credit Facility variable interest entity during the 2017 first half and the 2016 first half: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300" w:type="dxa"/>
            <w:vAlign w:val="bottom"/>
          </w:tcPr>
          <w:p>
            <w:pPr>
              <w:spacing w:after="0"/>
              <w:rPr>
                <w:sz w:val="20"/>
                <w:szCs w:val="20"/>
                <w:color w:val="auto"/>
              </w:rPr>
            </w:pPr>
          </w:p>
        </w:tc>
        <w:tc>
          <w:tcPr>
            <w:tcW w:w="1580" w:type="dxa"/>
            <w:vAlign w:val="bottom"/>
          </w:tcPr>
          <w:p>
            <w:pPr>
              <w:jc w:val="right"/>
              <w:ind w:right="392"/>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(182 days)</w:t>
            </w:r>
          </w:p>
        </w:tc>
        <w:tc>
          <w:tcPr>
            <w:tcW w:w="300" w:type="dxa"/>
            <w:vAlign w:val="bottom"/>
          </w:tcPr>
          <w:p>
            <w:pPr>
              <w:spacing w:after="0"/>
              <w:rPr>
                <w:sz w:val="24"/>
                <w:szCs w:val="24"/>
                <w:color w:val="auto"/>
              </w:rPr>
            </w:pPr>
          </w:p>
        </w:tc>
        <w:tc>
          <w:tcPr>
            <w:tcW w:w="1580" w:type="dxa"/>
            <w:vAlign w:val="bottom"/>
          </w:tcPr>
          <w:p>
            <w:pPr>
              <w:jc w:val="right"/>
              <w:ind w:right="532"/>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50,260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91,281</w:t>
            </w: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Principal receipts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3,621</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28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2,965</w:t>
            </w: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Reserve release</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r>
      <w:tr>
        <w:trPr>
          <w:trHeight w:val="237"/>
        </w:trPr>
        <w:tc>
          <w:tcPr>
            <w:tcW w:w="716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52,698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97,895</w:t>
            </w: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Voluntary repurchases of defaulted vacation ownership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Funding of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7"/>
        </w:trPr>
        <w:tc>
          <w:tcPr>
            <w:tcW w:w="716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w:t>
            </w: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94,260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a commitment to purchase an operating property located in New York, New York, that we currently manage as Marriott Vacation Club Pulse,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June 30, 2017, our Balance Sheet reflected $8.3 million in Property</w:t>
      </w:r>
    </w:p>
    <w:p>
      <w:pPr>
        <w:sectPr>
          <w:pgSz w:w="11900" w:h="16838" w:orient="portrait"/>
          <w:cols w:equalWidth="0" w:num="1">
            <w:col w:w="11340"/>
          </w:cols>
          <w:pgMar w:left="240" w:top="125" w:right="319" w:bottom="1440" w:gutter="0" w:footer="0" w:header="0"/>
        </w:sectPr>
      </w:pP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40"/>
          </w:cols>
          <w:pgMar w:left="240" w:top="125" w:right="3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and equipment related to a capital lease and leasehold improvements; $7.2 million in Debt related to the capital lease liability for ancillary and operations space we lease from the variable interest entity; and $0.4 million of Accrued liabilities. In addition, a note receivable of $0.5 million is included in the Accounts and contracts receivable line on the Balance Sheet as of June 30, 2017. We believe that our maximum exposure to loss as a result of our involvement with this variable interest entity is $2.0 million as of June 30, 2017.</w:t>
      </w:r>
    </w:p>
    <w:p>
      <w:pPr>
        <w:spacing w:after="0" w:line="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a commitment to repurchase an operating property located in Marco Island, Florida that was previously sold to a third-party developer, we acquired 36 completed vacation ownership units during the 2017 second quarter. We remain obligated to repurchase the remaining portion of the operating property. Refer to Footnote No. 8, “Contingencies and Commitments” for additional information on the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We are obligated to repurchase the remaining portion of the property from the developer contingent upon the property meeting our brand standards upon completion, provided that the third-party developer has not sold the property to another party. As of June 30, 2017, our Balance Sheet reflected $3.5 million of Inventory, $2.2 million of Other assets that relate to prepaid and other deposits, and $7.5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of $0.5 million is included in the Accounts and contracts receivable line on the Balance Sheet as of June 30, 2017. We believe that our maximum exposure to loss as a result of our involvement with this variable interest entity is less than $1 million as of June 30,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2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6" w:lineRule="exact"/>
        <w:rPr>
          <w:sz w:val="20"/>
          <w:szCs w:val="20"/>
          <w:color w:val="auto"/>
        </w:rPr>
      </w:pPr>
    </w:p>
    <w:p>
      <w:pPr>
        <w:ind w:left="660" w:right="8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In 2016, we introduced Marriott Vacation Club Pulse,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73"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1"/>
        </w:trPr>
        <w:tc>
          <w:tcPr>
            <w:tcW w:w="3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 2017</w:t>
            </w:r>
          </w:p>
        </w:tc>
        <w:tc>
          <w:tcPr>
            <w:tcW w:w="48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June 17, 2016 </w:t>
            </w:r>
            <w:r>
              <w:rPr>
                <w:rFonts w:ascii="Arial" w:cs="Arial" w:eastAsia="Arial" w:hAnsi="Arial"/>
                <w:sz w:val="17"/>
                <w:szCs w:val="17"/>
                <w:b w:val="1"/>
                <w:bCs w:val="1"/>
                <w:color w:val="auto"/>
                <w:vertAlign w:val="superscript"/>
              </w:rPr>
              <w:t>(1)</w:t>
            </w:r>
          </w:p>
        </w:tc>
        <w:tc>
          <w:tcPr>
            <w:tcW w:w="300" w:type="dxa"/>
            <w:vAlign w:val="bottom"/>
          </w:tcPr>
          <w:p>
            <w:pPr>
              <w:spacing w:after="0"/>
              <w:rPr>
                <w:sz w:val="22"/>
                <w:szCs w:val="22"/>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300" w:type="dxa"/>
            <w:vAlign w:val="bottom"/>
          </w:tcPr>
          <w:p>
            <w:pPr>
              <w:spacing w:after="0"/>
              <w:rPr>
                <w:sz w:val="22"/>
                <w:szCs w:val="22"/>
                <w:color w:val="auto"/>
              </w:rPr>
            </w:pPr>
          </w:p>
        </w:tc>
        <w:tc>
          <w:tcPr>
            <w:tcW w:w="1640" w:type="dxa"/>
            <w:vAlign w:val="bottom"/>
          </w:tcPr>
          <w:p>
            <w:pPr>
              <w:jc w:val="right"/>
              <w:ind w:right="293"/>
              <w:spacing w:after="0"/>
              <w:rPr>
                <w:sz w:val="20"/>
                <w:szCs w:val="20"/>
                <w:color w:val="auto"/>
              </w:rPr>
            </w:pPr>
            <w:r>
              <w:rPr>
                <w:rFonts w:ascii="Arial" w:cs="Arial" w:eastAsia="Arial" w:hAnsi="Arial"/>
                <w:sz w:val="16"/>
                <w:szCs w:val="16"/>
                <w:b w:val="1"/>
                <w:bCs w:val="1"/>
                <w:color w:val="auto"/>
              </w:rPr>
              <w:t xml:space="preserve">June 17, 2016 </w:t>
            </w:r>
            <w:r>
              <w:rPr>
                <w:rFonts w:ascii="Arial" w:cs="Arial" w:eastAsia="Arial" w:hAnsi="Arial"/>
                <w:sz w:val="17"/>
                <w:szCs w:val="17"/>
                <w:b w:val="1"/>
                <w:bCs w:val="1"/>
                <w:color w:val="auto"/>
                <w:vertAlign w:val="superscript"/>
              </w:rPr>
              <w:t>(1)</w:t>
            </w: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(91 days)</w:t>
            </w:r>
          </w:p>
        </w:tc>
        <w:tc>
          <w:tcPr>
            <w:tcW w:w="480" w:type="dxa"/>
            <w:vAlign w:val="bottom"/>
          </w:tcPr>
          <w:p>
            <w:pPr>
              <w:spacing w:after="0"/>
              <w:rPr>
                <w:sz w:val="23"/>
                <w:szCs w:val="23"/>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(84 days)</w:t>
            </w:r>
          </w:p>
        </w:tc>
        <w:tc>
          <w:tcPr>
            <w:tcW w:w="300" w:type="dxa"/>
            <w:vAlign w:val="bottom"/>
          </w:tcPr>
          <w:p>
            <w:pPr>
              <w:spacing w:after="0"/>
              <w:rPr>
                <w:sz w:val="23"/>
                <w:szCs w:val="23"/>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(182 days)</w:t>
            </w:r>
          </w:p>
        </w:tc>
        <w:tc>
          <w:tcPr>
            <w:tcW w:w="300" w:type="dxa"/>
            <w:vAlign w:val="bottom"/>
          </w:tcPr>
          <w:p>
            <w:pPr>
              <w:spacing w:after="0"/>
              <w:rPr>
                <w:sz w:val="23"/>
                <w:szCs w:val="23"/>
                <w:color w:val="auto"/>
              </w:rPr>
            </w:pPr>
          </w:p>
        </w:tc>
        <w:tc>
          <w:tcPr>
            <w:tcW w:w="1640" w:type="dxa"/>
            <w:vAlign w:val="bottom"/>
          </w:tcPr>
          <w:p>
            <w:pPr>
              <w:jc w:val="right"/>
              <w:ind w:right="573"/>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903,629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758,620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15,597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19,042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33,530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38,408</w:t>
            </w: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45,265</w:t>
            </w: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 segment revenues</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497,620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423,171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983,739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842,293</w:t>
            </w: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3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497,620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423,171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983,739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842,293</w:t>
            </w:r>
          </w:p>
        </w:tc>
      </w:tr>
      <w:tr>
        <w:trPr>
          <w:trHeight w:val="27"/>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5620" w:right="3160" w:hanging="5612"/>
        <w:spacing w:after="0" w:line="466" w:lineRule="auto"/>
        <w:tabs>
          <w:tab w:leader="none" w:pos="652"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an immaterial reclassification of activity between the North America and Asia Pacific segments. 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Quarter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4"/>
          </w:tcPr>
          <w:p>
            <w:pPr>
              <w:jc w:val="right"/>
              <w:ind w:right="1213"/>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1"/>
        </w:trPr>
        <w:tc>
          <w:tcPr>
            <w:tcW w:w="3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 2017</w:t>
            </w:r>
          </w:p>
        </w:tc>
        <w:tc>
          <w:tcPr>
            <w:tcW w:w="48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June 17, 2016 </w:t>
            </w:r>
            <w:r>
              <w:rPr>
                <w:rFonts w:ascii="Arial" w:cs="Arial" w:eastAsia="Arial" w:hAnsi="Arial"/>
                <w:sz w:val="17"/>
                <w:szCs w:val="17"/>
                <w:b w:val="1"/>
                <w:bCs w:val="1"/>
                <w:color w:val="auto"/>
                <w:vertAlign w:val="superscript"/>
              </w:rPr>
              <w:t>(1)</w:t>
            </w:r>
          </w:p>
        </w:tc>
        <w:tc>
          <w:tcPr>
            <w:tcW w:w="300" w:type="dxa"/>
            <w:vAlign w:val="bottom"/>
          </w:tcPr>
          <w:p>
            <w:pPr>
              <w:spacing w:after="0"/>
              <w:rPr>
                <w:sz w:val="22"/>
                <w:szCs w:val="22"/>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300" w:type="dxa"/>
            <w:vAlign w:val="bottom"/>
          </w:tcPr>
          <w:p>
            <w:pPr>
              <w:spacing w:after="0"/>
              <w:rPr>
                <w:sz w:val="22"/>
                <w:szCs w:val="22"/>
                <w:color w:val="auto"/>
              </w:rPr>
            </w:pPr>
          </w:p>
        </w:tc>
        <w:tc>
          <w:tcPr>
            <w:tcW w:w="1640" w:type="dxa"/>
            <w:vAlign w:val="bottom"/>
          </w:tcPr>
          <w:p>
            <w:pPr>
              <w:jc w:val="right"/>
              <w:ind w:right="293"/>
              <w:spacing w:after="0"/>
              <w:rPr>
                <w:sz w:val="20"/>
                <w:szCs w:val="20"/>
                <w:color w:val="auto"/>
              </w:rPr>
            </w:pPr>
            <w:r>
              <w:rPr>
                <w:rFonts w:ascii="Arial" w:cs="Arial" w:eastAsia="Arial" w:hAnsi="Arial"/>
                <w:sz w:val="16"/>
                <w:szCs w:val="16"/>
                <w:b w:val="1"/>
                <w:bCs w:val="1"/>
                <w:color w:val="auto"/>
              </w:rPr>
              <w:t xml:space="preserve">June 17, 2016 </w:t>
            </w:r>
            <w:r>
              <w:rPr>
                <w:rFonts w:ascii="Arial" w:cs="Arial" w:eastAsia="Arial" w:hAnsi="Arial"/>
                <w:sz w:val="17"/>
                <w:szCs w:val="17"/>
                <w:b w:val="1"/>
                <w:bCs w:val="1"/>
                <w:color w:val="auto"/>
                <w:vertAlign w:val="superscript"/>
              </w:rPr>
              <w:t>(1)</w:t>
            </w:r>
          </w:p>
        </w:tc>
      </w:tr>
      <w:tr>
        <w:trPr>
          <w:trHeight w:val="266"/>
        </w:trPr>
        <w:tc>
          <w:tcPr>
            <w:tcW w:w="33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(91 days)</w:t>
            </w:r>
          </w:p>
        </w:tc>
        <w:tc>
          <w:tcPr>
            <w:tcW w:w="480" w:type="dxa"/>
            <w:vAlign w:val="bottom"/>
          </w:tcPr>
          <w:p>
            <w:pPr>
              <w:spacing w:after="0"/>
              <w:rPr>
                <w:sz w:val="23"/>
                <w:szCs w:val="23"/>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(84 days)</w:t>
            </w:r>
          </w:p>
        </w:tc>
        <w:tc>
          <w:tcPr>
            <w:tcW w:w="300" w:type="dxa"/>
            <w:vAlign w:val="bottom"/>
          </w:tcPr>
          <w:p>
            <w:pPr>
              <w:spacing w:after="0"/>
              <w:rPr>
                <w:sz w:val="23"/>
                <w:szCs w:val="23"/>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(182 days)</w:t>
            </w:r>
          </w:p>
        </w:tc>
        <w:tc>
          <w:tcPr>
            <w:tcW w:w="300" w:type="dxa"/>
            <w:vAlign w:val="bottom"/>
          </w:tcPr>
          <w:p>
            <w:pPr>
              <w:spacing w:after="0"/>
              <w:rPr>
                <w:sz w:val="23"/>
                <w:szCs w:val="23"/>
                <w:color w:val="auto"/>
              </w:rPr>
            </w:pPr>
          </w:p>
        </w:tc>
        <w:tc>
          <w:tcPr>
            <w:tcW w:w="1640" w:type="dxa"/>
            <w:vAlign w:val="bottom"/>
          </w:tcPr>
          <w:p>
            <w:pPr>
              <w:jc w:val="right"/>
              <w:ind w:right="573"/>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199,948</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(1,614)</w:t>
            </w: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2,543</w:t>
            </w: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 segment financial results</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121,011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109,944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227,399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200,877</w:t>
            </w: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(99,545)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(40,615)</w:t>
            </w: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77,976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60,717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an immaterial reclassification of activity between the North America and Asia Pacific 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2017</w:t>
            </w:r>
          </w:p>
        </w:tc>
        <w:tc>
          <w:tcPr>
            <w:tcW w:w="220" w:type="dxa"/>
            <w:vAlign w:val="bottom"/>
          </w:tcPr>
          <w:p>
            <w:pPr>
              <w:spacing w:after="0"/>
              <w:rPr>
                <w:sz w:val="20"/>
                <w:szCs w:val="20"/>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30, 2016</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2,095,789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1,968,021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106,642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102,348</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62,245</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3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2,268,350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2,132,614</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258,805</w:t>
            </w:r>
          </w:p>
        </w:tc>
      </w:tr>
      <w:tr>
        <w:trPr>
          <w:trHeight w:val="237"/>
        </w:trPr>
        <w:tc>
          <w:tcPr>
            <w:tcW w:w="59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2,433,436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2,391,419</w:t>
            </w:r>
          </w:p>
        </w:tc>
      </w:tr>
      <w:tr>
        <w:trPr>
          <w:trHeight w:val="27"/>
        </w:trPr>
        <w:tc>
          <w:tcPr>
            <w:tcW w:w="5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August 1, 2017, our Board of Directors authorized the repurchase of up to 1.0 million additional shares of our common stock under our existing share repurchase program, as a result of which approximately 2.0 million shares are currently available for repurchase, and extended the program through May 31, 2018. Prior to that authorization, our Board of Directors had authorized the repurchase of an aggregate of up to 10.9 million shares of our common stock under the share repurchase program since the initiation of the program in October 2013.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risk factors discussed in “Risk Factors” in our most recent Annual Report on Form 10-K,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4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2016, we introduced Marriott Vacation Club Pulse,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June 30, 2017, our portfolio consisted of over 65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further detailed in Footnote No. 1, “Summary of Significant Accounting Policies,” to our Financial Statements, beginning with our 2017 fiscal year, we changed our financial reporting cycle to a calendar year-end and end-of-month quarterly reporting cycle. Accordingly, our 2017 fiscal year began on December 31, 2016 (the day after the end of the 2016 fiscal year) and will end on December 31,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reporting periods as we refer to them in this report, their date ranges, and the number of days in each:</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Reporting Period</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Date Range</w:t>
            </w:r>
          </w:p>
        </w:tc>
        <w:tc>
          <w:tcPr>
            <w:tcW w:w="2280" w:type="dxa"/>
            <w:vAlign w:val="bottom"/>
          </w:tcPr>
          <w:p>
            <w:pPr>
              <w:ind w:left="520"/>
              <w:spacing w:after="0"/>
              <w:rPr>
                <w:sz w:val="20"/>
                <w:szCs w:val="20"/>
                <w:color w:val="auto"/>
              </w:rPr>
            </w:pPr>
            <w:r>
              <w:rPr>
                <w:rFonts w:ascii="Arial" w:cs="Arial" w:eastAsia="Arial" w:hAnsi="Arial"/>
                <w:sz w:val="18"/>
                <w:szCs w:val="18"/>
                <w:b w:val="1"/>
                <w:bCs w:val="1"/>
                <w:color w:val="auto"/>
              </w:rPr>
              <w:t>Number of Days</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2017 second quarter</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April 1, 2017 — June 30,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2016 second quarter</w:t>
            </w:r>
          </w:p>
        </w:tc>
        <w:tc>
          <w:tcPr>
            <w:tcW w:w="4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March 26, 2016 — June 17,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2017 first half</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 — June 30,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182</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2016 first half</w:t>
            </w:r>
          </w:p>
        </w:tc>
        <w:tc>
          <w:tcPr>
            <w:tcW w:w="4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January 2, 2016 — June 17,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168</w:t>
            </w: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2017 fiscal year</w:t>
            </w:r>
          </w:p>
        </w:tc>
        <w:tc>
          <w:tcPr>
            <w:tcW w:w="4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2016 — December 31,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2016 fiscal year</w:t>
            </w:r>
          </w:p>
        </w:tc>
        <w:tc>
          <w:tcPr>
            <w:tcW w:w="4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January 2, 2016 — December 30,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364</w:t>
            </w:r>
          </w:p>
        </w:tc>
      </w:tr>
    </w:tbl>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change in our financial reporting calendar, we had seven more days in the 2017 second quarter than we had in the 2016 second quarter, and 14 more days in the 2017 first half than we had in the 2016 first half. We estimate that 2016 second quarter contract sales would have been approximately $12 million higher and that 2016 first half contract sales would have been approximately $26 million higher on a comparable basis. Prior year results have not been restated for the impact of the change in our financial reporting calendar.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8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 a result of the down payment requirement described above and the requirement that the statutory rescission period has expired,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report, on a supplemental basis, contract sales for each of our three segments. 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 activity, will have a positive or negative impact on our Statements of Income.</w:t>
      </w:r>
    </w:p>
    <w:p>
      <w:pPr>
        <w:spacing w:after="0" w:line="8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300" w:type="dxa"/>
            <w:vAlign w:val="bottom"/>
            <w:gridSpan w:val="3"/>
          </w:tcPr>
          <w:p>
            <w:pPr>
              <w:ind w:left="96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2017</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June 17, 2016</w:t>
            </w:r>
          </w:p>
        </w:tc>
      </w:tr>
      <w:tr>
        <w:trPr>
          <w:trHeight w:val="297"/>
        </w:trPr>
        <w:tc>
          <w:tcPr>
            <w:tcW w:w="56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(182 days)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(168 days)</w:t>
            </w:r>
          </w:p>
        </w:tc>
      </w:tr>
      <w:tr>
        <w:trPr>
          <w:trHeight w:val="24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743</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743</w:t>
            </w:r>
          </w:p>
        </w:tc>
      </w:tr>
      <w:tr>
        <w:trPr>
          <w:trHeight w:val="27"/>
        </w:trPr>
        <w:tc>
          <w:tcPr>
            <w:tcW w:w="56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Financing propensity was 60.1 percent in the 2016 fiscal year and 64.4 percent in the 2017 first half, reflecting successful incentive programs that have been helping to increase financing propensity. We expect financing propensity in 2017 to approximate 60 to 65 percent as we intend to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148" w:lineRule="exact"/>
        <w:rPr>
          <w:sz w:val="20"/>
          <w:szCs w:val="20"/>
          <w:color w:val="auto"/>
        </w:rPr>
      </w:pPr>
    </w:p>
    <w:tbl>
      <w:tblPr>
        <w:tblLayout w:type="fixed"/>
        <w:tblInd w:w="124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340" w:type="dxa"/>
            <w:vAlign w:val="bottom"/>
            <w:gridSpan w:val="3"/>
          </w:tcPr>
          <w:p>
            <w:pPr>
              <w:ind w:left="100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6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2017</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June 17, 2016</w:t>
            </w:r>
          </w:p>
        </w:tc>
      </w:tr>
      <w:tr>
        <w:trPr>
          <w:trHeight w:val="297"/>
        </w:trPr>
        <w:tc>
          <w:tcPr>
            <w:tcW w:w="562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(182 days)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(168 days)</w:t>
            </w:r>
          </w:p>
        </w:tc>
      </w:tr>
      <w:tr>
        <w:trPr>
          <w:trHeight w:val="24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5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 (“MVCD”) program when the points are redeemed for rental stays at one of our resorts or in the Explorer Collection, or upon expiration of the points.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points-based programs.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00" w:right="20" w:hanging="320"/>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vacation ownership contract sales, excluding fractional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2017 second quarter compared to the 2016 second quarter, and the 2017 first half compared to the 2016 first half.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jc w:val="right"/>
              <w:ind w:right="743"/>
              <w:spacing w:after="0"/>
              <w:rPr>
                <w:sz w:val="20"/>
                <w:szCs w:val="20"/>
                <w:color w:val="auto"/>
              </w:rPr>
            </w:pPr>
            <w:r>
              <w:rPr>
                <w:rFonts w:ascii="Arial" w:cs="Arial" w:eastAsia="Arial" w:hAnsi="Arial"/>
                <w:sz w:val="16"/>
                <w:szCs w:val="16"/>
                <w:b w:val="1"/>
                <w:bCs w:val="1"/>
                <w:color w:val="auto"/>
              </w:rPr>
              <w:t>Year to Date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1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2"/>
              </w:rPr>
              <w:t>June 17,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June 30, 2017</w:t>
            </w:r>
          </w:p>
        </w:tc>
        <w:tc>
          <w:tcPr>
            <w:tcW w:w="280" w:type="dxa"/>
            <w:vAlign w:val="bottom"/>
          </w:tcPr>
          <w:p>
            <w:pPr>
              <w:spacing w:after="0"/>
              <w:rPr>
                <w:sz w:val="20"/>
                <w:szCs w:val="20"/>
                <w:color w:val="auto"/>
              </w:rPr>
            </w:pPr>
          </w:p>
        </w:tc>
        <w:tc>
          <w:tcPr>
            <w:tcW w:w="1240" w:type="dxa"/>
            <w:vAlign w:val="bottom"/>
            <w:gridSpan w:val="3"/>
          </w:tcPr>
          <w:p>
            <w:pPr>
              <w:jc w:val="right"/>
              <w:ind w:right="203"/>
              <w:spacing w:after="0"/>
              <w:rPr>
                <w:sz w:val="20"/>
                <w:szCs w:val="20"/>
                <w:color w:val="auto"/>
              </w:rPr>
            </w:pPr>
            <w:r>
              <w:rPr>
                <w:rFonts w:ascii="Arial" w:cs="Arial" w:eastAsia="Arial" w:hAnsi="Arial"/>
                <w:sz w:val="16"/>
                <w:szCs w:val="16"/>
                <w:b w:val="1"/>
                <w:bCs w:val="1"/>
                <w:color w:val="auto"/>
                <w:w w:val="90"/>
              </w:rPr>
              <w:t>June 17, 2016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466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(91 days)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39"/>
              <w:spacing w:after="0"/>
              <w:rPr>
                <w:sz w:val="20"/>
                <w:szCs w:val="20"/>
                <w:color w:val="auto"/>
              </w:rPr>
            </w:pPr>
            <w:r>
              <w:rPr>
                <w:rFonts w:ascii="Arial" w:cs="Arial" w:eastAsia="Arial" w:hAnsi="Arial"/>
                <w:sz w:val="14"/>
                <w:szCs w:val="14"/>
                <w:b w:val="1"/>
                <w:bCs w:val="1"/>
                <w:color w:val="auto"/>
              </w:rPr>
              <w:t>(84 days)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(182 days)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363"/>
              <w:spacing w:after="0"/>
              <w:rPr>
                <w:sz w:val="20"/>
                <w:szCs w:val="20"/>
                <w:color w:val="auto"/>
              </w:rPr>
            </w:pPr>
            <w:r>
              <w:rPr>
                <w:rFonts w:ascii="Arial" w:cs="Arial" w:eastAsia="Arial" w:hAnsi="Arial"/>
                <w:sz w:val="14"/>
                <w:szCs w:val="14"/>
                <w:b w:val="1"/>
                <w:bCs w:val="1"/>
                <w:color w:val="auto"/>
                <w:w w:val="90"/>
              </w:rPr>
              <w:t>(168 days)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191,010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146,450</w:t>
            </w:r>
          </w:p>
        </w:tc>
        <w:tc>
          <w:tcPr>
            <w:tcW w:w="60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363,165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284,819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66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152,122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137,864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28,654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64,641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57,878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169,444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155,357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110,734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234,367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206,375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shd w:val="clear" w:color="auto" w:fill="CCEEFF"/>
              </w:rPr>
              <w:t>TOTAL REVENUES</w:t>
            </w:r>
          </w:p>
        </w:tc>
        <w:tc>
          <w:tcPr>
            <w:tcW w:w="8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497,620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423,171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983,739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842,293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60" w:type="dxa"/>
            <w:vAlign w:val="bottom"/>
            <w:gridSpan w:val="5"/>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w w:val="93"/>
                <w:shd w:val="clear" w:color="auto" w:fill="CCEEFF"/>
              </w:rPr>
              <w:t>Cost of vacation ownership products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69,370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104,029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204,690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157,331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66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83,870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7,201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Rental</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140,595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130,688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29,534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57,073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50,720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Litigation settlement</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Consumer financing interest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10,479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Royalty fee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27,383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110,734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234,367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23"/>
              <w:spacing w:after="0"/>
              <w:rPr>
                <w:sz w:val="20"/>
                <w:szCs w:val="20"/>
                <w:color w:val="auto"/>
              </w:rPr>
            </w:pPr>
            <w:r>
              <w:rPr>
                <w:rFonts w:ascii="Arial" w:cs="Arial" w:eastAsia="Arial" w:hAnsi="Arial"/>
                <w:sz w:val="18"/>
                <w:szCs w:val="18"/>
                <w:color w:val="auto"/>
              </w:rPr>
              <w:t>206,375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EXPENSES</w:t>
            </w:r>
          </w:p>
        </w:tc>
        <w:tc>
          <w:tcPr>
            <w:tcW w:w="920" w:type="dxa"/>
            <w:vAlign w:val="bottom"/>
            <w:tcBorders>
              <w:bottom w:val="single" w:sz="8" w:color="CCEEFF"/>
            </w:tcBorders>
            <w:gridSpan w:val="2"/>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368,674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862,759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743,114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(Losses) gains and other (expense) income</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23"/>
              <w:spacing w:after="0"/>
              <w:rPr>
                <w:sz w:val="20"/>
                <w:szCs w:val="20"/>
                <w:color w:val="auto"/>
              </w:rPr>
            </w:pPr>
            <w:r>
              <w:rPr>
                <w:rFonts w:ascii="Arial" w:cs="Arial" w:eastAsia="Arial" w:hAnsi="Arial"/>
                <w:sz w:val="18"/>
                <w:szCs w:val="18"/>
                <w:color w:val="auto"/>
              </w:rPr>
              <w:t>10,675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Interest expense</w:t>
            </w: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(4,453)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INCOME BEFORE INCOME TAXES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117,748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101,332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(24,858)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(39,772)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(40,615)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NET INCOME</w:t>
            </w:r>
          </w:p>
        </w:tc>
        <w:tc>
          <w:tcPr>
            <w:tcW w:w="258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60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60,717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660" w:type="dxa"/>
            <w:vAlign w:val="bottom"/>
            <w:gridSpan w:val="5"/>
          </w:tcPr>
          <w:p>
            <w:pPr>
              <w:ind w:left="380"/>
              <w:spacing w:after="0"/>
              <w:rPr>
                <w:sz w:val="20"/>
                <w:szCs w:val="20"/>
                <w:color w:val="auto"/>
              </w:rPr>
            </w:pPr>
            <w:r>
              <w:rPr>
                <w:rFonts w:ascii="Arial" w:cs="Arial" w:eastAsia="Arial" w:hAnsi="Arial"/>
                <w:sz w:val="18"/>
                <w:szCs w:val="18"/>
                <w:i w:val="1"/>
                <w:iCs w:val="1"/>
                <w:color w:val="auto"/>
              </w:rPr>
              <w:t>2017 Second Quarter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June 17,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40" w:type="dxa"/>
            <w:vAlign w:val="bottom"/>
            <w:tcBorders>
              <w:bottom w:val="single" w:sz="8" w:color="CCEEFF"/>
            </w:tcBorders>
            <w:gridSpan w:val="6"/>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(91 days)</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(84 days)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Vacation ownership</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190,883</w:t>
            </w:r>
          </w:p>
        </w:tc>
        <w:tc>
          <w:tcPr>
            <w:tcW w:w="110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145,600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45,283</w:t>
            </w:r>
          </w:p>
        </w:tc>
        <w:tc>
          <w:tcPr>
            <w:tcW w:w="1240" w:type="dxa"/>
            <w:vAlign w:val="bottom"/>
            <w:tcBorders>
              <w:bottom w:val="single" w:sz="8" w:color="CCEEFF"/>
            </w:tcBorders>
            <w:gridSpan w:val="3"/>
            <w:shd w:val="clear" w:color="auto" w:fill="CCEEFF"/>
          </w:tcPr>
          <w:p>
            <w:pPr>
              <w:jc w:val="right"/>
              <w:ind w:right="163"/>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660" w:type="dxa"/>
            <w:vAlign w:val="bottom"/>
            <w:gridSpan w:val="5"/>
          </w:tcPr>
          <w:p>
            <w:pPr>
              <w:ind w:left="220"/>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1,160</w:t>
            </w:r>
          </w:p>
        </w:tc>
        <w:tc>
          <w:tcPr>
            <w:tcW w:w="1240" w:type="dxa"/>
            <w:vAlign w:val="bottom"/>
            <w:gridSpan w:val="3"/>
          </w:tcPr>
          <w:p>
            <w:pPr>
              <w:jc w:val="right"/>
              <w:ind w:right="163"/>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7,395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40" w:type="dxa"/>
            <w:vAlign w:val="bottom"/>
            <w:tcBorders>
              <w:bottom w:val="single" w:sz="8" w:color="CCEEFF"/>
            </w:tcBorders>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40" w:type="dxa"/>
            <w:vAlign w:val="bottom"/>
            <w:gridSpan w:val="6"/>
          </w:tcPr>
          <w:p>
            <w:pPr>
              <w:ind w:left="40"/>
              <w:spacing w:after="0"/>
              <w:rPr>
                <w:sz w:val="20"/>
                <w:szCs w:val="20"/>
                <w:color w:val="auto"/>
              </w:rPr>
            </w:pPr>
            <w:r>
              <w:rPr>
                <w:rFonts w:ascii="Arial" w:cs="Arial" w:eastAsia="Arial" w:hAnsi="Arial"/>
                <w:sz w:val="18"/>
                <w:szCs w:val="18"/>
                <w:color w:val="auto"/>
              </w:rPr>
              <w:t>Total contract sales</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209,892</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165,992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43,900</w:t>
            </w:r>
          </w:p>
        </w:tc>
        <w:tc>
          <w:tcPr>
            <w:tcW w:w="40" w:type="dxa"/>
            <w:vAlign w:val="bottom"/>
            <w:tcBorders>
              <w:top w:val="single" w:sz="8" w:color="auto"/>
              <w:bottom w:val="single" w:sz="8" w:color="auto"/>
            </w:tcBorders>
          </w:tcPr>
          <w:p>
            <w:pPr>
              <w:spacing w:after="0"/>
              <w:rPr>
                <w:sz w:val="22"/>
                <w:szCs w:val="22"/>
                <w:color w:val="auto"/>
              </w:rPr>
            </w:pPr>
          </w:p>
        </w:tc>
        <w:tc>
          <w:tcPr>
            <w:tcW w:w="1200" w:type="dxa"/>
            <w:vAlign w:val="bottom"/>
            <w:gridSpan w:val="2"/>
          </w:tcPr>
          <w:p>
            <w:pPr>
              <w:jc w:val="right"/>
              <w:ind w:right="163"/>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changes in contract sales are described within the discussions of our segment results below. Our 2017 second quarter had seven more days than our 2016 second quarter due to the change to an end-of-month quarterly reporting cycle in 2017. We estimate that 2016 second quarter contract sales would have been approximately $12 million higher on a comparable basis.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5"/>
          </w:tcPr>
          <w:p>
            <w:pPr>
              <w:ind w:left="780"/>
              <w:spacing w:after="0"/>
              <w:rPr>
                <w:sz w:val="20"/>
                <w:szCs w:val="20"/>
                <w:color w:val="auto"/>
              </w:rPr>
            </w:pPr>
            <w:r>
              <w:rPr>
                <w:rFonts w:ascii="Arial" w:cs="Arial" w:eastAsia="Arial" w:hAnsi="Arial"/>
                <w:sz w:val="16"/>
                <w:szCs w:val="16"/>
                <w:b w:val="1"/>
                <w:bCs w:val="1"/>
                <w:color w:val="auto"/>
              </w:rPr>
              <w:t>Year to Date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17, 2016</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7"/>
        </w:trPr>
        <w:tc>
          <w:tcPr>
            <w:tcW w:w="4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(182 days)</w:t>
            </w:r>
          </w:p>
        </w:tc>
        <w:tc>
          <w:tcPr>
            <w:tcW w:w="2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(168 days)</w:t>
            </w:r>
          </w:p>
        </w:tc>
        <w:tc>
          <w:tcPr>
            <w:tcW w:w="2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Vacation ownership</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83,069</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29%</w:t>
            </w: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19,880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3,682</w:t>
            </w:r>
          </w:p>
        </w:tc>
        <w:tc>
          <w:tcPr>
            <w:tcW w:w="1360" w:type="dxa"/>
            <w:vAlign w:val="bottom"/>
            <w:gridSpan w:val="2"/>
          </w:tcPr>
          <w:p>
            <w:pPr>
              <w:jc w:val="right"/>
              <w:ind w:right="379"/>
              <w:spacing w:after="0"/>
              <w:rPr>
                <w:sz w:val="20"/>
                <w:szCs w:val="20"/>
                <w:color w:val="auto"/>
              </w:rPr>
            </w:pPr>
            <w:r>
              <w:rPr>
                <w:rFonts w:ascii="Arial" w:cs="Arial" w:eastAsia="Arial" w:hAnsi="Arial"/>
                <w:sz w:val="18"/>
                <w:szCs w:val="18"/>
                <w:color w:val="auto"/>
              </w:rPr>
              <w:t>19%</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 contract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403,726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319,486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84,240</w:t>
            </w:r>
          </w:p>
        </w:tc>
        <w:tc>
          <w:tcPr>
            <w:tcW w:w="1360" w:type="dxa"/>
            <w:vAlign w:val="bottom"/>
            <w:gridSpan w:val="2"/>
          </w:tcPr>
          <w:p>
            <w:pPr>
              <w:jc w:val="right"/>
              <w:ind w:right="379"/>
              <w:spacing w:after="0"/>
              <w:rPr>
                <w:sz w:val="20"/>
                <w:szCs w:val="20"/>
                <w:color w:val="auto"/>
              </w:rPr>
            </w:pPr>
            <w:r>
              <w:rPr>
                <w:rFonts w:ascii="Arial" w:cs="Arial" w:eastAsia="Arial" w:hAnsi="Arial"/>
                <w:sz w:val="18"/>
                <w:szCs w:val="18"/>
                <w:color w:val="auto"/>
              </w:rPr>
              <w:t>26%</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changes in contract sales are described within the discussions of our segment results below. Our 2017 first half had 14 more days than our 2016 first half due to the change to an end-of-month quarterly reporting cycle in 2017. We estimate that 2016 first half contract sales would have been approximately $26 million higher on a comparable basis.</w:t>
      </w:r>
    </w:p>
    <w:p>
      <w:pPr>
        <w:spacing w:after="0" w:line="177"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4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191,010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146,450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44,560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340" w:firstLine="648"/>
        <w:spacing w:after="0" w:line="309" w:lineRule="auto"/>
        <w:rPr>
          <w:sz w:val="20"/>
          <w:szCs w:val="20"/>
          <w:color w:val="auto"/>
        </w:rPr>
      </w:pPr>
      <w:r>
        <w:rPr>
          <w:rFonts w:ascii="Arial" w:cs="Arial" w:eastAsia="Arial" w:hAnsi="Arial"/>
          <w:sz w:val="16"/>
          <w:szCs w:val="16"/>
          <w:color w:val="auto"/>
        </w:rPr>
        <w:t>Revenue reportability had a $4.0 million positive impact in the 2017 second quarter due to a decrease in the amount of sales that remained in the rescission period as of the end of the quarter, partially offset by a decrease in the amount of sales that met the down payment requirement for revenue reportability during the quarter, compared to a $1.2 million positive revenue reportability impact in the 2016 second quarter.</w:t>
      </w:r>
    </w:p>
    <w:p>
      <w:pPr>
        <w:spacing w:after="0" w:line="4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higher sales reserve reflected the higher vacation ownership contract sales volume ($2.4 million of the increase) and an increase in the North America sales reserve due to the increase in financing propensity ($2.0 million of the increase), partially offset by the correction of an immaterial error in 2016 with respect to historical static pool data in the Asia Pacific and Europe segments ($1.1 million).</w:t>
      </w:r>
    </w:p>
    <w:p>
      <w:pPr>
        <w:spacing w:after="0" w:line="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our North America segment in the 2017 second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Reportability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(26,857)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6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363,165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284,819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78,346</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2813"/>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ectPr>
          <w:pgSz w:w="11900" w:h="16838" w:orient="portrait"/>
          <w:cols w:equalWidth="0" w:num="1">
            <w:col w:w="11400"/>
          </w:cols>
          <w:pgMar w:left="240" w:top="125" w:right="25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Revenue reportability had no material impact in the 2017 first half as the increase in the amount of sales that remained in the rescission period as of the end of the period was offset by an increase in the amount of sales that met the down payment requirement for revenue reportability during the period, compared to a $2.0 million positive revenue reportability impact in the 2016 first half.</w:t>
      </w:r>
    </w:p>
    <w:p>
      <w:pPr>
        <w:spacing w:after="0" w:line="73"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higher sales reserve reflected the higher vacation ownership contract sales volume ($4.7 million of the increase) and an increase in the North America sales reserve due to the increase in financing propensity ($3.1 million of the increase), partially offset by the correction of an immaterial error in 2016 with respect to historical static pool data in the Asia Pacific and Europe segments ($0.5 million).</w:t>
      </w:r>
    </w:p>
    <w:p>
      <w:pPr>
        <w:spacing w:after="0" w:line="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our North America segment in the 2017 first 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44,560</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(12,390)</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(37%)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(32%)</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40,838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33,778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7,060</w:t>
            </w:r>
          </w:p>
        </w:tc>
        <w:tc>
          <w:tcPr>
            <w:tcW w:w="148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21%</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(1.7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$11.0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$6.8 million from a favorable mix of lower cost real estate inventory being sold;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 million of favorable revenue reportability compared to the 2016 second quarter; and</w:t>
      </w:r>
    </w:p>
    <w:p>
      <w:pPr>
        <w:spacing w:after="0" w:line="117" w:lineRule="exact"/>
        <w:rPr>
          <w:rFonts w:ascii="Arial" w:cs="Arial" w:eastAsia="Arial" w:hAnsi="Arial"/>
          <w:sz w:val="18"/>
          <w:szCs w:val="18"/>
          <w:color w:val="auto"/>
        </w:rPr>
      </w:pPr>
    </w:p>
    <w:p>
      <w:pPr>
        <w:ind w:left="1300" w:right="5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$0.9 million from lower usage of plus points as a sales incentive in our North America segment, which resulted in less revenue being deferred that will be recognized as rental revenue when the points are redeemed or expire.</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right="24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$7.0 million of unfavorable changes in product cost true-up activity ($0.5 million of favorable true-up activity in the 2017 second quarter compared to $7.5 million of favorable true-up activity in the 2016 second quarter);</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$5.4 million from higher marketing and sales costs (of which $2.2 million was due to the ramp-up of the six new sales distributions);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$0.8 million from higher other development and inventory expenses; and</w:t>
      </w:r>
    </w:p>
    <w:p>
      <w:pPr>
        <w:spacing w:after="0" w:line="117" w:lineRule="exact"/>
        <w:rPr>
          <w:rFonts w:ascii="Arial" w:cs="Arial" w:eastAsia="Arial" w:hAnsi="Arial"/>
          <w:sz w:val="18"/>
          <w:szCs w:val="18"/>
          <w:color w:val="auto"/>
        </w:rPr>
      </w:pPr>
    </w:p>
    <w:p>
      <w:pPr>
        <w:ind w:left="1300" w:right="80" w:hanging="320"/>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$0.3 million from higher sales reserve activity due to the increase in financing propensity in our North America segment, partially offset by the correction of an immaterial error in 2016 with respect to historical static pool data in the Asia Pacific and Europe segments.</w:t>
      </w:r>
    </w:p>
    <w:p>
      <w:pPr>
        <w:spacing w:after="0" w:line="1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1.7 percentage point decline in the development margin percentage reflected a 3.7 percentage point decrease due to the unfavorable changes in product cost true-up activity year-over-year, a 2.1 percentage point decline due to higher marketing and sales costs (of which 1.1 percentage points was due to the higher ramp-up expenses associated with the new sales distributions), a 0.4 percentage point decrease from higher other development and inventory expenses and a 0.1 percentage point decline from the higher sales reserve rate. These declines were partially offset by a 3.6 percentage point increase due to a favorable mix of lower cost vacation ownership real estate inventory being sold in the 2017 second quarter, a 0.7 percentage point increase due to the favorable revenue reportability year-over-year and a 0.3 percentage point increase from the lower usage of plus points as a sales incentive.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78,346</w:t>
            </w:r>
          </w:p>
        </w:tc>
        <w:tc>
          <w:tcPr>
            <w:tcW w:w="14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28%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(19,393)</w:t>
            </w:r>
          </w:p>
        </w:tc>
        <w:tc>
          <w:tcPr>
            <w:tcW w:w="1460" w:type="dxa"/>
            <w:vAlign w:val="bottom"/>
            <w:gridSpan w:val="2"/>
          </w:tcPr>
          <w:p>
            <w:pPr>
              <w:jc w:val="right"/>
              <w:ind w:right="379"/>
              <w:spacing w:after="0"/>
              <w:rPr>
                <w:sz w:val="20"/>
                <w:szCs w:val="20"/>
                <w:color w:val="auto"/>
              </w:rPr>
            </w:pPr>
            <w:r>
              <w:rPr>
                <w:rFonts w:ascii="Arial" w:cs="Arial" w:eastAsia="Arial" w:hAnsi="Arial"/>
                <w:sz w:val="18"/>
                <w:szCs w:val="18"/>
                <w:color w:val="auto"/>
              </w:rPr>
              <w:t>(28%)</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(47,359)</w:t>
            </w:r>
          </w:p>
        </w:tc>
        <w:tc>
          <w:tcPr>
            <w:tcW w:w="14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(30%)</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58,118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11,594</w:t>
            </w:r>
          </w:p>
        </w:tc>
        <w:tc>
          <w:tcPr>
            <w:tcW w:w="146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20%</w:t>
            </w:r>
          </w:p>
        </w:tc>
      </w:tr>
      <w:tr>
        <w:trPr>
          <w:trHeight w:val="190"/>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(1.2 pts)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2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$19.3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$14.0 million from a favorable mix of lower cost real estate inventory being sold; and</w:t>
      </w:r>
    </w:p>
    <w:p>
      <w:pPr>
        <w:spacing w:after="0" w:line="117" w:lineRule="exact"/>
        <w:rPr>
          <w:rFonts w:ascii="Arial" w:cs="Arial" w:eastAsia="Arial" w:hAnsi="Arial"/>
          <w:sz w:val="18"/>
          <w:szCs w:val="18"/>
          <w:color w:val="auto"/>
        </w:rPr>
      </w:pPr>
    </w:p>
    <w:p>
      <w:pPr>
        <w:ind w:left="1300" w:right="54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$2.6 million from lower usage of plus points as a sales incentive in our North America segment, which resulted in less revenue being deferred that will be recognized as rental revenue when the points are redeemed or expire.</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right="4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$11.1 million of unfavorable changes in product cost true-up activity ($0.4 million of unfavorable true-up activity in the 2017 first half compared to $10.7 million of favorable true-up activity in the 2016 first half);</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$8.5 million from higher marketing and sales costs (of which $5.2 million was due to the ramp-up of the six new sales distributions);</w:t>
      </w:r>
    </w:p>
    <w:p>
      <w:pPr>
        <w:spacing w:after="0" w:line="128" w:lineRule="exact"/>
        <w:rPr>
          <w:rFonts w:ascii="Arial" w:cs="Arial" w:eastAsia="Arial" w:hAnsi="Arial"/>
          <w:sz w:val="17"/>
          <w:szCs w:val="17"/>
          <w:color w:val="auto"/>
        </w:rPr>
      </w:pPr>
    </w:p>
    <w:p>
      <w:pPr>
        <w:ind w:left="1300" w:right="80" w:hanging="320"/>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$1.7 million from higher sales reserve activity due to the increase in financing propensity in our North America segment, partially offset by the correction of an immaterial error in 2016 with respect to historical static pool data in the Asia Pacific and Europe segments;</w:t>
      </w:r>
    </w:p>
    <w:p>
      <w:pPr>
        <w:spacing w:after="0" w:line="15"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 million from higher other development and inventory expenses;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 million of unfavorable revenue reportability compared to the 2016 first half.</w:t>
      </w:r>
    </w:p>
    <w:p>
      <w:pPr>
        <w:spacing w:after="0" w:line="117"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The 1.2 percentage point decline in the development margin percentage reflected a 3.1 percentage point decrease due to the unfavorable changes in product cost true-up activity year-over-year, a 1.4 percentage point decline due to the higher ramp-up expenses associated with the new sales distributions, a 0.4 percentage point decline from the higher sales reserve rate, a 0.4 percentage point decrease from higher other development and inventory expenses and a</w:t>
      </w:r>
    </w:p>
    <w:p>
      <w:pPr>
        <w:ind w:right="340"/>
        <w:spacing w:after="0" w:line="255" w:lineRule="auto"/>
        <w:rPr>
          <w:sz w:val="20"/>
          <w:szCs w:val="20"/>
          <w:color w:val="auto"/>
        </w:rPr>
      </w:pPr>
      <w:r>
        <w:rPr>
          <w:rFonts w:ascii="Arial" w:cs="Arial" w:eastAsia="Arial" w:hAnsi="Arial"/>
          <w:sz w:val="18"/>
          <w:szCs w:val="18"/>
          <w:color w:val="auto"/>
        </w:rPr>
        <w:t>0.3 percentage point decrease due to the unfavorable revenue reportability year-over-year. These declines were partially offset by a 3.9 percentage point increase due to a favorable mix of lower cost vacation ownership real estate inventory being sold in the 2017 first half and a 0.5 percentage point increase from the lower usage of plus points as a sales incentive.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79,158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74,156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35,150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30,149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3"/>
              <w:spacing w:after="0" w:line="189" w:lineRule="exact"/>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3"/>
              <w:spacing w:after="0" w:line="189" w:lineRule="exact"/>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3.7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59"/>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increase in resort management and other services revenues reflected $2.3 million of higher management fees resulting from the cumulative increase in the number of vacation ownership products sold and higher operating costs across the system, $1.2 million of higher settlement fees due to an increase in the number of closed contracts in the 2017 second quarter, $1.2 million of additional annual club dues and other revenues earned in connection with the MVCD program due to the cumulative increase in owners enrolled in the program, $1.2 million of higher resales commissions and other revenues and $0.4 million of higher refurbishment revenue due to an increase in the number of refurbishment projects completed in the 2017 second quarter. These increases were partially offset by $1.3 million of lower ancillary revenues. The decline in ancillary revenues included $3.6 million of lower ancillary revenues from the operating property in Surfers Paradise, Australia (a portion of which was disposed of in the 2016 second quarter) and $0.4 million of lower revenue due to outsourcing the operation of a restaurant in our North America segment, partially offset by $2.7 million of higher revenues from food and beverage and golf offerings at our resorts.</w:t>
      </w:r>
    </w:p>
    <w:p>
      <w:pPr>
        <w:spacing w:after="0" w:line="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improvement in the resort management and other services margin reflected the increases in revenue and no net change in expenses. Compared to the 2016 second quarter, expenses in the 2017 second quarter included $1.5 million of higher expenses associated with the MVCD program, $1.4 million of higher ancillary expenses from food and beverage and golf offerings at our resorts, $0.5 million of higher refurbishment expenses and $0.2 million of higher other expenses, partially offset by $3.1 million of lower ancillary expenses from the operating property in Surfers Paradise, Australia and $0.5 million of lower ancillary expenses due to outsourcing the operation of a restaurant in our North America segment.</w:t>
      </w:r>
    </w:p>
    <w:p>
      <w:pPr>
        <w:spacing w:after="0" w:line="6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5,580</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60,309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61,672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10,041</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152,122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137,864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14,258</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66,469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53,994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12,475</w:t>
            </w:r>
          </w:p>
        </w:tc>
        <w:tc>
          <w:tcPr>
            <w:tcW w:w="14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23%</w:t>
            </w:r>
          </w:p>
        </w:tc>
      </w:tr>
      <w:tr>
        <w:trPr>
          <w:trHeight w:val="190"/>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3"/>
              <w:spacing w:after="0" w:line="189" w:lineRule="exact"/>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4.5 pts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increase in resort management and other services revenues reflected $5.6 million of higher management fees resulting from the cumulative increase in the number of vacation ownership products sold and higher operating costs across the system, $3.1 million of additional annual club dues and other revenues earned in connection with the MVCD program due to the cumulative increase in owners enrolled in the program, $2.6 million of higher refurbishment revenue due to an increase in the number of refurbishment projects completed in the 2017 first half, $2.4 million of higher resales commissions, brand fees and other revenues, and $2.0 million of higher settlement fees due to an increase in the number of closed contracts in the 2017 first half. These increases were partially offset by $1.4 million of lower ancillary revenues. The decline in ancillary revenues included $6.2 million of lower ancillary revenues from the operating property in Surfers Paradise, Australia (a portion of which was disposed of in the 2016 second quarter) and $1.1 million of lower revenue due to outsourcing the operation of a restaurant in our North America segment, partially offset by $5.9 million of higher revenues from food and beverage and golf offerings at our resorts.</w:t>
      </w:r>
    </w:p>
    <w:p>
      <w:pPr>
        <w:spacing w:after="0" w:line="7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partially offset by $1.8 million of higher expenses. The higher expenses included $3.6 million of higher ancillary expenses from food and beverage and golf offerings at our resorts, $2.8 million of higher expenses associated with the MVCD program, $1.8 million of higher refurbishment expenses due to an increase in the number of projects being refurbished in the 2017 first half and $0.2 million of higher other expenses, partially offset by $5.4 million of lower ancillary expenses from the operating property in Surfers Paradise, Australia and $1.2 million of lower ancillary expenses due to outsourcing the operation of a restaurant in our North America segment.</w:t>
      </w:r>
    </w:p>
    <w:p>
      <w:pPr>
        <w:spacing w:after="0" w:line="8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360" w:type="dxa"/>
            <w:vAlign w:val="bottom"/>
            <w:gridSpan w:val="2"/>
          </w:tcPr>
          <w:p>
            <w:pPr>
              <w:jc w:val="right"/>
              <w:ind w:right="379"/>
              <w:spacing w:after="0"/>
              <w:rPr>
                <w:sz w:val="20"/>
                <w:szCs w:val="20"/>
                <w:color w:val="auto"/>
              </w:rPr>
            </w:pPr>
            <w:r>
              <w:rPr>
                <w:rFonts w:ascii="Arial" w:cs="Arial" w:eastAsia="Arial" w:hAnsi="Arial"/>
                <w:sz w:val="18"/>
                <w:szCs w:val="18"/>
                <w:color w:val="auto"/>
              </w:rPr>
              <w:t>23%</w:t>
            </w:r>
          </w:p>
        </w:tc>
      </w:tr>
      <w:tr>
        <w:trPr>
          <w:trHeight w:val="27"/>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3,876</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14%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w:t>
            </w:r>
          </w:p>
        </w:tc>
        <w:tc>
          <w:tcPr>
            <w:tcW w:w="1360" w:type="dxa"/>
            <w:vAlign w:val="bottom"/>
            <w:gridSpan w:val="2"/>
          </w:tcPr>
          <w:p>
            <w:pPr>
              <w:jc w:val="right"/>
              <w:ind w:right="319"/>
              <w:spacing w:after="0"/>
              <w:rPr>
                <w:sz w:val="20"/>
                <w:szCs w:val="20"/>
                <w:color w:val="auto"/>
              </w:rPr>
            </w:pPr>
            <w:r>
              <w:rPr>
                <w:rFonts w:ascii="Arial" w:cs="Arial" w:eastAsia="Arial" w:hAnsi="Arial"/>
                <w:sz w:val="18"/>
                <w:szCs w:val="18"/>
                <w:color w:val="auto"/>
              </w:rPr>
              <w:t>(32%)</w:t>
            </w: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(10%)</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23,427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20,916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2,511</w:t>
            </w:r>
          </w:p>
        </w:tc>
        <w:tc>
          <w:tcPr>
            <w:tcW w:w="1360" w:type="dxa"/>
            <w:vAlign w:val="bottom"/>
            <w:tcBorders>
              <w:bottom w:val="single" w:sz="8" w:color="CCEEFF"/>
            </w:tcBorders>
            <w:gridSpan w:val="2"/>
          </w:tcPr>
          <w:p>
            <w:pPr>
              <w:jc w:val="right"/>
              <w:ind w:right="379"/>
              <w:spacing w:after="0"/>
              <w:rPr>
                <w:sz w:val="20"/>
                <w:szCs w:val="20"/>
                <w:color w:val="auto"/>
              </w:rPr>
            </w:pPr>
            <w:r>
              <w:rPr>
                <w:rFonts w:ascii="Arial" w:cs="Arial" w:eastAsia="Arial" w:hAnsi="Arial"/>
                <w:sz w:val="18"/>
                <w:szCs w:val="18"/>
                <w:color w:val="auto"/>
              </w:rPr>
              <w:t>12%</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Financing propensity</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increase in financing revenues was due to a $113.4 million increase in the average gross vacation ownership notes receivable balance ($5.5 million) and higher other financing revenues ($0.3 million), partially offset by financing program incentive costs ($1.9 million).</w:t>
      </w:r>
    </w:p>
    <w:p>
      <w:pPr>
        <w:spacing w:after="0" w:line="3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increase in financing margin reflected the higher financing revenues, partially offset by higher other expenses and higher consumer financing interest expense. The higher other expenses were due to the increase in the average gross vacation ownership notes receivable balance. The higher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5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expect financing propensity for the 2017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(168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financing revenues</w:t>
            </w:r>
          </w:p>
        </w:tc>
        <w:tc>
          <w:tcPr>
            <w:tcW w:w="2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22%</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Financing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6,763</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45,583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40,198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5,385</w:t>
            </w:r>
          </w:p>
        </w:tc>
        <w:tc>
          <w:tcPr>
            <w:tcW w:w="13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13%</w:t>
            </w:r>
          </w:p>
        </w:tc>
      </w:tr>
      <w:tr>
        <w:trPr>
          <w:trHeight w:val="190"/>
        </w:trPr>
        <w:tc>
          <w:tcPr>
            <w:tcW w:w="5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Financing propensity</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53"/>
              <w:spacing w:after="0" w:line="189" w:lineRule="exact"/>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increase in financing revenues was due to a $95.2 million increase in the average gross vacation ownership notes receivable balance ($10.6 million) and higher other financing revenues ($0.6 million), partially offset by financing program incentive costs ($3.7 million) and a slight decrease in the weighted average coupon rate of our vacation ownership notes receivable ($0.7 million).</w:t>
      </w:r>
    </w:p>
    <w:p>
      <w:pPr>
        <w:spacing w:after="0" w:line="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increase in financing margin reflected the higher financing revenues, partially offset by higher consumer financing interest expense and higher other expenses. The higher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8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expect financing propensity for the 2017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97"/>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14,025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9,041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4,984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55%</w:t>
            </w:r>
          </w:p>
        </w:tc>
      </w:tr>
      <w:tr>
        <w:trPr>
          <w:trHeight w:val="190"/>
        </w:trPr>
        <w:tc>
          <w:tcPr>
            <w:tcW w:w="20" w:type="dxa"/>
            <w:vAlign w:val="bottom"/>
          </w:tcPr>
          <w:p>
            <w:pPr>
              <w:spacing w:after="0"/>
              <w:rPr>
                <w:sz w:val="16"/>
                <w:szCs w:val="16"/>
                <w:color w:val="auto"/>
              </w:rPr>
            </w:pPr>
          </w:p>
        </w:tc>
        <w:tc>
          <w:tcPr>
            <w:tcW w:w="5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5"/>
              <w:spacing w:after="0" w:line="189"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2"/>
              <w:spacing w:after="0" w:line="189" w:lineRule="exact"/>
              <w:rPr>
                <w:sz w:val="20"/>
                <w:szCs w:val="20"/>
                <w:color w:val="auto"/>
              </w:rPr>
            </w:pPr>
            <w:r>
              <w:rPr>
                <w:rFonts w:ascii="Arial" w:cs="Arial" w:eastAsia="Arial" w:hAnsi="Arial"/>
                <w:sz w:val="18"/>
                <w:szCs w:val="18"/>
                <w:color w:val="auto"/>
              </w:rPr>
              <w:t>4.7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50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49,489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212.92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212.69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2.0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12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9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increase in rental revenues was due to a 17 percent increase in transient keys rented ($10.5 million) driven by a 10 percent increase in available keys, a $2.2 million increase in preview keys rented and other revenue, $1.1 million of higher plus points revenue (which is recognized when the points are redeemed or expire) and a slightly higher average transient rate ($0.1 million), partially offset by $2.9 million of revenue in the 2016 second quarter from the operating property in Surfers Paradise, Australia prior to the conversion of the property to vacation ownership inventory (a portion of which was disposed of in the second quarter of 2016) and $1.9 million of revenue in the 2016 second quarter at our operating property in San Diego, California prior to the conversion of the property to vacation ownership inventory.</w:t>
      </w:r>
    </w:p>
    <w:p>
      <w:pPr>
        <w:spacing w:after="0" w:line="8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increase in rental margin reflected $3.9 million from the higher rental revenues net of direct variable expenses (such as housekeeping), expenses incurred due to owners choosing alternative usage options, and unsold maintenance fees, and the $1.1 million increase in plus points revenue.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14,087</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(25%)</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28,849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4,180</w:t>
            </w:r>
          </w:p>
        </w:tc>
        <w:tc>
          <w:tcPr>
            <w:tcW w:w="14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17%</w:t>
            </w:r>
          </w:p>
        </w:tc>
      </w:tr>
      <w:tr>
        <w:trPr>
          <w:trHeight w:val="190"/>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1"/>
              <w:spacing w:after="0" w:line="189" w:lineRule="exact"/>
              <w:rPr>
                <w:sz w:val="20"/>
                <w:szCs w:val="20"/>
                <w:color w:val="auto"/>
              </w:rPr>
            </w:pPr>
            <w:r>
              <w:rPr>
                <w:rFonts w:ascii="Arial" w:cs="Arial" w:eastAsia="Arial" w:hAnsi="Arial"/>
                <w:sz w:val="18"/>
                <w:szCs w:val="18"/>
                <w:color w:val="auto"/>
              </w:rPr>
              <w:t>1.1 pts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59"/>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89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4"/>
          </w:tcPr>
          <w:p>
            <w:pPr>
              <w:jc w:val="right"/>
              <w:ind w:right="995"/>
              <w:spacing w:after="0"/>
              <w:rPr>
                <w:sz w:val="20"/>
                <w:szCs w:val="20"/>
                <w:color w:val="auto"/>
              </w:rPr>
            </w:pPr>
            <w:r>
              <w:rPr>
                <w:rFonts w:ascii="Arial" w:cs="Arial" w:eastAsia="Arial" w:hAnsi="Arial"/>
                <w:sz w:val="16"/>
                <w:szCs w:val="16"/>
                <w:b w:val="1"/>
                <w:bCs w:val="1"/>
                <w:color w:val="auto"/>
              </w:rPr>
              <w:t>Year to Date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440" w:type="dxa"/>
            <w:vAlign w:val="bottom"/>
          </w:tcPr>
          <w:p>
            <w:pPr>
              <w:jc w:val="right"/>
              <w:ind w:right="295"/>
              <w:spacing w:after="0"/>
              <w:rPr>
                <w:sz w:val="20"/>
                <w:szCs w:val="20"/>
                <w:color w:val="auto"/>
              </w:rPr>
            </w:pPr>
            <w:r>
              <w:rPr>
                <w:rFonts w:ascii="Arial" w:cs="Arial" w:eastAsia="Arial" w:hAnsi="Arial"/>
                <w:sz w:val="16"/>
                <w:szCs w:val="16"/>
                <w:b w:val="1"/>
                <w:bCs w:val="1"/>
                <w:color w:val="auto"/>
                <w:w w:val="99"/>
              </w:rPr>
              <w:t>June 17, 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440" w:type="dxa"/>
            <w:vAlign w:val="bottom"/>
          </w:tcPr>
          <w:p>
            <w:pPr>
              <w:jc w:val="right"/>
              <w:ind w:right="455"/>
              <w:spacing w:after="0"/>
              <w:rPr>
                <w:sz w:val="20"/>
                <w:szCs w:val="20"/>
                <w:color w:val="auto"/>
              </w:rPr>
            </w:pPr>
            <w:r>
              <w:rPr>
                <w:rFonts w:ascii="Arial" w:cs="Arial" w:eastAsia="Arial" w:hAnsi="Arial"/>
                <w:sz w:val="14"/>
                <w:szCs w:val="14"/>
                <w:b w:val="1"/>
                <w:bCs w:val="1"/>
                <w:color w:val="auto"/>
              </w:rPr>
              <w:t>(168 days)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660,213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577,034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220.27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220.86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0.4 pts</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10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increase in rental revenues was due to a 14 percent increase in transient keys rented ($18.4 million) driven by a 13 percent increase in available keys, a $3.6 million increase in preview keys rented and other revenue and $1.5 million of higher plus points revenue (which is recognized when the points are redeemed or expire), partially offset by $6.1 million of revenue in the 2016 first half from the operating property in Surfers Paradise, Australia prior to the conversion of the property to vacation ownership inventory (a portion of which was disposed of in the second quarter of 2016), $2.9 million of revenue in the 2016 first half at our operating property in San Diego, California prior to the conversion of the property to vacation ownership inventory and a slightly lower average transient rate ($0.4 million).</w:t>
      </w:r>
    </w:p>
    <w:p>
      <w:pPr>
        <w:spacing w:after="0" w:line="8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increase in rental margin reflected $2.7 million from the higher rental revenues net of direct variable expenses (such as housekeeping), expenses incurred due to owners choosing alternative usage options, and unsold maintenance fees, and the $1.5 million increase in plus points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Cost reimbursements increased $11.9 million, or 12 percent, over the 2016 second quarter, reflecting an increase of $6.3 million due to higher costs, $5.1 million due to the change to an end-of-month quarterly reporting cycle in 2017 and $0.8 million due to additional managed unit weeks in the 2017 second quarter, partially offset by a $0.3 million negative impact from foreign exchange rates in our Europe segment.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Cost reimbursements increased $28.0 million, or 14 percent, over the 2016 first half, reflecting an increase of $12.9 million due to the change to an end-of-month quarterly reporting cycle in 2017, $12.0 million due to higher costs and $3.7 million due to additional managed unit weeks in the 2017 first half, partially offset by a $0.6 million negative impact from foreign exchange rates in our Europe segment.</w:t>
      </w:r>
    </w:p>
    <w:p>
      <w:pPr>
        <w:spacing w:after="0" w:line="177" w:lineRule="exact"/>
        <w:rPr>
          <w:sz w:val="20"/>
          <w:szCs w:val="20"/>
          <w:color w:val="auto"/>
        </w:rPr>
      </w:pPr>
    </w:p>
    <w:p>
      <w:pPr>
        <w:jc w:val="right"/>
        <w:ind w:right="9240"/>
        <w:spacing w:after="0"/>
        <w:rPr>
          <w:sz w:val="20"/>
          <w:szCs w:val="20"/>
          <w:color w:val="auto"/>
        </w:rPr>
      </w:pPr>
      <w:r>
        <w:rPr>
          <w:rFonts w:ascii="Arial" w:cs="Arial" w:eastAsia="Arial" w:hAnsi="Arial"/>
          <w:sz w:val="16"/>
          <w:szCs w:val="16"/>
          <w:b w:val="1"/>
          <w:bCs w:val="1"/>
          <w:color w:val="auto"/>
        </w:rPr>
        <w:t>General and Administrative</w:t>
      </w:r>
    </w:p>
    <w:p>
      <w:pPr>
        <w:spacing w:after="0" w:line="144" w:lineRule="exact"/>
        <w:rPr>
          <w:sz w:val="20"/>
          <w:szCs w:val="20"/>
          <w:color w:val="auto"/>
        </w:rPr>
      </w:pPr>
    </w:p>
    <w:p>
      <w:pPr>
        <w:jc w:val="right"/>
        <w:ind w:right="920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General and administrative expenses increased $4.2 million due to approximately $2.0 million from the change to an end-of-month quarterly reporting cycle in 2017 that resulted in seven additional days in the 2017 second quarter and $2.2 million due to higher personnel related and other expenses. The higher personnel related and other expenses included annual merit, bonus and inflationary cost increases.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expenses increased $6.4 million due to approximately $4.0 million from the change to an end-of-month quarterly reporting cycle in 2017 that resulted in 14 additional days in the 2017 first half and $3.8 million due to higher personnel related and other expenses, partially offset by $1.4 million of lower litigation related costs. The higher personnel related and other expenses included annual merit, bonus and inflationary cost increases.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Royalty fee expense increased $2.3 million in the 2017 second quarter (from $14.0 million to $16.3 million) due to an increase in the dollar volume of closings ($1.3 million), the change to an end-of-month quarterly reporting cycle in 2017 that resulted in seven additional days in the 2017 second quarter ($1.0 million) and a contractual increase late in 2016 in the fixed portion of the royalty fee owed to Marriott International ($0.5 million), partially offset by $0.5 million of lower costs due to an increase in sales of pre-owned inventory, which carry a lower royalty fee as compared to initial sales of our inventory (one percent versus two percent).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Royalty fee expense increased $5.0 million in the 2017 first half (from $27.4 million to $32.4 million) due to an increase in the dollar volume of closings ($2.5 million), the change to an end-of-month quarterly reporting cycle in 2017 that resulted in 14 additional days in the 2017 first half ($1.9 million) and a contractual increase late in 2016 in the fixed portion of the royalty fee owed to Marriott International ($1.2 million), partially offset by $0.6 million of lower costs due to an increase in sales of pre-owned inventory, which carry a lower royalty fee as compared to initial sales of our inventory (one percent versus two percent).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Interest expense decreased $0.3 million due to $1.1 million of expense incurred in the 2016 second quarter associated with the mandatorily redeemable preferred stock of a consolidated subsidiary, partially offset by $0.5 million of imputed interest on a non-interest bearing note payable associated with the acquisition of vacation ownership units located on the Big Island of Hawaii and $0.3 of higher other expenses. Due to the redemption of the mandatorily redeemable preferred stock in 2016, we will not incur further interest expense associated with this liability in the future.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Interest expense decreased $1.5 million due to $2.2 million of expense incurred in the 2016 first half associated with the mandatorily redeemable preferred stock of a consolidated subsidiary, partially offset by $0.5 million of imputed interest on a non-interest bearing note payable associated with the acquisition of vacation ownership units located on the Big Island of Hawaii and $0.2 million of higher other expenses. Due to the redemption of the mandatorily redeemable preferred stock in 2016, we will not incur further interest expense associated with this liability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Gains and Other (Expense) Income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2017 second quarter and 2017 first half, we recorded $0.2 million of miscellaneous losses and other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First Half</w:t>
      </w:r>
    </w:p>
    <w:p>
      <w:pPr>
        <w:spacing w:after="0" w:line="11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the 2016 second quarter and 2016 first half, we recorded a $10.5 million gain on the disposition of excess inventory at The Ritz-Carlton Club and Residences, San Francisco (the “RCC San Francisco”), the reversal of the remaining $1.7 million accrual associated with the disposition of a golf course and related assets in Kauai, Hawaii because we no longer expect to incur additional costs in connection with this sale and a $1.5 million loss on the sale of the portion of the operating property in Surfers Paradise, Australia that we did not intend to convert to vacation ownership inventory.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During the 2017 first quarter we incurred $0.4 million of acquisition costs, and during the 2017 second quarter we incurred $0.2 million of acquisition costs.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First Half</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2016 first quarter, we incurred $2.3 million of acquisition costs associated with an operating property in the South Beach area of Miami Beach and the anticipated future acquisition of the operating property in New York that we currently manage, and $0.2 million of transaction related costs associated with the sale of the portion of the operating property located in Surfers Paradise, Australia that we did not intend to convert to vacation ownership inventory. See Footnote No. 5, “Acquisitions and Dispositions” and Footnote No. 8, “Contingencies and Commitments,” to our Financial Statements for further information related to these transactions.</w:t>
      </w:r>
    </w:p>
    <w:p>
      <w:pPr>
        <w:spacing w:after="0" w:line="8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During the 2016 second quarter, we incurred $1.9 million of costs associated with the anticipated future acquisition of vacation ownership units located on the Big Island of Hawaii and the anticipated future acquisition of the operating property in New York we currently manage.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Our provision for income taxes decreased $3.8 million (from $24.9 million to $21.1 million) from the 2016 second quarter. The decrease was primarily due to a favorable impact of the adoption of Accounting Standards Update 2016-09,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(“ASU 2016-09”). See Footnote No. 1, “Summary of Significant Accounting Policies,” to our Financial Statements for additional information on ASU 2016-09.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provision for income taxes decreased $0.8 million (from $40.6 million to $39.8 million) from the 2016 first half. The decrease was primarily due to a favorable impact of the adoption of ASU 2016-09, partially offset by increases in U.S. and foreign earnings. See Footnote No. 1, “Summary of Significant Accounting Policies,” to our Financial Statements for additional information on ASU 2016-09.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218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346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31"/>
        </w:trPr>
        <w:tc>
          <w:tcPr>
            <w:tcW w:w="3460" w:type="dxa"/>
            <w:vAlign w:val="bottom"/>
          </w:tcPr>
          <w:p>
            <w:pPr>
              <w:spacing w:after="0"/>
              <w:rPr>
                <w:sz w:val="20"/>
                <w:szCs w:val="20"/>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 2017</w:t>
            </w: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June 17, 2016</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June 30, 2017</w:t>
            </w:r>
          </w:p>
        </w:tc>
        <w:tc>
          <w:tcPr>
            <w:tcW w:w="11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7"/>
              </w:rPr>
              <w:t>June 17, 2016</w:t>
            </w:r>
          </w:p>
        </w:tc>
      </w:tr>
      <w:tr>
        <w:trPr>
          <w:trHeight w:val="297"/>
        </w:trPr>
        <w:tc>
          <w:tcPr>
            <w:tcW w:w="3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(91 days)</w:t>
            </w:r>
          </w:p>
        </w:tc>
        <w:tc>
          <w:tcPr>
            <w:tcW w:w="20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(84 days)</w:t>
            </w:r>
          </w:p>
        </w:tc>
        <w:tc>
          <w:tcPr>
            <w:tcW w:w="18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(182 days)</w:t>
            </w:r>
          </w:p>
        </w:tc>
        <w:tc>
          <w:tcPr>
            <w:tcW w:w="20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(168 days)</w:t>
            </w:r>
          </w:p>
        </w:tc>
      </w:tr>
      <w:tr>
        <w:trPr>
          <w:trHeight w:val="250"/>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36,309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60,717</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4,069</w:t>
            </w: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40,615</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5,052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10,177</w:t>
            </w:r>
          </w:p>
        </w:tc>
      </w:tr>
      <w:tr>
        <w:trPr>
          <w:trHeight w:val="27"/>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68,306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115,578</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4,332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6,856</w:t>
            </w: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Certain items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37"/>
        </w:trPr>
        <w:tc>
          <w:tcPr>
            <w:tcW w:w="346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64,165</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115,756</w:t>
            </w: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certain items for the 2017 second quarter consisted of $0.2 million of acquisition costs, less than $0.2 million of litigation settlement expenses and less than $0.2 million of losses and other expense. These exclusions increased EBITDA by $0.5 million.</w:t>
      </w:r>
    </w:p>
    <w:p>
      <w:pPr>
        <w:spacing w:after="0" w:line="6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certain items for the 2016 second quarter consisted of $10.7 million of gains and other income, $2.0 million of acquisition costs and $0.2 million of losses from the operations of the portion of the property we acquired in Surfers Paradise, Australia in 2015 that we sold in the second quarter of 2016. These exclusions decreased EBITDA by $8.5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certain items for the 2017 first half consisted of $0.6 million of acquisition costs, $0.2 million of litigation settlement expenses and $0.2 million of losses and other expense. These exclusions increased EBITDA by $1.0 million.</w:t>
      </w:r>
    </w:p>
    <w:p>
      <w:pPr>
        <w:spacing w:after="0" w:line="62" w:lineRule="exact"/>
        <w:rPr>
          <w:sz w:val="20"/>
          <w:szCs w:val="20"/>
          <w:color w:val="auto"/>
        </w:rPr>
      </w:pPr>
    </w:p>
    <w:p>
      <w:pPr>
        <w:jc w:val="both"/>
        <w:ind w:right="580" w:firstLine="648"/>
        <w:spacing w:after="0" w:line="286" w:lineRule="auto"/>
        <w:rPr>
          <w:sz w:val="20"/>
          <w:szCs w:val="20"/>
          <w:color w:val="auto"/>
        </w:rPr>
      </w:pPr>
      <w:r>
        <w:rPr>
          <w:rFonts w:ascii="Arial" w:cs="Arial" w:eastAsia="Arial" w:hAnsi="Arial"/>
          <w:sz w:val="17"/>
          <w:szCs w:val="17"/>
          <w:color w:val="auto"/>
        </w:rPr>
        <w:t>The certain items for the 2016 first half consisted of $10.7 million of gains and other income, $4.6 million of acquisition costs, a $0.3 million reversal of litigation settlement expense, and $0.3 million of profit from the operations of the portion of the property we acquired in Surfers Paradise, Australia in 2015 that we sold in the second quarter of 2016. These exclusions decreased EBITDA by $6.7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Asia Pacific and Europe. See Footnote No. 13, “Business Segments,” to our Financial Statements for further information on our segments.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North America segment for the 2017 second quarter compared to the 2016 second quarter, and the 2017 first half compared to the 2016 first half.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ind w:left="780"/>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June 17, 2016</w:t>
            </w:r>
          </w:p>
        </w:tc>
        <w:tc>
          <w:tcPr>
            <w:tcW w:w="15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240" w:type="dxa"/>
            <w:vAlign w:val="bottom"/>
            <w:gridSpan w:val="2"/>
          </w:tcPr>
          <w:p>
            <w:pPr>
              <w:jc w:val="right"/>
              <w:ind w:right="163"/>
              <w:spacing w:after="0"/>
              <w:rPr>
                <w:sz w:val="20"/>
                <w:szCs w:val="20"/>
                <w:color w:val="auto"/>
              </w:rPr>
            </w:pPr>
            <w:r>
              <w:rPr>
                <w:rFonts w:ascii="Arial" w:cs="Arial" w:eastAsia="Arial" w:hAnsi="Arial"/>
                <w:sz w:val="16"/>
                <w:szCs w:val="16"/>
                <w:b w:val="1"/>
                <w:bCs w:val="1"/>
                <w:color w:val="auto"/>
                <w:w w:val="94"/>
              </w:rPr>
              <w:t>June 17, 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478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(84 days)</w:t>
            </w:r>
          </w:p>
        </w:tc>
        <w:tc>
          <w:tcPr>
            <w:tcW w:w="340" w:type="dxa"/>
            <w:vAlign w:val="bottom"/>
          </w:tcPr>
          <w:p>
            <w:pPr>
              <w:spacing w:after="0"/>
              <w:rPr>
                <w:sz w:val="24"/>
                <w:szCs w:val="24"/>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(182 days)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23"/>
              <w:spacing w:after="0"/>
              <w:rPr>
                <w:sz w:val="20"/>
                <w:szCs w:val="20"/>
                <w:color w:val="auto"/>
              </w:rPr>
            </w:pPr>
            <w:r>
              <w:rPr>
                <w:rFonts w:ascii="Arial" w:cs="Arial" w:eastAsia="Arial" w:hAnsi="Arial"/>
                <w:sz w:val="14"/>
                <w:szCs w:val="14"/>
                <w:b w:val="1"/>
                <w:bCs w:val="1"/>
                <w:color w:val="auto"/>
              </w:rPr>
              <w:t>(168 days)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7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Sale of vacation ownership products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175,847</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132,473</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332,504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257,157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138,594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119,709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26,853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60,958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54,261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75,990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155,130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138,137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101,488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90,174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216,443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189,356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2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455,101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378,425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903,629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758,620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780" w:type="dxa"/>
            <w:vAlign w:val="bottom"/>
            <w:gridSpan w:val="4"/>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41,676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59,742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90,784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66,911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179,654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135,226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67,473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124,905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111,549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40" w:type="dxa"/>
            <w:vAlign w:val="bottom"/>
            <w:gridSpan w:val="3"/>
          </w:tcPr>
          <w:p>
            <w:pPr>
              <w:ind w:left="140"/>
              <w:spacing w:after="0"/>
              <w:rPr>
                <w:sz w:val="20"/>
                <w:szCs w:val="20"/>
                <w:color w:val="auto"/>
              </w:rPr>
            </w:pPr>
            <w:r>
              <w:rPr>
                <w:rFonts w:ascii="Arial" w:cs="Arial" w:eastAsia="Arial" w:hAnsi="Arial"/>
                <w:sz w:val="18"/>
                <w:szCs w:val="18"/>
                <w:color w:val="auto"/>
              </w:rPr>
              <w:t>Royalty fee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43"/>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101,488</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216,443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189,356</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336,338</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278,678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680,252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3"/>
              <w:spacing w:after="0"/>
              <w:rPr>
                <w:sz w:val="20"/>
                <w:szCs w:val="20"/>
                <w:color w:val="auto"/>
              </w:rPr>
            </w:pPr>
            <w:r>
              <w:rPr>
                <w:rFonts w:ascii="Arial" w:cs="Arial" w:eastAsia="Arial" w:hAnsi="Arial"/>
                <w:sz w:val="18"/>
                <w:szCs w:val="18"/>
                <w:color w:val="auto"/>
              </w:rPr>
              <w:t>566,983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(Losses) gains and other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12,324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4780" w:type="dxa"/>
            <w:vAlign w:val="bottom"/>
            <w:gridSpan w:val="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(4,013)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SEGMENT FINANCIAL RESULTS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223,306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199,948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i w:val="1"/>
                <w:iCs w:val="1"/>
                <w:color w:val="auto"/>
              </w:rPr>
              <w:t>2017 Second Quarter</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7"/>
          </w:tcPr>
          <w:p>
            <w:pPr>
              <w:ind w:left="940"/>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left="72"/>
              <w:spacing w:after="0"/>
              <w:rPr>
                <w:sz w:val="20"/>
                <w:szCs w:val="20"/>
                <w:color w:val="auto"/>
              </w:rPr>
            </w:pPr>
            <w:r>
              <w:rPr>
                <w:rFonts w:ascii="Arial" w:cs="Arial" w:eastAsia="Arial" w:hAnsi="Arial"/>
                <w:sz w:val="16"/>
                <w:szCs w:val="16"/>
                <w:b w:val="1"/>
                <w:bCs w:val="1"/>
                <w:color w:val="auto"/>
                <w:w w:val="90"/>
              </w:rPr>
              <w:t>June 17, 2016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(91 days)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4"/>
                <w:szCs w:val="14"/>
                <w:b w:val="1"/>
                <w:bCs w:val="1"/>
                <w:color w:val="auto"/>
                <w:w w:val="92"/>
              </w:rPr>
              <w:t>(84 days)</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4780" w:type="dxa"/>
            <w:vAlign w:val="bottom"/>
            <w:gridSpan w:val="4"/>
          </w:tcPr>
          <w:p>
            <w:pPr>
              <w:ind w:left="20"/>
              <w:spacing w:after="0"/>
              <w:rPr>
                <w:sz w:val="20"/>
                <w:szCs w:val="20"/>
                <w:color w:val="auto"/>
              </w:rPr>
            </w:pPr>
            <w:r>
              <w:rPr>
                <w:rFonts w:ascii="Arial" w:cs="Arial" w:eastAsia="Arial" w:hAnsi="Arial"/>
                <w:sz w:val="18"/>
                <w:szCs w:val="18"/>
                <w:color w:val="auto"/>
              </w:rPr>
              <w:t>Vacation ownership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190,883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13"/>
              <w:spacing w:after="0"/>
              <w:rPr>
                <w:sz w:val="20"/>
                <w:szCs w:val="20"/>
                <w:color w:val="auto"/>
              </w:rPr>
            </w:pPr>
            <w:r>
              <w:rPr>
                <w:rFonts w:ascii="Arial" w:cs="Arial" w:eastAsia="Arial" w:hAnsi="Arial"/>
                <w:sz w:val="18"/>
                <w:szCs w:val="18"/>
                <w:color w:val="auto"/>
              </w:rPr>
              <w:t>145,600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45,283</w:t>
            </w:r>
          </w:p>
        </w:tc>
        <w:tc>
          <w:tcPr>
            <w:tcW w:w="1240" w:type="dxa"/>
            <w:vAlign w:val="bottom"/>
            <w:gridSpan w:val="2"/>
          </w:tcPr>
          <w:p>
            <w:pPr>
              <w:jc w:val="right"/>
              <w:ind w:right="203"/>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contract sales</w:t>
            </w:r>
          </w:p>
        </w:tc>
        <w:tc>
          <w:tcPr>
            <w:tcW w:w="2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145,600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45,283</w:t>
            </w:r>
          </w:p>
        </w:tc>
        <w:tc>
          <w:tcPr>
            <w:tcW w:w="1240" w:type="dxa"/>
            <w:vAlign w:val="bottom"/>
            <w:tcBorders>
              <w:bottom w:val="single" w:sz="8" w:color="CCEEFF"/>
            </w:tcBorders>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increase in North America vacation ownership contract sales reflected a $46.8 million increase in sales at on-site sales locations, partially offset by a $1.5 million decrease in sales at off-site (non tour-based) sales locations. Our 2017 second quarter had seven more days than our 2016 second quarter due to the change to an end-of-month quarterly reporting cycle in 2017. We estimate that 2016 second quarter contract sales would have been approximately $11 million higher on a comparable basis, the majority of which would have occurred at on-site sales locations.</w:t>
      </w:r>
    </w:p>
    <w:p>
      <w:pPr>
        <w:spacing w:after="0" w:line="6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increase in sales at North America on-site locations reflected a 28.0 percent increase in the number of tours and a 5.8 percent increase in VPG to $3,579 in the 2017 second quarter from $3,384 in the 2016 second quarter. The increase in the number of tours was due to increases in both owner tours and first time buyer tours, and was driven by programs that were implemented in 2015 or later to generate additional tours. The 28.0 percent increase in the number of total tours included an increase of approximately 10.1 percent due to the change in the financial reporting calendar in 2017, an increase of 10.6 percent from new sales locations and an increase of 7.3 percent from existing sales locations. The increase in VPG resulted from a 0.4 percentage point increase in closing efficiency and higher pricing. The sales at North America off-site locations were negatively impacted in part by currency fluctuations, primarily in Latin America.</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(168 days)</w:t>
            </w:r>
          </w:p>
        </w:tc>
        <w:tc>
          <w:tcPr>
            <w:tcW w:w="220" w:type="dxa"/>
            <w:vAlign w:val="bottom"/>
          </w:tcPr>
          <w:p>
            <w:pPr>
              <w:spacing w:after="0"/>
              <w:rPr>
                <w:sz w:val="24"/>
                <w:szCs w:val="24"/>
                <w:color w:val="auto"/>
              </w:rPr>
            </w:pPr>
          </w:p>
        </w:tc>
        <w:tc>
          <w:tcPr>
            <w:tcW w:w="102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368,319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285,250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83,069</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29%</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shd w:val="clear" w:color="auto" w:fill="CCEEFF"/>
              </w:rPr>
              <w:t>Total 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368,319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285,250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83,069</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increase in North America vacation ownership contract sales reflected an $85.3 million increase in sales at on-site sales locations, partially offset by a $2.0 million decrease in sales at off-site (non tour-based) sales locations and a $0.2 million decrease in fractional sales as we continue to sell through remaining luxury inventory. Our 2017 first half had 14 more days than our 2016 first half due to the change to an end-of-month quarterly reporting cycle in 2017. We estimate that 2016 first half contract sales would have been approximately $23 million higher on a comparable basis, the majority of which would have occurred at on-site sales locations.</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increase in sales at North America on-site locations reflected a 25.9 percent increase in the number of tours and a 5.6 percent increase in VPG to $3,631 in the 2017 first half from $3,438 in the 2016 first half. The increase in the number of tours was due to increases in both owner tours and first time buyer tours, and was driven by programs that were implemented in 2015 or later to generate additional tours. The 25.9 percent increase in the number of total tours included an increase of approximately 10.1 percent due to the change in the financial reporting calendar in 2017, an increase of 9.0 percent from new sales locations and an increase of 6.8 percent from existing sales locations. The increase in VPG resulted from a 0.4 percentage point increase in closing efficiency and higher pricing. The sales at North America off-site locations were negatively impacted in part by currency fluctuations, primarily in Latin America.</w:t>
      </w:r>
    </w:p>
    <w:p>
      <w:pPr>
        <w:spacing w:after="0" w:line="18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45,283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175,847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132,473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43,374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Revenue reportability positively impacted the 2017 second quarter due to a decrease in the amount of sales that remained in the rescission period as of the end of the quarter.</w:t>
      </w:r>
    </w:p>
    <w:p>
      <w:pPr>
        <w:spacing w:after="0" w:line="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higher sales reserve reflected the higher vacation ownership contract sales volume ($2.5 million of the increase) and an increase in the sales reserve due to the increase in financing propensity ($2.0 million of the increase).</w:t>
      </w:r>
    </w:p>
    <w:p>
      <w:pPr>
        <w:spacing w:after="0" w:line="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decrease in other adjustments for sales incentives was driven by a decrease in the utilization of plus points as a sales incentive in the 2017 second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83,069</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6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332,504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257,157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75,347</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jc w:val="right"/>
              <w:ind w:right="2693"/>
              <w:spacing w:after="0"/>
              <w:rPr>
                <w:sz w:val="20"/>
                <w:szCs w:val="20"/>
                <w:color w:val="auto"/>
              </w:rPr>
            </w:pPr>
            <w:r>
              <w:rPr>
                <w:rFonts w:ascii="Arial" w:cs="Arial" w:eastAsia="Arial" w:hAnsi="Arial"/>
                <w:sz w:val="18"/>
                <w:szCs w:val="18"/>
                <w:color w:val="auto"/>
                <w:w w:val="89"/>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80" w:firstLine="648"/>
        <w:spacing w:after="0" w:line="336" w:lineRule="auto"/>
        <w:rPr>
          <w:sz w:val="20"/>
          <w:szCs w:val="20"/>
          <w:color w:val="auto"/>
        </w:rPr>
      </w:pPr>
      <w:r>
        <w:rPr>
          <w:rFonts w:ascii="Arial" w:cs="Arial" w:eastAsia="Arial" w:hAnsi="Arial"/>
          <w:sz w:val="16"/>
          <w:szCs w:val="16"/>
          <w:color w:val="auto"/>
        </w:rPr>
        <w:t>Revenue reportability positively impacted the 2017 first half due to an increase in the amount of sales that met the down payment requirement for revenue reportability during the period, partially offset by an increase in the amount of sales that remained in the rescission period as of the end of the period.</w:t>
      </w:r>
    </w:p>
    <w:p>
      <w:pPr>
        <w:spacing w:after="0" w:line="2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higher sales reserve reflected the higher vacation ownership contract sales volume ($4.7 million of the increase) and an increase in the sales reserve due to the increase in financing propensity ($3.1 million of the increase).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other adjustments for sales incentives was driven by a decrease in the utilization of plus points as a sales incentive in the 2017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43,374</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(12,596)</w:t>
            </w:r>
          </w:p>
        </w:tc>
        <w:tc>
          <w:tcPr>
            <w:tcW w:w="1480" w:type="dxa"/>
            <w:vAlign w:val="bottom"/>
            <w:gridSpan w:val="2"/>
          </w:tcPr>
          <w:p>
            <w:pPr>
              <w:jc w:val="right"/>
              <w:ind w:right="379"/>
              <w:spacing w:after="0"/>
              <w:rPr>
                <w:sz w:val="20"/>
                <w:szCs w:val="20"/>
                <w:color w:val="auto"/>
              </w:rPr>
            </w:pPr>
            <w:r>
              <w:rPr>
                <w:rFonts w:ascii="Arial" w:cs="Arial" w:eastAsia="Arial" w:hAnsi="Arial"/>
                <w:sz w:val="18"/>
                <w:szCs w:val="18"/>
                <w:color w:val="auto"/>
              </w:rPr>
              <w:t>(43%)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(36%)</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43,387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36,482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6,905</w:t>
            </w:r>
          </w:p>
        </w:tc>
        <w:tc>
          <w:tcPr>
            <w:tcW w:w="148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19%</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(2.8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4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$11.2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$6.5 million from a favorable mix of lower cost real estate inventory being sold;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 million of favorable revenue reportability compared to the 2016 second quarter; and</w:t>
      </w:r>
    </w:p>
    <w:p>
      <w:pPr>
        <w:spacing w:after="0" w:line="117"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$0.9 million from lower usage of plus points as a sales incentive, which resulted in less revenue being deferred that will be recognized as rental revenue when the points are redeemed or expire.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right="24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$6.8 million of unfavorable changes in product cost true-up activity ($0.2 million of favorable true-up activity in the 2017 second quarter compared to $7.0 million of favorable true-up activity in the 2016 second quarter);</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$3.6 million from higher marketing and sales costs (of which $2.4 million was due to the ramp-up of the new sales distributions);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 million from higher sales reserve activity in the 2017 second quarter due to the increase in financing propensity;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$0.9 million from higher other development and inventory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2.8 percentage point decline in the development margin percentage reflected a 3.9 percentage point decrease due to the unfavorable changes in product cost true-up activity year-over-year, a 2.3 percentage point decline due to higher marketing and sales costs (of which 1.4 percentage points was due to the higher ramp-up expenses associated with the new sales distributions), a 0.5 percentage point decline from the higher sales reserve rate and a 0.5 percentage point decrease from higher other development and inventory expenses. These declines were partially offset by a 3.7 percentage point increase due to a favorable mix of lower cost vacation ownership real estate inventory being sold in the 2017 second quarter, a 0.4 percentage point increase from the lower usage of plus points as a sales incentive and a 0.3 percentage point increase due to the favorable revenue reportability year-over-year.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75,347</w:t>
            </w:r>
          </w:p>
        </w:tc>
        <w:tc>
          <w:tcPr>
            <w:tcW w:w="14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29%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(59,742)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(19,569)</w:t>
            </w:r>
          </w:p>
        </w:tc>
        <w:tc>
          <w:tcPr>
            <w:tcW w:w="1460" w:type="dxa"/>
            <w:vAlign w:val="bottom"/>
            <w:gridSpan w:val="2"/>
          </w:tcPr>
          <w:p>
            <w:pPr>
              <w:jc w:val="right"/>
              <w:ind w:right="379"/>
              <w:spacing w:after="0"/>
              <w:rPr>
                <w:sz w:val="20"/>
                <w:szCs w:val="20"/>
                <w:color w:val="auto"/>
              </w:rPr>
            </w:pPr>
            <w:r>
              <w:rPr>
                <w:rFonts w:ascii="Arial" w:cs="Arial" w:eastAsia="Arial" w:hAnsi="Arial"/>
                <w:sz w:val="18"/>
                <w:szCs w:val="18"/>
                <w:color w:val="auto"/>
              </w:rPr>
              <w:t>(33%)</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(44,428)</w:t>
            </w:r>
          </w:p>
        </w:tc>
        <w:tc>
          <w:tcPr>
            <w:tcW w:w="14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(33%)</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73,539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62,189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11,350</w:t>
            </w:r>
          </w:p>
        </w:tc>
        <w:tc>
          <w:tcPr>
            <w:tcW w:w="146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18%</w:t>
            </w:r>
          </w:p>
        </w:tc>
      </w:tr>
      <w:tr>
        <w:trPr>
          <w:trHeight w:val="190"/>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74"/>
              <w:spacing w:after="0" w:line="189" w:lineRule="exact"/>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(2.1 pts)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300" w:right="5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$19.5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$13.3 million from a favorable mix of lower cost real estate inventory being sold; and</w:t>
      </w:r>
    </w:p>
    <w:p>
      <w:pPr>
        <w:spacing w:after="0" w:line="117"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$2.6 million from lower usage of plus points as a sales incentive, which resulted in less revenue being deferred that will be recognized as rental revenue when the points are redeemed or expire.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in development margin were partially offset by the following:</w:t>
      </w:r>
    </w:p>
    <w:p>
      <w:pPr>
        <w:spacing w:after="0" w:line="117" w:lineRule="exact"/>
        <w:rPr>
          <w:sz w:val="20"/>
          <w:szCs w:val="20"/>
          <w:color w:val="auto"/>
        </w:rPr>
      </w:pPr>
    </w:p>
    <w:p>
      <w:pPr>
        <w:ind w:left="1300" w:right="40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$11.2 million of unfavorable changes in product cost true-up activity ($0.8 million of unfavorable true-up activity in the 2017 first half compared to $10.4 million of favorable true-up activity in the 2016 first half);</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$6.7 million from higher marketing and sales costs (of which $5.9 million was due to the ramp-up of the new sales distributions);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 million from higher sales reserve activity in the 2017 first half due to the increase in financing propensity;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$2.2 million of unfavorable revenue reportability compared to the 2016 first half;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 million from higher other development and inventory expenses.</w:t>
      </w:r>
    </w:p>
    <w:p>
      <w:pPr>
        <w:spacing w:after="0" w:line="1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2.1 percentage point decline in the development margin percentage reflected a 3.4 percentage point decrease due to the unfavorable changes in product cost true-up activity year-over-year, a 1.8 percentage point decline due to the higher ramp-up expenses associated with the new sales distributions, a 0.6 percentage point decrease due to the unfavorable revenue reportability year-over-year, a 0.4 percentage point decline from the higher sales reserve rate and a 0.4 percentage point decrease from higher other development and inventory expenses. These declines were partially offset by a 4.0 percentage point increase due to a favorable mix of lower cost vacation ownership real estate inventory being sold in the 2017 first half and a 0.5 percentage point increase from the lower usage of plus points as a sales incentive.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27,910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71,057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63,296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33,605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28,630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percentage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50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increase in resort management and other services revenues reflected $2.1 million of higher management fees resulting from the cumulative increase in the number of vacation ownership products sold and higher operating costs across the system, $1.7 million of higher ancillary revenues, $1.2 million of higher settlement fees due to an increase in the number of closed contracts in the 2017 second quarter, $1.2 million of additional annual club dues and other revenues earned in connection with the MVCD program due to the cumulative increase in owners enrolled in the program, $1.2 million of higher resales commissions and other revenues and $0.4 million of higher refurbishment revenue due to an increase in the number of refurbishment projects completed in the 2017 second quarter. The increase in ancillary revenues included $2.1 million of higher revenues from food and beverage and golf offerings at our resorts, partially offset by $0.4 million of lower revenue due to outsourcing the operation of a restaurant.</w:t>
      </w:r>
    </w:p>
    <w:p>
      <w:pPr>
        <w:spacing w:after="0" w:line="5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increase in the resort management and other services margin reflected the increases in revenue, partially offset by $2.8 million of higher expenses, including $1.6 million of higher expenses associated with the MVCD program, $1.1 million of higher ancillary expenses from food and beverage and golf offerings at our resorts, $0.5 million of higher refurbishment expenses due to an increase in the number of projects being refurbished in the 2017 second quarter and $0.1 million of higher other expenses, partially offset by $0.5 million of lower ancillary expenses due to outsourcing the operation of a restaurant.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52,598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48,640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3,958</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9,704</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138,594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119,709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18,885</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16%</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64,383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52,236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12,147</w:t>
            </w:r>
          </w:p>
        </w:tc>
        <w:tc>
          <w:tcPr>
            <w:tcW w:w="14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23%</w:t>
            </w:r>
          </w:p>
        </w:tc>
      </w:tr>
      <w:tr>
        <w:trPr>
          <w:trHeight w:val="190"/>
        </w:trPr>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percentage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2.9 pts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50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increase in resort management and other services revenues reflected $5.2 million of higher management fees resulting from the cumulative increase in the number of vacation ownership products sold and higher operating costs across the system, $4.0 million of higher ancillary revenues, $3.0 million of additional annual club dues and other revenues earned in connection with the MVCD program due to the cumulative increase in owners enrolled in the program, $2.6 million of higher refurbishment revenue due to an increase in the number of refurbishment projects completed in the 2017 first half, $2.1 million of higher resales commissions, brand fees and other revenues, and $2.0 million of higher settlement fees due to an increase in the number of closed contracts in the 2017 first half. The increase in ancillary revenues included $5.2 million of higher revenues from food and beverage and golf offerings at our resorts, partially offset by $1.2 million of lower revenue due to outsourcing the operation of a restaurant.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increase in the resort management and other services margin reflected the increases in revenue, partially offset by $6.7 million of higher expenses, including $3.2 million of higher ancillary expenses from food and beverage and golf offerings at our resorts, $2.6 million of higher expenses associated with the MVCD program, $1.8 million of higher refurbishment expenses due to an increase in the number of projects being refurbished in the 2017 first half, and $0.3 million of higher other expenses, partially offset by $1.2 million of lower ancillary expenses due to outsourcing the operation of a restaurant.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95"/>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334"/>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increase in financing revenues was due to an increase in the average gross vacation ownership notes receivable balance ($5.5 million) and higher other financing revenues ($0.3 million), partially offset by financing program incentive costs ($1.9 million). We expect financing propensity for the 2017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6,077</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Financing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60,958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6,697</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Financing propensity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75"/>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334"/>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increase in financing revenues was due to an increase in the average gross vacation ownership notes receivable balance ($10.5 million) and higher other financing revenues ($0.6 million), partially offset by financing program incentive costs ($3.7 million) and a slight decrease in the weighted average coupon rate of our vacation ownership notes receivable ($0.7 million). We expect financing propensity for the 2017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(20%)</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margin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10,036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4,054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40%</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4"/>
              <w:spacing w:after="0" w:line="189" w:lineRule="exact"/>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1"/>
              <w:spacing w:after="0" w:line="189" w:lineRule="exact"/>
              <w:rPr>
                <w:sz w:val="20"/>
                <w:szCs w:val="20"/>
                <w:color w:val="auto"/>
              </w:rPr>
            </w:pPr>
            <w:r>
              <w:rPr>
                <w:rFonts w:ascii="Arial" w:cs="Arial" w:eastAsia="Arial" w:hAnsi="Arial"/>
                <w:sz w:val="18"/>
                <w:szCs w:val="18"/>
                <w:color w:val="auto"/>
              </w:rPr>
              <w:t>3.2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59"/>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ind w:left="3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4"/>
          </w:tcPr>
          <w:p>
            <w:pPr>
              <w:jc w:val="right"/>
              <w:ind w:right="1135"/>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440" w:type="dxa"/>
            <w:vAlign w:val="bottom"/>
          </w:tcPr>
          <w:p>
            <w:pPr>
              <w:jc w:val="right"/>
              <w:ind w:right="295"/>
              <w:spacing w:after="0"/>
              <w:rPr>
                <w:sz w:val="20"/>
                <w:szCs w:val="20"/>
                <w:color w:val="auto"/>
              </w:rPr>
            </w:pPr>
            <w:r>
              <w:rPr>
                <w:rFonts w:ascii="Arial" w:cs="Arial" w:eastAsia="Arial" w:hAnsi="Arial"/>
                <w:sz w:val="16"/>
                <w:szCs w:val="16"/>
                <w:b w:val="1"/>
                <w:bCs w:val="1"/>
                <w:color w:val="auto"/>
                <w:w w:val="99"/>
              </w:rPr>
              <w:t>June 17, 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(91 days)</w:t>
            </w:r>
          </w:p>
        </w:tc>
        <w:tc>
          <w:tcPr>
            <w:tcW w:w="260" w:type="dxa"/>
            <w:vAlign w:val="bottom"/>
          </w:tcPr>
          <w:p>
            <w:pPr>
              <w:spacing w:after="0"/>
              <w:rPr>
                <w:sz w:val="24"/>
                <w:szCs w:val="24"/>
                <w:color w:val="auto"/>
              </w:rPr>
            </w:pPr>
          </w:p>
        </w:tc>
        <w:tc>
          <w:tcPr>
            <w:tcW w:w="1440" w:type="dxa"/>
            <w:vAlign w:val="bottom"/>
          </w:tcPr>
          <w:p>
            <w:pPr>
              <w:jc w:val="right"/>
              <w:ind w:right="475"/>
              <w:spacing w:after="0"/>
              <w:rPr>
                <w:sz w:val="20"/>
                <w:szCs w:val="20"/>
                <w:color w:val="auto"/>
              </w:rPr>
            </w:pPr>
            <w:r>
              <w:rPr>
                <w:rFonts w:ascii="Arial" w:cs="Arial" w:eastAsia="Arial" w:hAnsi="Arial"/>
                <w:sz w:val="14"/>
                <w:szCs w:val="14"/>
                <w:b w:val="1"/>
                <w:bCs w:val="1"/>
                <w:color w:val="auto"/>
              </w:rPr>
              <w:t>(84 days)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306,830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207.98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209.08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60" w:type="dxa"/>
            <w:vAlign w:val="bottom"/>
          </w:tcPr>
          <w:p>
            <w:pPr>
              <w:jc w:val="right"/>
              <w:ind w:right="413"/>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1.8 pts</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020" w:type="dxa"/>
            <w:vAlign w:val="bottom"/>
          </w:tcPr>
          <w:p>
            <w:pPr>
              <w:jc w:val="right"/>
              <w:ind w:right="2690"/>
              <w:spacing w:after="0"/>
              <w:rPr>
                <w:sz w:val="20"/>
                <w:szCs w:val="20"/>
                <w:color w:val="auto"/>
              </w:rPr>
            </w:pPr>
            <w:r>
              <w:rPr>
                <w:rFonts w:ascii="Arial" w:cs="Arial" w:eastAsia="Arial" w:hAnsi="Arial"/>
                <w:sz w:val="18"/>
                <w:szCs w:val="18"/>
                <w:color w:val="auto"/>
                <w:w w:val="88"/>
              </w:rPr>
              <w:t>_________________________</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5" w:lineRule="exact"/>
        <w:rPr>
          <w:sz w:val="20"/>
          <w:szCs w:val="20"/>
          <w:color w:val="auto"/>
        </w:rPr>
      </w:pPr>
    </w:p>
    <w:p>
      <w:pPr>
        <w:ind w:left="660" w:right="22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The increase in rental revenues was due to a 17 percent increase in transient keys rented ($9.5 million) driven by a 10 percent increase in available keys, a $2.0 million increase in preview keys rented and other revenue and $1.1 million of higher plus points revenue (which is recognized when the points are redeemed or expire), partially offset by $1.9 million of revenue in the 2016 second quarter at our operating property in San Diego, California prior to the conversion of the property to vacation ownership inventory and a 1 percent decrease in average transient rate ($0.3 million).</w:t>
      </w:r>
    </w:p>
    <w:p>
      <w:pPr>
        <w:spacing w:after="0" w:line="6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increase in rental margin reflected $3.0 million from the higher rental revenues net of direct variable expenses (such as housekeeping), expenses incurred due to owners choosing alternative usage options, and unsold maintenance fees and the $1.1 million increase in plus points revenue.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12%</w:t>
            </w: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(5,738)</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97"/>
        </w:trPr>
        <w:tc>
          <w:tcPr>
            <w:tcW w:w="40" w:type="dxa"/>
            <w:vAlign w:val="bottom"/>
          </w:tcPr>
          <w:p>
            <w:pPr>
              <w:spacing w:after="0"/>
              <w:rPr>
                <w:sz w:val="24"/>
                <w:szCs w:val="24"/>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30,225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26,588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3,637</w:t>
            </w:r>
          </w:p>
        </w:tc>
        <w:tc>
          <w:tcPr>
            <w:tcW w:w="14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14%</w:t>
            </w:r>
          </w:p>
        </w:tc>
      </w:tr>
      <w:tr>
        <w:trPr>
          <w:trHeight w:val="190"/>
        </w:trPr>
        <w:tc>
          <w:tcPr>
            <w:tcW w:w="40" w:type="dxa"/>
            <w:vAlign w:val="bottom"/>
          </w:tcPr>
          <w:p>
            <w:pPr>
              <w:spacing w:after="0"/>
              <w:rPr>
                <w:sz w:val="16"/>
                <w:szCs w:val="16"/>
                <w:color w:val="auto"/>
              </w:rPr>
            </w:pPr>
          </w:p>
        </w:tc>
        <w:tc>
          <w:tcPr>
            <w:tcW w:w="5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Rental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132"/>
              <w:spacing w:after="0" w:line="189" w:lineRule="exact"/>
              <w:rPr>
                <w:sz w:val="20"/>
                <w:szCs w:val="20"/>
                <w:color w:val="auto"/>
              </w:rPr>
            </w:pPr>
            <w:r>
              <w:rPr>
                <w:rFonts w:ascii="Arial" w:cs="Arial" w:eastAsia="Arial" w:hAnsi="Arial"/>
                <w:sz w:val="18"/>
                <w:szCs w:val="18"/>
                <w:color w:val="auto"/>
                <w:w w:val="88"/>
              </w:rPr>
              <w:t>0.3 pts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0" w:type="dxa"/>
            <w:vAlign w:val="bottom"/>
          </w:tcPr>
          <w:p>
            <w:pPr>
              <w:spacing w:after="0"/>
              <w:rPr>
                <w:sz w:val="5"/>
                <w:szCs w:val="5"/>
                <w:color w:val="auto"/>
              </w:rPr>
            </w:pPr>
          </w:p>
        </w:tc>
        <w:tc>
          <w:tcPr>
            <w:tcW w:w="5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5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76,085</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w:t>
            </w: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217.74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219.71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324"/>
        </w:trPr>
        <w:tc>
          <w:tcPr>
            <w:tcW w:w="504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_________________________</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40" w:lineRule="exact"/>
        <w:rPr>
          <w:sz w:val="20"/>
          <w:szCs w:val="20"/>
          <w:color w:val="auto"/>
        </w:rPr>
      </w:pPr>
    </w:p>
    <w:p>
      <w:pPr>
        <w:ind w:left="660" w:right="22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increase in rental revenues was due to a 14 percent increase in transient keys rented ($16.5 million) driven by a 14 percent increase in available keys, a $3.1 million increase in preview keys rented and other revenue and $1.5 million of higher plus points revenue (which is recognized when the points are redeemed or expire), partially offset by $2.9 million of revenue in the 2017 first half at our operating property in San Diego, California prior to the conversion of the property to vacation ownership inventory and a 1 percent decrease in average transient rate ($1.2 million).</w:t>
      </w:r>
    </w:p>
    <w:p>
      <w:pPr>
        <w:spacing w:after="0" w:line="6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increase in rental margin reflected $2.1 million from the higher rental revenues net of direct variable expenses (such as housekeeping), expenses incurred due to owners choosing alternative usage options, and unsold maintenance fees and the $1.5 million increase in plus points revenue.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discussion presents an analysis of our results of operations for the Asia Pacific segment for the 2017 second quarter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second quarter, and the 2017 first half compared to the 2016 first half.</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8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17, 2016</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160" w:type="dxa"/>
            <w:vAlign w:val="bottom"/>
          </w:tcPr>
          <w:p>
            <w:pPr>
              <w:spacing w:after="0"/>
              <w:rPr>
                <w:sz w:val="20"/>
                <w:szCs w:val="20"/>
                <w:color w:val="auto"/>
              </w:rPr>
            </w:pPr>
          </w:p>
        </w:tc>
        <w:tc>
          <w:tcPr>
            <w:tcW w:w="126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June 17, 2016</w:t>
            </w:r>
          </w:p>
        </w:tc>
      </w:tr>
      <w:tr>
        <w:trPr>
          <w:trHeight w:val="297"/>
        </w:trPr>
        <w:tc>
          <w:tcPr>
            <w:tcW w:w="49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(84 days)</w:t>
            </w: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(182 days)</w:t>
            </w:r>
          </w:p>
        </w:tc>
        <w:tc>
          <w:tcPr>
            <w:tcW w:w="160" w:type="dxa"/>
            <w:vAlign w:val="bottom"/>
          </w:tcPr>
          <w:p>
            <w:pPr>
              <w:spacing w:after="0"/>
              <w:rPr>
                <w:sz w:val="24"/>
                <w:szCs w:val="24"/>
                <w:color w:val="auto"/>
              </w:rPr>
            </w:pP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49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16,635</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7,778</w:t>
            </w: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1,988</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10,449</w:t>
            </w: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1,558</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2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38,408</w:t>
            </w:r>
          </w:p>
        </w:tc>
      </w:tr>
      <w:tr>
        <w:trPr>
          <w:trHeight w:val="223"/>
        </w:trPr>
        <w:tc>
          <w:tcPr>
            <w:tcW w:w="4920" w:type="dxa"/>
            <w:vAlign w:val="bottom"/>
            <w:gridSpan w:val="4"/>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49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3,306</w:t>
            </w: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12,906</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7,646</w:t>
            </w: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12,554</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r>
      <w:tr>
        <w:trPr>
          <w:trHeight w:val="243"/>
        </w:trPr>
        <w:tc>
          <w:tcPr>
            <w:tcW w:w="4920" w:type="dxa"/>
            <w:vAlign w:val="bottom"/>
            <w:gridSpan w:val="4"/>
          </w:tcPr>
          <w:p>
            <w:pPr>
              <w:ind w:left="38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1,558</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28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38,295</w:t>
            </w:r>
          </w:p>
        </w:tc>
      </w:tr>
      <w:tr>
        <w:trPr>
          <w:trHeight w:val="237"/>
        </w:trPr>
        <w:tc>
          <w:tcPr>
            <w:tcW w:w="4920" w:type="dxa"/>
            <w:vAlign w:val="bottom"/>
            <w:gridSpan w:val="4"/>
          </w:tcPr>
          <w:p>
            <w:pPr>
              <w:ind w:left="20"/>
              <w:spacing w:after="0"/>
              <w:rPr>
                <w:sz w:val="20"/>
                <w:szCs w:val="20"/>
                <w:color w:val="auto"/>
              </w:rPr>
            </w:pPr>
            <w:r>
              <w:rPr>
                <w:rFonts w:ascii="Arial" w:cs="Arial" w:eastAsia="Arial" w:hAnsi="Arial"/>
                <w:sz w:val="18"/>
                <w:szCs w:val="18"/>
                <w:color w:val="auto"/>
              </w:rPr>
              <w:t>Losses and other expense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7"/>
        </w:trPr>
        <w:tc>
          <w:tcPr>
            <w:tcW w:w="4920" w:type="dxa"/>
            <w:vAlign w:val="bottom"/>
            <w:gridSpan w:val="4"/>
          </w:tcPr>
          <w:p>
            <w:pPr>
              <w:ind w:left="2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In our Asia Pacific segment, we continue to identify opportunities for development margin growth and improvement. We plan to continue to focus on future inventory acquisitions with strong on-site sales locations. In 2015, we purchased an operating property located in Surfers Paradise, Australia and in 2016, we sold the portion of this operating property that we did not intend to convert to vacation ownership inventory and converted the remaining portion of this operating property to vacation ownership inventory, a portion of which was contributed to our points-based programs within this segment. We began selling from this new location at the end of the 2016 first quarter. We expect to acquire vacation ownership units in Bali, Indonesia in the second half of 2017, contingent on completion to agreed upon standards, which will provide us with a new resort destination with an on-site sales location.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(91 days)</w:t>
            </w:r>
          </w:p>
        </w:tc>
        <w:tc>
          <w:tcPr>
            <w:tcW w:w="2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10,454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1,160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increase in Asia Pacific vacation ownership contract sales was driven by a 35.5 percent increase in tours, partially offset by an 18 percent decrease in VPG. The increase in tours included an increase of approximately 12.7 percent due to the change in the financial reporting calendar in 2017, an 18.4 percent increase from the new sales location in Surfers Paradise, Australia and a 4.4 percent increase at the existing sales locations. The decrease in VPG was driven by an increase in sales to first time buyers, which generally have a lower VPG than sales to existing owners. Contract sales at the new sales location in Surfers Paradise, Australia are not reported as sale of vacation ownership products until closing.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(168 days)</w:t>
            </w:r>
          </w:p>
        </w:tc>
        <w:tc>
          <w:tcPr>
            <w:tcW w:w="220" w:type="dxa"/>
            <w:vAlign w:val="bottom"/>
          </w:tcPr>
          <w:p>
            <w:pPr>
              <w:spacing w:after="0"/>
              <w:rPr>
                <w:sz w:val="24"/>
                <w:szCs w:val="24"/>
                <w:color w:val="auto"/>
              </w:rPr>
            </w:pPr>
          </w:p>
        </w:tc>
        <w:tc>
          <w:tcPr>
            <w:tcW w:w="102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880"/>
              <w:spacing w:after="0"/>
              <w:rPr>
                <w:sz w:val="20"/>
                <w:szCs w:val="20"/>
                <w:color w:val="auto"/>
              </w:rPr>
            </w:pPr>
            <w:r>
              <w:rPr>
                <w:rFonts w:ascii="Arial" w:cs="Arial" w:eastAsia="Arial" w:hAnsi="Arial"/>
                <w:sz w:val="18"/>
                <w:szCs w:val="18"/>
                <w:color w:val="auto"/>
              </w:rPr>
              <w:t>23,562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19,880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3,682</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19%</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shd w:val="clear" w:color="auto" w:fill="CCEEFF"/>
              </w:rPr>
              <w:t>Total 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23,562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91" w:lineRule="auto"/>
        <w:rPr>
          <w:sz w:val="20"/>
          <w:szCs w:val="20"/>
          <w:color w:val="auto"/>
        </w:rPr>
      </w:pPr>
      <w:r>
        <w:rPr>
          <w:rFonts w:ascii="Arial" w:cs="Arial" w:eastAsia="Arial" w:hAnsi="Arial"/>
          <w:sz w:val="16"/>
          <w:szCs w:val="16"/>
          <w:color w:val="auto"/>
        </w:rPr>
        <w:t>The increase in Asia Pacific vacation ownership contract sales was driven by a 50.0 percent increase in tours, partially offset by a 21 percent decrease in VPG. The increase in tours included an increase of approximately 13.0 percent due to the change in the financial reporting calendar in 2017, a</w:t>
      </w:r>
    </w:p>
    <w:p>
      <w:pPr>
        <w:ind w:right="40"/>
        <w:spacing w:after="0" w:line="255" w:lineRule="auto"/>
        <w:rPr>
          <w:sz w:val="20"/>
          <w:szCs w:val="20"/>
          <w:color w:val="auto"/>
        </w:rPr>
      </w:pPr>
      <w:r>
        <w:rPr>
          <w:rFonts w:ascii="Arial" w:cs="Arial" w:eastAsia="Arial" w:hAnsi="Arial"/>
          <w:sz w:val="18"/>
          <w:szCs w:val="18"/>
          <w:color w:val="auto"/>
        </w:rPr>
        <w:t>31.9 percent increase from the new sales location in Surfers Paradise, Australia and a 5.1 percent increase at the existing sales locations. The decrease in VPG was driven by an increase in sales to first time buyers, which generally have a lower VPG than sales to existing owners. Contract sales at the new sales location in Surfers Paradise, Australia are not reported as sale of vacation ownership products until closing.</w:t>
      </w:r>
    </w:p>
    <w:p>
      <w:pPr>
        <w:spacing w:after="0" w:line="186"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280" w:firstLine="648"/>
        <w:spacing w:after="0" w:line="272" w:lineRule="auto"/>
        <w:rPr>
          <w:sz w:val="20"/>
          <w:szCs w:val="20"/>
          <w:color w:val="auto"/>
        </w:rPr>
      </w:pPr>
      <w:r>
        <w:rPr>
          <w:rFonts w:ascii="Arial" w:cs="Arial" w:eastAsia="Arial" w:hAnsi="Arial"/>
          <w:sz w:val="18"/>
          <w:szCs w:val="18"/>
          <w:color w:val="auto"/>
        </w:rPr>
        <w:t>The decrease in the sales reserve is due to an unfavorable sales reserve adjustment made in the 2016 second quarter to correct an immaterial error with respect to historical static pool data.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Reportability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6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16,635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4,381</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2813"/>
              <w:spacing w:after="0"/>
              <w:rPr>
                <w:sz w:val="20"/>
                <w:szCs w:val="20"/>
                <w:color w:val="auto"/>
              </w:rPr>
            </w:pPr>
            <w:r>
              <w:rPr>
                <w:rFonts w:ascii="Arial" w:cs="Arial" w:eastAsia="Arial" w:hAnsi="Arial"/>
                <w:sz w:val="18"/>
                <w:szCs w:val="18"/>
                <w:color w:val="auto"/>
                <w:w w:val="89"/>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Revenue reportability had an unfavorable $0.1 million impact in the 2017 first half compared to an unfavorable $0.6 million impact in the 2016 first half. The decrease in the sales reserve is due to an unfavorable sales reserve adjustment made in the 2016 second quarter to correct an immaterial error with respect to historical static pool data, partially offset by the higher vacation ownership contract sales.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(17%)</w:t>
            </w: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(30%)</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3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(169%)</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14"/>
              <w:spacing w:after="0" w:line="189"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(2.6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right="220" w:hanging="320"/>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 million of higher marketing and sales costs at the sites other than Surfers Paradise, Australia due to the shift to more first time buyer tours;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 million due to a higher average cost of real estate inventory being sold in the 2017 second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300" w:right="36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million from the lower sales reserve activity compared to the 2016 second quarter primarily due to the correction of an immaterial error in 2016 with respect to historical static pool data;</w:t>
      </w:r>
    </w:p>
    <w:p>
      <w:pPr>
        <w:spacing w:after="0" w:line="62"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 million of lower marketing and sales costs at the new sales location in Surfers Paradise, Australia due to startup costs incurred in the 2016 second quarter;</w:t>
      </w:r>
    </w:p>
    <w:p>
      <w:pPr>
        <w:spacing w:after="0" w:line="62"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$0.1 million from higher favorable product cost true-up activity ($0.4 million in the 2017 second quarter compared to $0.3 million in the 2016 second quarter);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$0.1 million of favorable revenue reportability compared to the 2016 second quarter.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4,381</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w:t>
            </w:r>
          </w:p>
        </w:tc>
        <w:tc>
          <w:tcPr>
            <w:tcW w:w="1360" w:type="dxa"/>
            <w:vAlign w:val="bottom"/>
            <w:gridSpan w:val="2"/>
          </w:tcPr>
          <w:p>
            <w:pPr>
              <w:jc w:val="right"/>
              <w:ind w:right="319"/>
              <w:spacing w:after="0"/>
              <w:rPr>
                <w:sz w:val="20"/>
                <w:szCs w:val="20"/>
                <w:color w:val="auto"/>
              </w:rPr>
            </w:pPr>
            <w:r>
              <w:rPr>
                <w:rFonts w:ascii="Arial" w:cs="Arial" w:eastAsia="Arial" w:hAnsi="Arial"/>
                <w:sz w:val="18"/>
                <w:szCs w:val="18"/>
                <w:color w:val="auto"/>
              </w:rPr>
              <w:t>(20%)</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Marketing and sales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(31%)</w:t>
            </w: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360" w:type="dxa"/>
            <w:vAlign w:val="bottom"/>
            <w:tcBorders>
              <w:bottom w:val="single" w:sz="8" w:color="CCEEFF"/>
            </w:tcBorders>
            <w:gridSpan w:val="2"/>
          </w:tcPr>
          <w:p>
            <w:pPr>
              <w:jc w:val="right"/>
              <w:ind w:right="319"/>
              <w:spacing w:after="0"/>
              <w:rPr>
                <w:sz w:val="20"/>
                <w:szCs w:val="20"/>
                <w:color w:val="auto"/>
              </w:rPr>
            </w:pPr>
            <w:r>
              <w:rPr>
                <w:rFonts w:ascii="Arial" w:cs="Arial" w:eastAsia="Arial" w:hAnsi="Arial"/>
                <w:sz w:val="18"/>
                <w:szCs w:val="18"/>
                <w:color w:val="auto"/>
              </w:rPr>
              <w:t>(66%)</w:t>
            </w:r>
          </w:p>
        </w:tc>
      </w:tr>
      <w:tr>
        <w:trPr>
          <w:trHeight w:val="190"/>
        </w:trPr>
        <w:tc>
          <w:tcPr>
            <w:tcW w:w="5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Development margin percentage</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(1.8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right="220" w:hanging="320"/>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$2.3 million of higher marketing and sales costs at the sites other than Surfers Paradise, Australia due to the shift to more first time buyer tours; and</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from lower favorable product cost true-up activity ($0.5 million in the 2017 first half compared to $0.7 million in the 2016 first half).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300" w:right="22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$0.8 million from the lower sales reserve activity compared to the 2016 first half primarily due to the correction of an immaterial error in 2016 with respect to historical static pool data;</w:t>
      </w:r>
    </w:p>
    <w:p>
      <w:pPr>
        <w:spacing w:after="0" w:line="62"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$0.7 million of lower marketing and sales costs at the new sales location in Surfers Paradise, Australia due to startup costs incurred in the 2016 first half;</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$0.3 million of favorable revenue reportability compared to the 2016 first half;</w:t>
      </w:r>
    </w:p>
    <w:p>
      <w:pPr>
        <w:spacing w:after="0" w:line="117" w:lineRule="exact"/>
        <w:rPr>
          <w:rFonts w:ascii="Arial" w:cs="Arial" w:eastAsia="Arial" w:hAnsi="Arial"/>
          <w:sz w:val="18"/>
          <w:szCs w:val="18"/>
          <w:color w:val="auto"/>
        </w:rPr>
      </w:pPr>
    </w:p>
    <w:p>
      <w:pPr>
        <w:ind w:left="1300" w:right="60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$0.2 million from higher vacation ownership contract sales volume net of the sales reserve and direct variable expenses (i.e., cost of vacation ownership products and marketing and sales); and</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5" w:right="2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 million due to a lower average cost of real estate inventory being sold in the 2017 first half.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(91 days)</w:t>
            </w:r>
          </w:p>
        </w:tc>
        <w:tc>
          <w:tcPr>
            <w:tcW w:w="24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6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138%</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(77%)</w:t>
            </w: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74%</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3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(111%)</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54"/>
              <w:spacing w:after="0" w:line="189"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33"/>
              <w:spacing w:after="0" w:line="189" w:lineRule="exact"/>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(9.0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decrease in resort management and other services revenues reflected $3.6 million of lower ancillary revenues from the operating property in Surfers Paradise, Australia (a portion of which was disposed of in the second quarter of 2016), partially offset by higher other services revenues ($0.2 million). The decline in the resort management and other services margin reflected ancillary profit from the operating property in Surfers Paradise, Australia in the 2016 second quarter (compared to no ancillary activity in the 2017 second quarter).</w:t>
      </w:r>
    </w:p>
    <w:p>
      <w:pPr>
        <w:spacing w:after="0" w:line="79"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(168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Management fee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6,238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(6,238)</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services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112%</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5,493</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72%</w:t>
            </w:r>
          </w:p>
        </w:tc>
      </w:tr>
      <w:tr>
        <w:trPr>
          <w:trHeight w:val="29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3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(191%)</w:t>
            </w:r>
          </w:p>
        </w:tc>
      </w:tr>
      <w:tr>
        <w:trPr>
          <w:trHeight w:val="190"/>
        </w:trPr>
        <w:tc>
          <w:tcPr>
            <w:tcW w:w="5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 percentage</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4"/>
              <w:spacing w:after="0" w:line="189"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33"/>
              <w:spacing w:after="0" w:line="189"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Arial" w:cs="Arial" w:eastAsia="Arial" w:hAnsi="Arial"/>
                <w:sz w:val="18"/>
                <w:szCs w:val="18"/>
                <w:color w:val="auto"/>
              </w:rPr>
              <w:t>(7.6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decrease in resort management and other services revenues reflected $6.2 million of lower ancillary revenues from the operating property in Surfers Paradise, Australia (a portion of which was disposed of in the second quarter of 2016), partially offset by increases in management fees ($0.2 million) and other services revenues ($0.3 million). The decline in the resort management and other services margin reflected $0.8 million of ancillary profit from the operating property in Surfers Paradise, Australia in the 2016 first half (compared to no ancillary activity in the 2017 first half), partially offset by the higher management fees as well as lower other spending in the 2017 first half compared to the 2016 first half.</w:t>
      </w:r>
    </w:p>
    <w:p>
      <w:pPr>
        <w:spacing w:after="0" w:line="6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102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3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2,669</w:t>
            </w:r>
          </w:p>
        </w:tc>
        <w:tc>
          <w:tcPr>
            <w:tcW w:w="1360" w:type="dxa"/>
            <w:vAlign w:val="bottom"/>
            <w:gridSpan w:val="2"/>
          </w:tcPr>
          <w:p>
            <w:pPr>
              <w:jc w:val="right"/>
              <w:ind w:right="37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3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55"/>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31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(14.9 pts)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decline in rental revenues was due to $2.5 million of lower revenue from the operating property in Surfers Paradise, Australia (a portion of which was disposed of in the second quarter of 2016), partially offset by $0.3 million of higher revenues at the other resorts in the region. The lower expenses were due to $2.9 million of lower expenses from the operating property in Surfers Paradise, Australia (a portion of which was disposed of in the second quarter of 2016), partially offset by $0.2 million of higher other rental expenses in the 2017 second quarter.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(182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4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4,320</w:t>
            </w:r>
          </w:p>
        </w:tc>
        <w:tc>
          <w:tcPr>
            <w:tcW w:w="1460" w:type="dxa"/>
            <w:vAlign w:val="bottom"/>
            <w:gridSpan w:val="2"/>
          </w:tcPr>
          <w:p>
            <w:pPr>
              <w:jc w:val="right"/>
              <w:ind w:right="43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4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55"/>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33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(8.9 pts)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decline in rental revenues was due to $5.1 million of lower revenue from the operating property in Surfers Paradise, Australia (a portion of which was disposed of in the second quarter of 2016), partially offset by $1.0 million of higher revenues at the other resorts in the region. The lower expenses were due to $4.9 million of lower expenses from the operating property in Surfers Paradise, Australia (a portion of which was disposed of in the second quarter of 2016), partially offset by $0.6 million of higher other rental expenses in the 2017 first half.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Europe segment for the 2017 second quarter compared to the 2016 second quarter, and the 2017 first half compared to the 2016 first half.</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8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17, 2016</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16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June 17, 2016</w:t>
            </w:r>
          </w:p>
        </w:tc>
      </w:tr>
      <w:tr>
        <w:trPr>
          <w:trHeight w:val="297"/>
        </w:trPr>
        <w:tc>
          <w:tcPr>
            <w:tcW w:w="49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(84 days)</w:t>
            </w: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(182 days)</w:t>
            </w:r>
          </w:p>
        </w:tc>
        <w:tc>
          <w:tcPr>
            <w:tcW w:w="16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49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11,027</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10,377</w:t>
            </w: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1,629</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6,771</w:t>
            </w: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15,461</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2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45,265</w:t>
            </w:r>
          </w:p>
        </w:tc>
      </w:tr>
      <w:tr>
        <w:trPr>
          <w:trHeight w:val="223"/>
        </w:trPr>
        <w:tc>
          <w:tcPr>
            <w:tcW w:w="4920" w:type="dxa"/>
            <w:vAlign w:val="bottom"/>
            <w:gridSpan w:val="4"/>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49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2,559</w:t>
            </w: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9,199</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8,751</w:t>
            </w: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6,585</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r>
      <w:tr>
        <w:trPr>
          <w:trHeight w:val="243"/>
        </w:trPr>
        <w:tc>
          <w:tcPr>
            <w:tcW w:w="4920" w:type="dxa"/>
            <w:vAlign w:val="bottom"/>
            <w:gridSpan w:val="4"/>
          </w:tcPr>
          <w:p>
            <w:pPr>
              <w:ind w:left="26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15,461</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28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42,722</w:t>
            </w:r>
          </w:p>
        </w:tc>
      </w:tr>
      <w:tr>
        <w:trPr>
          <w:trHeight w:val="237"/>
        </w:trPr>
        <w:tc>
          <w:tcPr>
            <w:tcW w:w="4920" w:type="dxa"/>
            <w:vAlign w:val="bottom"/>
            <w:gridSpan w:val="4"/>
          </w:tcPr>
          <w:p>
            <w:pPr>
              <w:ind w:left="20"/>
              <w:spacing w:after="0"/>
              <w:rPr>
                <w:sz w:val="20"/>
                <w:szCs w:val="20"/>
                <w:color w:val="auto"/>
              </w:rPr>
            </w:pPr>
            <w:r>
              <w:rPr>
                <w:rFonts w:ascii="Arial" w:cs="Arial" w:eastAsia="Arial" w:hAnsi="Arial"/>
                <w:sz w:val="18"/>
                <w:szCs w:val="18"/>
                <w:b w:val="1"/>
                <w:bCs w:val="1"/>
                <w:color w:val="auto"/>
              </w:rPr>
              <w:t>SEGMENT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2,543</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(91 days)</w:t>
            </w:r>
          </w:p>
        </w:tc>
        <w:tc>
          <w:tcPr>
            <w:tcW w:w="2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9,938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(26%)</w:t>
            </w: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Total contract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contract sales was primarily due to several large multi-week purchases in the 2016 second quarter.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(168 days)</w:t>
            </w:r>
          </w:p>
        </w:tc>
        <w:tc>
          <w:tcPr>
            <w:tcW w:w="220" w:type="dxa"/>
            <w:vAlign w:val="bottom"/>
          </w:tcPr>
          <w:p>
            <w:pPr>
              <w:spacing w:after="0"/>
              <w:rPr>
                <w:sz w:val="24"/>
                <w:szCs w:val="24"/>
                <w:color w:val="auto"/>
              </w:rPr>
            </w:pPr>
          </w:p>
        </w:tc>
        <w:tc>
          <w:tcPr>
            <w:tcW w:w="1020" w:type="dxa"/>
            <w:vAlign w:val="bottom"/>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60"/>
              <w:spacing w:after="0"/>
              <w:rPr>
                <w:sz w:val="20"/>
                <w:szCs w:val="20"/>
                <w:color w:val="auto"/>
              </w:rPr>
            </w:pPr>
            <w:r>
              <w:rPr>
                <w:rFonts w:ascii="Arial" w:cs="Arial" w:eastAsia="Arial" w:hAnsi="Arial"/>
                <w:sz w:val="18"/>
                <w:szCs w:val="18"/>
                <w:color w:val="auto"/>
              </w:rPr>
              <w:t>Vacation ownership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11,845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shd w:val="clear" w:color="auto" w:fill="CCEEFF"/>
              </w:rPr>
              <w:t>Total 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contract sales was primarily due to several large multi-week purchases in the 2016 first half.</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00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020" w:hanging="652"/>
        <w:spacing w:after="0" w:line="400"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 xml:space="preserve">Adjustment for sales incentives that will not be recognized as Sale of vacation ownership products revenue. </w:t>
      </w:r>
      <w:r>
        <w:rPr>
          <w:rFonts w:ascii="Arial" w:cs="Arial" w:eastAsia="Arial" w:hAnsi="Arial"/>
          <w:sz w:val="18"/>
          <w:szCs w:val="18"/>
          <w:i w:val="1"/>
          <w:iCs w:val="1"/>
          <w:color w:val="auto"/>
        </w:rPr>
        <w:t>2017 First Half</w:t>
      </w:r>
    </w:p>
    <w:tbl>
      <w:tblPr>
        <w:tblLayout w:type="fixed"/>
        <w:tblInd w:w="8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tcPr>
          <w:p>
            <w:pPr>
              <w:ind w:left="84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(182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(168 days)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Contract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Reportability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80"/>
              <w:spacing w:after="0" w:line="230" w:lineRule="exact"/>
              <w:rPr>
                <w:sz w:val="20"/>
                <w:szCs w:val="20"/>
                <w:color w:val="auto"/>
              </w:rPr>
            </w:pPr>
            <w:r>
              <w:rPr>
                <w:rFonts w:ascii="Arial" w:cs="Arial" w:eastAsia="Arial" w:hAnsi="Arial"/>
                <w:sz w:val="18"/>
                <w:szCs w:val="18"/>
                <w:color w:val="auto"/>
                <w:shd w:val="clear" w:color="auto" w:fill="CCEEFF"/>
              </w:rPr>
              <w:t>Other</w:t>
            </w:r>
            <w:r>
              <w:rPr>
                <w:rFonts w:ascii="Arial" w:cs="Arial" w:eastAsia="Arial" w:hAnsi="Arial"/>
                <w:sz w:val="21"/>
                <w:szCs w:val="21"/>
                <w:color w:val="auto"/>
                <w:vertAlign w:val="superscript"/>
                <w:shd w:val="clear" w:color="auto" w:fill="CCEEFF"/>
              </w:rPr>
              <w:t>(1)</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50"/>
        </w:trPr>
        <w:tc>
          <w:tcPr>
            <w:tcW w:w="50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11,027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8890</wp:posOffset>
            </wp:positionV>
            <wp:extent cx="308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-130175</wp:posOffset>
            </wp:positionV>
            <wp:extent cx="3087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2017 Second Quarter</w:t>
      </w:r>
    </w:p>
    <w:p>
      <w:pPr>
        <w:spacing w:after="0" w:line="185"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37465</wp:posOffset>
            </wp:positionV>
            <wp:extent cx="22555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shd w:val="clear" w:color="auto" w:fill="CCEEFF"/>
        </w:rPr>
        <w:t>Development margin percentage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7"/>
        </w:trPr>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2"/>
              </w:rPr>
              <w:t>(91 days)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(84 days)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(798)</w:t>
            </w:r>
          </w:p>
        </w:tc>
        <w:tc>
          <w:tcPr>
            <w:tcW w:w="1460" w:type="dxa"/>
            <w:vAlign w:val="bottom"/>
            <w:gridSpan w:val="3"/>
          </w:tcPr>
          <w:p>
            <w:pPr>
              <w:jc w:val="right"/>
              <w:ind w:right="359"/>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1460" w:type="dxa"/>
            <w:vAlign w:val="bottom"/>
            <w:gridSpan w:val="3"/>
          </w:tcPr>
          <w:p>
            <w:pPr>
              <w:jc w:val="right"/>
              <w:ind w:right="419"/>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785</w:t>
            </w:r>
          </w:p>
        </w:tc>
        <w:tc>
          <w:tcPr>
            <w:tcW w:w="1460" w:type="dxa"/>
            <w:vAlign w:val="bottom"/>
            <w:gridSpan w:val="3"/>
          </w:tcPr>
          <w:p>
            <w:pPr>
              <w:jc w:val="right"/>
              <w:ind w:right="419"/>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1460" w:type="dxa"/>
            <w:vAlign w:val="bottom"/>
            <w:gridSpan w:val="3"/>
          </w:tcPr>
          <w:p>
            <w:pPr>
              <w:jc w:val="right"/>
              <w:ind w:right="419"/>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2"/>
                <w:szCs w:val="2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1480" w:type="dxa"/>
            <w:vAlign w:val="bottom"/>
          </w:tcPr>
          <w:p>
            <w:pPr>
              <w:jc w:val="right"/>
              <w:ind w:right="35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3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9.0 pts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1"/>
        </w:trPr>
        <w:tc>
          <w:tcPr>
            <w:tcW w:w="260" w:type="dxa"/>
            <w:vAlign w:val="bottom"/>
          </w:tcPr>
          <w:p>
            <w:pPr>
              <w:spacing w:after="0"/>
              <w:rPr>
                <w:sz w:val="24"/>
                <w:szCs w:val="24"/>
                <w:color w:val="auto"/>
              </w:rPr>
            </w:pPr>
          </w:p>
        </w:tc>
        <w:tc>
          <w:tcPr>
            <w:tcW w:w="3400" w:type="dxa"/>
            <w:vAlign w:val="bottom"/>
            <w:gridSpan w:val="5"/>
          </w:tcPr>
          <w:p>
            <w:pPr>
              <w:ind w:left="860"/>
              <w:spacing w:after="0"/>
              <w:rPr>
                <w:sz w:val="20"/>
                <w:szCs w:val="20"/>
                <w:color w:val="auto"/>
              </w:rPr>
            </w:pPr>
            <w:r>
              <w:rPr>
                <w:rFonts w:ascii="Arial" w:cs="Arial" w:eastAsia="Arial" w:hAnsi="Arial"/>
                <w:sz w:val="16"/>
                <w:szCs w:val="16"/>
                <w:b w:val="1"/>
                <w:bCs w:val="1"/>
                <w:color w:val="auto"/>
              </w:rPr>
              <w:t>Year to Date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17, 2016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(182 days)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(168 days)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4"/>
                <w:szCs w:val="24"/>
                <w:color w:val="auto"/>
              </w:rPr>
            </w:pPr>
          </w:p>
        </w:tc>
      </w:tr>
      <w:tr>
        <w:trPr>
          <w:trHeight w:val="243"/>
        </w:trPr>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11,027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(1,382)</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(13%)</w:t>
            </w:r>
          </w:p>
        </w:tc>
        <w:tc>
          <w:tcPr>
            <w:tcW w:w="20" w:type="dxa"/>
            <w:vAlign w:val="bottom"/>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1,193</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47%</w:t>
            </w:r>
          </w:p>
        </w:tc>
        <w:tc>
          <w:tcPr>
            <w:tcW w:w="2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1,081</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12%</w:t>
            </w:r>
          </w:p>
        </w:tc>
        <w:tc>
          <w:tcPr>
            <w:tcW w:w="20" w:type="dxa"/>
            <w:vAlign w:val="bottom"/>
          </w:tcPr>
          <w:p>
            <w:pPr>
              <w:spacing w:after="0"/>
              <w:rPr>
                <w:sz w:val="23"/>
                <w:szCs w:val="23"/>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892</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122%</w:t>
            </w:r>
          </w:p>
        </w:tc>
        <w:tc>
          <w:tcPr>
            <w:tcW w:w="20" w:type="dxa"/>
            <w:vAlign w:val="bottom"/>
          </w:tcPr>
          <w:p>
            <w:pPr>
              <w:spacing w:after="0"/>
              <w:rPr>
                <w:sz w:val="22"/>
                <w:szCs w:val="2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1480" w:type="dxa"/>
            <w:vAlign w:val="bottom"/>
          </w:tcPr>
          <w:p>
            <w:pPr>
              <w:jc w:val="right"/>
              <w:ind w:right="35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8.3 pts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-2666365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-2314575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-1954530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-882650</wp:posOffset>
            </wp:positionV>
            <wp:extent cx="721233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-530860</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-170815</wp:posOffset>
            </wp:positionV>
            <wp:extent cx="721233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78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17, 2016</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16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June 17, 2016</w:t>
            </w:r>
          </w:p>
        </w:tc>
      </w:tr>
      <w:tr>
        <w:trPr>
          <w:trHeight w:val="297"/>
        </w:trPr>
        <w:tc>
          <w:tcPr>
            <w:tcW w:w="49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(91 days)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(84 days)</w:t>
            </w:r>
          </w:p>
        </w:tc>
        <w:tc>
          <w:tcPr>
            <w:tcW w:w="16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(182 days)</w:t>
            </w:r>
          </w:p>
        </w:tc>
        <w:tc>
          <w:tcPr>
            <w:tcW w:w="16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3,763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7,201</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50,720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Consumer financing interest</w:t>
            </w: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10,479</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22,951</w:t>
            </w:r>
          </w:p>
        </w:tc>
      </w:tr>
      <w:tr>
        <w:trPr>
          <w:trHeight w:val="237"/>
        </w:trPr>
        <w:tc>
          <w:tcPr>
            <w:tcW w:w="4920" w:type="dxa"/>
            <w:vAlign w:val="bottom"/>
          </w:tcPr>
          <w:p>
            <w:pPr>
              <w:ind w:left="48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53,685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95,114</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TOTAL FINANCIAL RESULTS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(99,545)</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Second Quarter</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Total expenses increased $7.3 million from the 2016 second quarter. The $7.3 million increase resulted from $4.2 million of higher general and administrative expenses, $1.5 million of higher royalty fees due to the change to an end-of-month quarterly reporting cycle in 2017 that resulted in seven additional days in the 2017 second quarter ($1.0 million) and a contractual increase late in 2016 in the fixed portion of the royalty fee owed to Marriott International ($0.5 million), $0.8 million of higher financing expenses due to the increase in the average gross vacation ownership notes receivable balance, $0.5 million of higher consumer financing interest expense, $0.2 million of litigation settlements in the 2017 second quarter and $0.1 million of higher cost of vacation ownership products expenses due to higher development expenses.</w:t>
      </w:r>
    </w:p>
    <w:p>
      <w:pPr>
        <w:spacing w:after="0" w:line="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General and administrative expenses increased $4.2 million due to approximately $2.0 million from the change to an end-of-month quarterly reporting cycle in 2017 that resulted in seven additional days in the 2017 second quarter and $2.2 million due to higher personnel related and other expenses. The higher personnel related and other expenses included annual merit, bonus and inflationary cost increases.</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$0.5 million increase in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expenses increased $11.4 million from the 2016 first half. The $11.4 million increase resulted from $6.4 million of higher general and administrative expenses, $3.1 million of higher royalty fees due to the change to an end-of-month quarterly reporting cycle in 2017 that resulted in 14 additional days in the 2017 first half ($1.9 million) and a contractual increase late in 2016 in the fixed portion of the royalty fee owed to Marriott International ($1.2 million), $0.3 million of higher financing expenses due to the increase in the average gross vacation ownership notes receivable balance, $1.1 million of higher consumer financing interest expense, $0.4 million of higher cost of vacation ownership products expenses due to higher development expenses and $0.2 million of litigation settlements in the 2017 first half.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expenses increased $6.4 million due to approximately $4.0 million from the change to an end-of-month quarterly reporting cycle in 2017 that resulted in 14 additional days in the 2017 first half and $3.8 million due to higher personnel related and other expenses, partially offset by $1.4 million of lower litigation related costs. The higher personnel related and other expenses included annual merit, bonus and inflationary cost increases.</w:t>
      </w:r>
    </w:p>
    <w:p>
      <w:pPr>
        <w:spacing w:after="0" w:line="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$1.1 million increase in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capital needs are supported by cash on hand ($85.2 million at the end of the 2017 second quarter), cash generated from operations, our ability to raise capital through securitizations in the asset-backed securities market and, to the extent necessary, funds available under the Warehouse Credit Facility and our $200 million revolving credit facility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the 2017 second quarter, we had $789.7 million of total gross debt outstanding, which included $621.6 million of non-recourse debt associated with vacation ownership notes receivable securitizations, a $63.6 million non-interest bearing note payable issued in connection with the acquisition of completed vacation ownership units located on the Big Island of Hawaii, a $49.6 million outstanding balance on the non-recourse Warehouse Credit Facility and a $47.5 million outstanding balance on the Revolving Corporate Credit Facility.</w:t>
      </w:r>
    </w:p>
    <w:p>
      <w:pPr>
        <w:spacing w:after="0" w:line="5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At the end of the 2017 second quarter, we had $739.4 million of real estate inventory on hand, comprised of $421.1 million of finished goods and $318.3 million of land and infrastructure. In addition, we had $48.7 million of completed vacation ownership units that have been classified as a component of Property and equipment until the time at which they are legally registered for sale as vacation ownership products.</w:t>
      </w:r>
    </w:p>
    <w:p>
      <w:pPr>
        <w:spacing w:after="0" w:line="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2017 first half, we had a net decrease in cash, cash equivalents and restricted cash of $69.2 million compared to a net decrease of $82.8 million during the 2016 first half. The following table summarizes these changes: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3700" w:type="dxa"/>
            <w:vAlign w:val="bottom"/>
            <w:gridSpan w:val="2"/>
          </w:tcPr>
          <w:p>
            <w:pPr>
              <w:ind w:left="1180"/>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2017</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June 17, 2016</w:t>
            </w:r>
          </w:p>
        </w:tc>
      </w:tr>
      <w:tr>
        <w:trPr>
          <w:trHeight w:val="291"/>
        </w:trPr>
        <w:tc>
          <w:tcPr>
            <w:tcW w:w="75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0"/>
              </w:rPr>
              <w:t>(182 days)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(168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2660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21,078</w:t>
            </w:r>
          </w:p>
        </w:tc>
      </w:tr>
      <w:tr>
        <w:trPr>
          <w:trHeight w:val="27"/>
        </w:trPr>
        <w:tc>
          <w:tcPr>
            <w:tcW w:w="7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54,596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(155,190)</w:t>
            </w:r>
          </w:p>
        </w:tc>
      </w:tr>
      <w:tr>
        <w:trPr>
          <w:trHeight w:val="27"/>
        </w:trPr>
        <w:tc>
          <w:tcPr>
            <w:tcW w:w="7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(69,198)</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(82,754)</w:t>
            </w:r>
          </w:p>
        </w:tc>
      </w:tr>
      <w:tr>
        <w:trPr>
          <w:trHeight w:val="27"/>
        </w:trPr>
        <w:tc>
          <w:tcPr>
            <w:tcW w:w="7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2017 first half, we generated $14.1 million of cash flows from operating activities, compared to $21.1 million in the 2016 first half. Excluding the impact of changes in net income and adjustments for non-cash items, the decrease in cash flows from operations reflected higher originations driven by higher contract sales and higher financing propensity due to the continued success of the financing incentive programs offered in our North America segment, higher real estate inventory spending and timing of payments related to unsold inventory, partially offset by higher closings on vacation ownership contract sales, higher collections due to an increasing portfolio of outstanding vacation ownership notes receivable and lower payments related to employee benefits programs.</w:t>
      </w:r>
    </w:p>
    <w:p>
      <w:pPr>
        <w:spacing w:after="0" w:line="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Inventory Spending in Excess of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514"/>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spending</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(78,640)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costs</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63,900</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Real estate inventory spending in excess of cost of sales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(14,740)</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real estate inventory spending exceeded real estate inventory costs in the 2017 first half as we satisfied a portion of our commitments to purchase vacation ownership units in our North America segment. However, we expect our inventory spending to be in line with inventory costs throughout the remainder of 2017. Real estate inventory spending included the acquisition of 112 completed vacation ownership units located on the Big Island of Hawaii for $27.3 million. In connection with this transaction, we also settled a $0.5 million note receivable from the seller on a non-cash basis, and issued a non-interest bearing note payable for $63.6 million. Purchase of vacation ownership units for future transfer to inventory included the acquisition of 36 completed vacation ownership units located at our resort in Marco Island, Florida, for $33.6 million.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entered into these commitments in prior periods as part of our capital efficiency strategy to limit our up-front capital investment and purchase finished inventory closer to the time it is needed for sale. See Footnote No. 5, “Acquisitions and Dispositions,” and Footnote No. 8, “Contingencies and Commitments,” to our Financial Statements for additional information regarding these transactions.</w:t>
      </w:r>
    </w:p>
    <w:p>
      <w:pPr>
        <w:spacing w:after="0" w:line="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real estate inventory spending exceeded real estate inventory costs in the 2016 first half, as a result of our opportunistic acquisition efforts. Real estate inventory spending included $23.5 million for the acquisition of an operating property located in the South Beach area of Miami Beach, Florida. We rebranded this property as Marriott Vacation Club Pulse, South Beach and converted it, in its entirety, into vacation ownership inventory. See Footnote No. 5, “Acquisitions and Dispositions,” to our Financial Statements for additional information regarding this transaction.</w:t>
      </w:r>
    </w:p>
    <w:p>
      <w:pPr>
        <w:spacing w:after="0" w:line="6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Receivable Collections Less Than New Mortgages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514"/>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collections — non-securitized</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26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95,424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82,319</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originations</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(124,318)</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(90,912)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(3,770)</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the 2017 first half, as compared to the 2016 first half, due to an increase in the portfolio of outstanding vacation ownership notes receivable. Vacation ownership notes receivable originations in the 2017 first half increased due to higher vacation ownership contract sales, including the change in the quarterly reporting cycle, and an increase in financing propensity to 64.4 percent for the 2017 first half compared to 56.2 percent for the 2016 first half, due to the continued success of the financing incentive programs that we offer in our North America segment. Given the success of these incentives to date, we expect financing propensity levels during the 2017 fiscal year to approximate 60 to 65 percent as we intend to continue to offer financing incentive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54"/>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514"/>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Capital expenditures for property and equipment (excluding inventory)</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Dispositions, net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69,738</w:t>
            </w:r>
          </w:p>
        </w:tc>
      </w:tr>
      <w:tr>
        <w:trPr>
          <w:trHeight w:val="257"/>
        </w:trPr>
        <w:tc>
          <w:tcPr>
            <w:tcW w:w="7540" w:type="dxa"/>
            <w:vAlign w:val="bottom"/>
          </w:tcPr>
          <w:p>
            <w:pPr>
              <w:ind w:left="28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54,596</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the 2017 first half, capital expenditures for property and equipment of $11.3 million included $10.5 million to support business operations (including $5.7 million for ancillary and other operations assets and $4.8 million for sales locations) and $0.8 million for technology spending.</w:t>
      </w:r>
    </w:p>
    <w:p>
      <w:pPr>
        <w:spacing w:after="0" w:line="16"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the 2016 first half, capital expenditures for property and equipment of $15.1 million included $11.3 million to support business operations (including $10.7 million for sales locations and $0.6 million for ancillary and other operations assets) and $3.8 million for technology spending.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No. 1, “Summary of Significant Accounting Policies”, to our Financial Statements. During the 2017 first half we paid $10.1 million for the acquisition of these policies.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Dispositions in the 2016 first half related to the sale of the portion of an operating property located in Surfers Paradise, Australia we acquired during 2015 that we did not intend to convert into vacation ownership inventory for $50.3 million, the sale of excess inventory at the RCC San Francisco for $19.3 million and the sale of undeveloped land in Absecon, New Jersey for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4"/>
          </w:tcPr>
          <w:p>
            <w:pPr>
              <w:jc w:val="right"/>
              <w:ind w:right="1072"/>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2017</w:t>
            </w:r>
          </w:p>
        </w:tc>
        <w:tc>
          <w:tcPr>
            <w:tcW w:w="260" w:type="dxa"/>
            <w:vAlign w:val="bottom"/>
          </w:tcPr>
          <w:p>
            <w:pPr>
              <w:spacing w:after="0"/>
              <w:rPr>
                <w:sz w:val="20"/>
                <w:szCs w:val="20"/>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17, 2016</w:t>
            </w:r>
          </w:p>
        </w:tc>
      </w:tr>
      <w:tr>
        <w:trPr>
          <w:trHeight w:val="29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4"/>
                <w:szCs w:val="2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(182 days)</w:t>
            </w:r>
          </w:p>
        </w:tc>
        <w:tc>
          <w:tcPr>
            <w:tcW w:w="260" w:type="dxa"/>
            <w:vAlign w:val="bottom"/>
          </w:tcPr>
          <w:p>
            <w:pPr>
              <w:spacing w:after="0"/>
              <w:rPr>
                <w:sz w:val="24"/>
                <w:szCs w:val="24"/>
                <w:color w:val="auto"/>
              </w:rPr>
            </w:pPr>
          </w:p>
        </w:tc>
        <w:tc>
          <w:tcPr>
            <w:tcW w:w="1540" w:type="dxa"/>
            <w:vAlign w:val="bottom"/>
          </w:tcPr>
          <w:p>
            <w:pPr>
              <w:jc w:val="right"/>
              <w:ind w:right="512"/>
              <w:spacing w:after="0"/>
              <w:rPr>
                <w:sz w:val="20"/>
                <w:szCs w:val="20"/>
                <w:color w:val="auto"/>
              </w:rPr>
            </w:pPr>
            <w:r>
              <w:rPr>
                <w:rFonts w:ascii="Arial" w:cs="Arial" w:eastAsia="Arial" w:hAnsi="Arial"/>
                <w:sz w:val="14"/>
                <w:szCs w:val="14"/>
                <w:b w:val="1"/>
                <w:bCs w:val="1"/>
                <w:color w:val="auto"/>
              </w:rPr>
              <w:t>(168 days)</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Borrowings from securitization transactions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91,281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(84,040)</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Borrowings from Revolving Corporate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85,000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 of Revolving Corporate Credit Facility</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(163,359)</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Accelerated stock repurchase forward contract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Payment of dividends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(26,067)</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 of withholding taxes on vesting of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572</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cash used in financing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(155,190)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2017 first half,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June 30, 2017, $239.7 million of gross vacation ownership notes receivable were eligible for securitization. See Footnote No. 9, “Debt,” to our Financial Statements for additional information regarding our Warehouse Credit Facility.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2016 first half, we securitized vacation ownership notes receivable under our Warehouse Credit Facility. The carrying amount of the vacation ownership notes receivable securitized was $107.7 million. The advance rate was 85 percent, which resulted in gross proceeds of $91.3 million. Net proceeds were $90.6 million due to the funding of reserve accounts in the amount of $0.7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Revolving Corporate Credit Facility</w:t>
      </w:r>
    </w:p>
    <w:p>
      <w:pPr>
        <w:spacing w:after="0" w:line="11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2017 first half, we borrowed $60.0 million under our Revolving Corporate Credit Facility to facilitate the funding of our short-term working capital needs, of which $47.5 million was outstanding as of June 30, 2017. Subsequent to the end of the 2017 second quarter, we borrowed $27.5 million under our Revolving Corporate Credit Facility to facilitate the funding of our short-term working capital needs. See Footnote No. 9, “Debt,” to our Financial Statements for additional information regarding our Revolving Corporate Credit Facility.</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125" w:right="3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the 2017 first half, we incurred $1.2 million of debt issuance costs, which were associated with the amendment and extension of the Warehouse Credit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2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30, 2016</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For the 2017 first half</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119.01</w:t>
            </w:r>
          </w:p>
        </w:tc>
      </w:tr>
      <w:tr>
        <w:trPr>
          <w:trHeight w:val="27"/>
        </w:trPr>
        <w:tc>
          <w:tcPr>
            <w:tcW w:w="63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2017</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9,705,129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612,307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63.09</w:t>
            </w:r>
          </w:p>
        </w:tc>
      </w:tr>
      <w:tr>
        <w:trPr>
          <w:trHeight w:val="20"/>
        </w:trPr>
        <w:tc>
          <w:tcPr>
            <w:tcW w:w="6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Footnote No. 10, “Shareholders’ Equity,” to our Financial Statements for further information related to our share repurchase program.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2017 first half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Shareholder Record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Distribution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Dividend per Share</w:t>
            </w: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9, 2016</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22,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4,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9, 2017</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23,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March 9,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11, 2017</w:t>
            </w: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25,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8, 2017</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30, 2016, other than those discussed below.</w:t>
      </w:r>
    </w:p>
    <w:p>
      <w:pPr>
        <w:spacing w:after="0" w:line="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June 30, 2017, net debt increased by $36.4 million to $773.6 million compared to $737.2 million at December 30, 2016, mainly due to a $58.8 million non-interest bearing note payable, net of unamortized discount, issued in connection with the acquisition of completed vacation ownership units located on the Big Island of Hawaii (see Footnote No. 5, “Acquisitions and Dispositions,” to our Financial Statements for additional information on this transaction), a $47.5 million outstanding balance on the Revolving Corporate Credit Facility and $50.3 million of net proceeds drawn on the non-recourse Warehouse Credit Facility. These increases were partially offset by a decrease of $117.4 million related to repayments of non-recourse debt associated with vacation ownership notes receivable securitizations. See Footnote No. 9, “Debt,” to our Financial Statements for additional information.</w:t>
      </w:r>
    </w:p>
    <w:p>
      <w:pPr>
        <w:spacing w:after="0" w:line="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Subsequent to the end of the 2017 second quarter, we borrowed $27.5 million under our Revolving Corporate Credit Facility to facilitate the funding of our short-term working capital needs.</w:t>
      </w:r>
    </w:p>
    <w:p>
      <w:pPr>
        <w:spacing w:after="0" w:line="6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June 30, 2017, future debt payments to be paid out of collections from our vacation ownership notes receivable, including principal and interest, totaled $742.5 million and were due as follows: $54.7 million remaining in 2017; $100.9 million in 2018; $91.5 million in 2019; $126.6 million in 2020; $81.0 million in 2021; and $287.8 million thereafter.</w:t>
      </w:r>
    </w:p>
    <w:p>
      <w:pPr>
        <w:spacing w:after="0" w:line="73" w:lineRule="exact"/>
        <w:rPr>
          <w:sz w:val="20"/>
          <w:szCs w:val="20"/>
          <w:color w:val="auto"/>
        </w:rPr>
      </w:pPr>
    </w:p>
    <w:p>
      <w:pPr>
        <w:ind w:left="60" w:right="80" w:firstLine="648"/>
        <w:spacing w:after="0" w:line="279" w:lineRule="auto"/>
        <w:rPr>
          <w:sz w:val="20"/>
          <w:szCs w:val="20"/>
          <w:color w:val="auto"/>
        </w:rPr>
      </w:pPr>
      <w:r>
        <w:rPr>
          <w:rFonts w:ascii="Arial" w:cs="Arial" w:eastAsia="Arial" w:hAnsi="Arial"/>
          <w:sz w:val="17"/>
          <w:szCs w:val="17"/>
          <w:color w:val="auto"/>
        </w:rPr>
        <w:t>During the 2017 second quarter, we paid $33.3 million related to a previous commitment to acquire 36 completed vacation ownership units located at our resort in Marco Island, Florida. We have a remaining commitment of $102.2 million to purchase vacation ownership units located at this resort, which we expect will be paid as follows: $50.0 million in 2018 and $52.2 million in 2019. See Footnote No. 5, “Acquisitions and Dispositions,” and Footnote No. 12, “Variable Interest Entities,” to our Financial Statements for additional information on this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0" w:firstLine="648"/>
        <w:spacing w:after="0" w:line="312" w:lineRule="auto"/>
        <w:rPr>
          <w:sz w:val="20"/>
          <w:szCs w:val="20"/>
          <w:color w:val="auto"/>
        </w:rPr>
      </w:pPr>
      <w:r>
        <w:rPr>
          <w:rFonts w:ascii="Arial" w:cs="Arial" w:eastAsia="Arial" w:hAnsi="Arial"/>
          <w:sz w:val="16"/>
          <w:szCs w:val="16"/>
          <w:color w:val="auto"/>
        </w:rPr>
        <w:t>During the 2017 second quarter, we paid $27.3 million in cash, settled a $0.5 million note receivable from the seller on a non-cash basis, and issued a non-interest bearing note payable for $63.6 million, related to a previous commitment, to acquire 112 completed vacation ownership units located on the Big Island of Hawaii. See Footnote No. 5, “Acquisitions and Dispositions,” to our Financial Statements for additional information on this transaction.</w:t>
      </w:r>
    </w:p>
    <w:p>
      <w:pPr>
        <w:spacing w:after="0" w:line="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new operating lease commitments that expire in 2029. Our aggregate minimum lease payments under these contracts are $17.6 million, of which we expect $0.2 million, $0.4 million, $1.7 million, $1.7 million, $1.9 million and $11.7 million will be paid in 2017, 2018, 2019, 2020, 2021 and thereafter,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December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125"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30, 2016.</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3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Shares Purchased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2017 – April 30, 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1,227,371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May 1, 2017 – May 31, 2017</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1,227,371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2017 – June 30, 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32,500</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$119.01</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32,500</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1,194,871</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32,500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$119.01</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32,500</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1,194,871</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45" w:lineRule="auto"/>
        <w:tabs>
          <w:tab w:leader="none" w:pos="66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On August 1, 2017, our Board of Directors authorized the repurchase of up to 1.0 million additional shares of our common stock under our existing share repurchase program, as a result of which approximately 2.0 million shares are currently available for repurchase, and extended the program through May 31, 2018. Prior to that authorization, our Board of Directors had authorized the repurchase of an aggregate of up to 10.9 million shares of our common stock under the share repurchase program since the initiation of the program in October 2013.</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3340" w:type="dxa"/>
            <w:vAlign w:val="bottom"/>
          </w:tcPr>
          <w:p>
            <w:pPr>
              <w:spacing w:after="0"/>
              <w:rPr>
                <w:sz w:val="20"/>
                <w:szCs w:val="20"/>
                <w:color w:val="auto"/>
              </w:rPr>
            </w:pPr>
            <w:r>
              <w:rPr>
                <w:rFonts w:ascii="Arial" w:cs="Arial" w:eastAsia="Arial" w:hAnsi="Arial"/>
                <w:sz w:val="18"/>
                <w:szCs w:val="18"/>
                <w:color w:val="auto"/>
              </w:rPr>
              <w:t>August 3, 2017</w:t>
            </w:r>
          </w:p>
        </w:tc>
        <w:tc>
          <w:tcPr>
            <w:tcW w:w="23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3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33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3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3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33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3340" w:type="dxa"/>
            <w:vAlign w:val="bottom"/>
          </w:tcPr>
          <w:p>
            <w:pPr>
              <w:spacing w:after="0"/>
              <w:rPr>
                <w:sz w:val="24"/>
                <w:szCs w:val="24"/>
                <w:color w:val="auto"/>
              </w:rPr>
            </w:pPr>
          </w:p>
        </w:tc>
        <w:tc>
          <w:tcPr>
            <w:tcW w:w="8040" w:type="dxa"/>
            <w:vAlign w:val="bottom"/>
            <w:gridSpan w:val="2"/>
          </w:tcPr>
          <w:p>
            <w:pPr>
              <w:jc w:val="right"/>
              <w:ind w:right="553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51"/>
        </w:trPr>
        <w:tc>
          <w:tcPr>
            <w:tcW w:w="1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1026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78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2"/>
              </w:rPr>
              <w:t>No.</w:t>
            </w:r>
          </w:p>
        </w:tc>
        <w:tc>
          <w:tcPr>
            <w:tcW w:w="10260" w:type="dxa"/>
            <w:vAlign w:val="bottom"/>
          </w:tcPr>
          <w:p>
            <w:pPr>
              <w:ind w:left="47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196"/>
        </w:trPr>
        <w:tc>
          <w:tcPr>
            <w:tcW w:w="680" w:type="dxa"/>
            <w:vAlign w:val="bottom"/>
            <w:gridSpan w:val="4"/>
          </w:tcPr>
          <w:p>
            <w:pPr>
              <w:jc w:val="center"/>
              <w:ind w:left="291"/>
              <w:spacing w:after="0" w:line="196" w:lineRule="exact"/>
              <w:rPr>
                <w:rFonts w:ascii="Arial" w:cs="Arial" w:eastAsia="Arial" w:hAnsi="Arial"/>
                <w:sz w:val="18"/>
                <w:szCs w:val="18"/>
                <w:color w:val="0000EE"/>
                <w:w w:val="87"/>
              </w:rPr>
            </w:pPr>
            <w:hyperlink r:id="rId3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196" w:lineRule="exact"/>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to the</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November 22, 2011).</w:t>
            </w:r>
          </w:p>
        </w:tc>
      </w:tr>
      <w:tr>
        <w:trPr>
          <w:trHeight w:val="230"/>
        </w:trPr>
        <w:tc>
          <w:tcPr>
            <w:tcW w:w="680" w:type="dxa"/>
            <w:vAlign w:val="bottom"/>
            <w:gridSpan w:val="4"/>
          </w:tcPr>
          <w:p>
            <w:pPr>
              <w:jc w:val="center"/>
              <w:ind w:left="291"/>
              <w:spacing w:after="0"/>
              <w:rPr>
                <w:rFonts w:ascii="Arial" w:cs="Arial" w:eastAsia="Arial" w:hAnsi="Arial"/>
                <w:sz w:val="18"/>
                <w:szCs w:val="18"/>
                <w:color w:val="0000EE"/>
                <w:w w:val="87"/>
              </w:rPr>
            </w:pPr>
            <w:hyperlink r:id="rId3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to the Company’s Current Report on</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8-K filed on November 22, 2011).</w:t>
            </w:r>
          </w:p>
        </w:tc>
      </w:tr>
      <w:tr>
        <w:trPr>
          <w:trHeight w:val="230"/>
        </w:trPr>
        <w:tc>
          <w:tcPr>
            <w:tcW w:w="680" w:type="dxa"/>
            <w:vAlign w:val="bottom"/>
            <w:gridSpan w:val="4"/>
          </w:tcPr>
          <w:p>
            <w:pPr>
              <w:jc w:val="center"/>
              <w:ind w:left="291"/>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Arial" w:cs="Arial" w:eastAsia="Arial" w:hAnsi="Arial"/>
                <w:sz w:val="18"/>
                <w:szCs w:val="18"/>
                <w:color w:val="0000EE"/>
                <w:w w:val="85"/>
              </w:rPr>
            </w:pPr>
            <w:hyperlink w:anchor="page7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Arial" w:cs="Arial" w:eastAsia="Arial" w:hAnsi="Arial"/>
                <w:sz w:val="18"/>
                <w:szCs w:val="18"/>
                <w:color w:val="0000EE"/>
                <w:w w:val="85"/>
              </w:rPr>
            </w:pPr>
            <w:hyperlink w:anchor="page7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76"/>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5"/>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the Inline XBRL document.</w:t>
            </w:r>
          </w:p>
        </w:tc>
      </w:tr>
      <w:tr>
        <w:trPr>
          <w:trHeight w:val="270"/>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16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attached the following documents formatted in XBRL (Extensible Business Reporting Language) as Exhibit 101 to this report: (i) the Interim Consolidated Statements of Income for the 91 days ended June 30, 2017 and the 84 days ended June 17, 2016, as well as the 182 days ended June 30, 2017 and the 168 days ended June 17, 2016; (ii) the Interim Consolidated Statements of Comprehensive Income for the 91 days ended June 30, 2017 and the 84 days ended June 17, 2016, as well as the 182 days ended June 30, 2017 and the 168 days ended June 17, 2016; (iii) the Interim Consolidated Balance Sheets at June 30, 2017 and December 30, 2016; and (iv) the Interim Consolidated Statements of Cash Flows for the 182 days ended June 30, 2017 and the 168 days ended June 17, 2016.</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9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1642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8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2017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August 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066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8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2017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3,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Roman"/>
      <w:start w:val="2"/>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1" Type="http://schemas.openxmlformats.org/officeDocument/2006/relationships/hyperlink" Target="http://www.sec.gov/Archives/edgar/data/1524358/000119312511320045/d256766dex31.htm" TargetMode="External"/><Relationship Id="rId32" Type="http://schemas.openxmlformats.org/officeDocument/2006/relationships/hyperlink" Target="http://www.sec.gov/Archives/edgar/data/1524358/000119312511320045/d25676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2019-12-29T05:19:07Z</dcterms:created>
  <dcterms:modified xsi:type="dcterms:W3CDTF">2019-12-29T05:19:07Z</dcterms:modified>
</cp:coreProperties>
</file>