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580"/>
        <w:spacing w:after="0"/>
        <w:rPr>
          <w:sz w:val="20"/>
          <w:szCs w:val="20"/>
          <w:color w:val="auto"/>
        </w:rPr>
      </w:pPr>
      <w:r>
        <w:rPr>
          <w:rFonts w:ascii="Arial" w:cs="Arial" w:eastAsia="Arial" w:hAnsi="Arial"/>
          <w:sz w:val="18"/>
          <w:szCs w:val="18"/>
          <w:color w:val="auto"/>
        </w:rPr>
        <w:t>_________________________</w:t>
      </w:r>
    </w:p>
    <w:p>
      <w:pPr>
        <w:spacing w:after="0" w:line="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2"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76" w:lineRule="exact"/>
        <w:rPr>
          <w:sz w:val="24"/>
          <w:szCs w:val="24"/>
          <w:color w:val="auto"/>
        </w:rPr>
      </w:pPr>
    </w:p>
    <w:p>
      <w:pPr>
        <w:ind w:left="720" w:hanging="685"/>
        <w:spacing w:after="0"/>
        <w:tabs>
          <w:tab w:leader="none" w:pos="720" w:val="left"/>
        </w:tabs>
        <w:numPr>
          <w:ilvl w:val="0"/>
          <w:numId w:val="1"/>
        </w:numPr>
        <w:rPr>
          <w:rFonts w:ascii="Arial" w:cs="Arial" w:eastAsia="Arial" w:hAnsi="Arial"/>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9, 2016</w:t>
      </w:r>
    </w:p>
    <w:p>
      <w:pPr>
        <w:spacing w:after="0" w:line="11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58"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001-35219</w:t>
      </w:r>
    </w:p>
    <w:p>
      <w:pPr>
        <w:spacing w:after="0" w:line="2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Marriott Vacations Worldwide Corporation</w:t>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8"/>
          <w:szCs w:val="18"/>
          <w:color w:val="auto"/>
        </w:rPr>
        <w:t>_________________________</w:t>
      </w:r>
    </w:p>
    <w:p>
      <w:pPr>
        <w:spacing w:after="0" w:line="153"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3"/>
              </w:rPr>
              <w:t>Delaware</w:t>
            </w:r>
          </w:p>
        </w:tc>
        <w:tc>
          <w:tcPr>
            <w:tcW w:w="4560" w:type="dxa"/>
            <w:vAlign w:val="bottom"/>
          </w:tcPr>
          <w:p>
            <w:pPr>
              <w:jc w:val="right"/>
              <w:ind w:right="59"/>
              <w:spacing w:after="0"/>
              <w:rPr>
                <w:sz w:val="20"/>
                <w:szCs w:val="20"/>
                <w:color w:val="auto"/>
              </w:rPr>
            </w:pPr>
            <w:r>
              <w:rPr>
                <w:rFonts w:ascii="Arial" w:cs="Arial" w:eastAsia="Arial" w:hAnsi="Arial"/>
                <w:sz w:val="18"/>
                <w:szCs w:val="18"/>
                <w:b w:val="1"/>
                <w:bCs w:val="1"/>
                <w:color w:val="auto"/>
              </w:rPr>
              <w:t>45-2598330</w:t>
            </w:r>
          </w:p>
        </w:tc>
      </w:tr>
      <w:tr>
        <w:trPr>
          <w:trHeight w:val="180"/>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2"/>
              </w:rPr>
              <w:t>(State or other jurisdiction of</w:t>
            </w:r>
          </w:p>
        </w:tc>
        <w:tc>
          <w:tcPr>
            <w:tcW w:w="4560" w:type="dxa"/>
            <w:vAlign w:val="bottom"/>
          </w:tcPr>
          <w:p>
            <w:pPr>
              <w:jc w:val="center"/>
              <w:ind w:left="335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3"/>
              </w:rPr>
              <w:t>incorporation or organization)</w:t>
            </w:r>
          </w:p>
        </w:tc>
        <w:tc>
          <w:tcPr>
            <w:tcW w:w="4560" w:type="dxa"/>
            <w:vAlign w:val="bottom"/>
          </w:tcPr>
          <w:p>
            <w:pPr>
              <w:jc w:val="center"/>
              <w:ind w:left="3339"/>
              <w:spacing w:after="0"/>
              <w:rPr>
                <w:sz w:val="20"/>
                <w:szCs w:val="20"/>
                <w:color w:val="auto"/>
              </w:rPr>
            </w:pPr>
            <w:r>
              <w:rPr>
                <w:rFonts w:ascii="Arial" w:cs="Arial" w:eastAsia="Arial" w:hAnsi="Arial"/>
                <w:sz w:val="14"/>
                <w:szCs w:val="14"/>
                <w:b w:val="1"/>
                <w:bCs w:val="1"/>
                <w:color w:val="auto"/>
                <w:w w:val="96"/>
              </w:rPr>
              <w:t>Identification No.)</w:t>
            </w:r>
          </w:p>
        </w:tc>
      </w:tr>
      <w:tr>
        <w:trPr>
          <w:trHeight w:val="237"/>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0"/>
              </w:rPr>
              <w:t>6649 Westwood Blvd.</w:t>
            </w:r>
          </w:p>
        </w:tc>
        <w:tc>
          <w:tcPr>
            <w:tcW w:w="4560" w:type="dxa"/>
            <w:vAlign w:val="bottom"/>
          </w:tcPr>
          <w:p>
            <w:pPr>
              <w:spacing w:after="0"/>
              <w:rPr>
                <w:sz w:val="20"/>
                <w:szCs w:val="20"/>
                <w:color w:val="auto"/>
              </w:rPr>
            </w:pPr>
          </w:p>
        </w:tc>
      </w:tr>
      <w:tr>
        <w:trPr>
          <w:trHeight w:val="234"/>
        </w:trPr>
        <w:tc>
          <w:tcPr>
            <w:tcW w:w="2960" w:type="dxa"/>
            <w:vAlign w:val="bottom"/>
          </w:tcPr>
          <w:p>
            <w:pPr>
              <w:jc w:val="center"/>
              <w:ind w:right="499"/>
              <w:spacing w:after="0"/>
              <w:rPr>
                <w:sz w:val="20"/>
                <w:szCs w:val="20"/>
                <w:color w:val="auto"/>
              </w:rPr>
            </w:pPr>
            <w:r>
              <w:rPr>
                <w:rFonts w:ascii="Arial" w:cs="Arial" w:eastAsia="Arial" w:hAnsi="Arial"/>
                <w:sz w:val="18"/>
                <w:szCs w:val="18"/>
                <w:b w:val="1"/>
                <w:bCs w:val="1"/>
                <w:color w:val="auto"/>
                <w:w w:val="96"/>
              </w:rPr>
              <w:t>Orlando, FL</w:t>
            </w:r>
          </w:p>
        </w:tc>
        <w:tc>
          <w:tcPr>
            <w:tcW w:w="4560" w:type="dxa"/>
            <w:vAlign w:val="bottom"/>
          </w:tcPr>
          <w:p>
            <w:pPr>
              <w:jc w:val="right"/>
              <w:ind w:right="259"/>
              <w:spacing w:after="0"/>
              <w:rPr>
                <w:sz w:val="20"/>
                <w:szCs w:val="20"/>
                <w:color w:val="auto"/>
              </w:rPr>
            </w:pPr>
            <w:r>
              <w:rPr>
                <w:rFonts w:ascii="Arial" w:cs="Arial" w:eastAsia="Arial" w:hAnsi="Arial"/>
                <w:sz w:val="18"/>
                <w:szCs w:val="18"/>
                <w:b w:val="1"/>
                <w:bCs w:val="1"/>
                <w:color w:val="auto"/>
              </w:rPr>
              <w:t>32821</w:t>
            </w:r>
          </w:p>
        </w:tc>
      </w:tr>
      <w:tr>
        <w:trPr>
          <w:trHeight w:val="218"/>
        </w:trPr>
        <w:tc>
          <w:tcPr>
            <w:tcW w:w="2960" w:type="dxa"/>
            <w:vAlign w:val="bottom"/>
          </w:tcPr>
          <w:p>
            <w:pPr>
              <w:jc w:val="center"/>
              <w:ind w:right="49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60" w:type="dxa"/>
            <w:vAlign w:val="bottom"/>
          </w:tcPr>
          <w:p>
            <w:pPr>
              <w:jc w:val="center"/>
              <w:ind w:left="3339"/>
              <w:spacing w:after="0"/>
              <w:rPr>
                <w:sz w:val="20"/>
                <w:szCs w:val="20"/>
                <w:color w:val="auto"/>
              </w:rPr>
            </w:pPr>
            <w:r>
              <w:rPr>
                <w:rFonts w:ascii="Arial" w:cs="Arial" w:eastAsia="Arial" w:hAnsi="Arial"/>
                <w:sz w:val="14"/>
                <w:szCs w:val="14"/>
                <w:b w:val="1"/>
                <w:bCs w:val="1"/>
                <w:color w:val="auto"/>
                <w:w w:val="95"/>
              </w:rPr>
              <w:t>(Zip Code)</w:t>
            </w:r>
          </w:p>
        </w:tc>
      </w:tr>
      <w:tr>
        <w:trPr>
          <w:trHeight w:val="397"/>
        </w:trPr>
        <w:tc>
          <w:tcPr>
            <w:tcW w:w="2960" w:type="dxa"/>
            <w:vAlign w:val="bottom"/>
          </w:tcPr>
          <w:p>
            <w:pPr>
              <w:spacing w:after="0"/>
              <w:rPr>
                <w:sz w:val="24"/>
                <w:szCs w:val="24"/>
                <w:color w:val="auto"/>
              </w:rPr>
            </w:pPr>
          </w:p>
        </w:tc>
        <w:tc>
          <w:tcPr>
            <w:tcW w:w="4560" w:type="dxa"/>
            <w:vAlign w:val="bottom"/>
          </w:tcPr>
          <w:p>
            <w:pPr>
              <w:jc w:val="right"/>
              <w:ind w:right="2779"/>
              <w:spacing w:after="0"/>
              <w:rPr>
                <w:sz w:val="20"/>
                <w:szCs w:val="20"/>
                <w:color w:val="auto"/>
              </w:rPr>
            </w:pPr>
            <w:r>
              <w:rPr>
                <w:rFonts w:ascii="Arial" w:cs="Arial" w:eastAsia="Arial" w:hAnsi="Arial"/>
                <w:sz w:val="18"/>
                <w:szCs w:val="18"/>
                <w:b w:val="1"/>
                <w:bCs w:val="1"/>
                <w:color w:val="auto"/>
              </w:rPr>
              <w:t>(407) 206-6000</w:t>
            </w:r>
          </w:p>
        </w:tc>
      </w:tr>
    </w:tbl>
    <w:p>
      <w:pPr>
        <w:jc w:val="center"/>
        <w:ind w:right="-3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01" w:lineRule="exact"/>
        <w:rPr>
          <w:sz w:val="24"/>
          <w:szCs w:val="24"/>
          <w:color w:val="auto"/>
        </w:rPr>
      </w:pPr>
    </w:p>
    <w:p>
      <w:pPr>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220"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60" w:firstLine="432"/>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smaller reporting company. See definition of “large accelerated filer,” “accelerated filer” and “smaller reporting company” in Rule 12b-2 of the Exchange Act:</w:t>
      </w:r>
    </w:p>
    <w:p>
      <w:pPr>
        <w:sectPr>
          <w:pgSz w:w="11900" w:h="16838" w:orient="portrait"/>
          <w:cols w:equalWidth="0" w:num="1">
            <w:col w:w="11380"/>
          </w:cols>
          <w:pgMar w:left="240" w:top="233" w:right="279" w:bottom="1440" w:gutter="0" w:footer="0" w:header="0"/>
        </w:sectPr>
      </w:pPr>
    </w:p>
    <w:p>
      <w:pPr>
        <w:spacing w:after="0" w:line="116"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4"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102" w:lineRule="exact"/>
        <w:rPr>
          <w:sz w:val="24"/>
          <w:szCs w:val="24"/>
          <w:color w:val="auto"/>
        </w:rPr>
      </w:pPr>
    </w:p>
    <w:p>
      <w:pPr>
        <w:sectPr>
          <w:pgSz w:w="11900" w:h="16838" w:orient="portrait"/>
          <w:cols w:equalWidth="0" w:num="4">
            <w:col w:w="1660" w:space="440"/>
            <w:col w:w="5560" w:space="720"/>
            <w:col w:w="2000" w:space="720"/>
            <w:col w:w="280"/>
          </w:cols>
          <w:pgMar w:left="240" w:top="233" w:right="279" w:bottom="144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57" w:lineRule="exact"/>
        <w:rPr>
          <w:sz w:val="24"/>
          <w:szCs w:val="24"/>
          <w:color w:val="auto"/>
        </w:rPr>
      </w:pPr>
    </w:p>
    <w:p>
      <w:pPr>
        <w:sectPr>
          <w:pgSz w:w="11900" w:h="16838" w:orient="portrait"/>
          <w:cols w:equalWidth="0" w:num="5">
            <w:col w:w="1560" w:space="540"/>
            <w:col w:w="160" w:space="40"/>
            <w:col w:w="5360" w:space="720"/>
            <w:col w:w="2000" w:space="720"/>
            <w:col w:w="280"/>
          </w:cols>
          <w:pgMar w:left="240" w:top="233" w:right="279" w:bottom="1440" w:gutter="0" w:footer="0" w:header="0"/>
          <w:type w:val="continuous"/>
        </w:sectPr>
      </w:pPr>
    </w:p>
    <w:p>
      <w:pPr>
        <w:ind w:left="440" w:right="150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 The number of shares outstanding of the issuer’s common stock, par value $0.01 per share, as of October 7, 2016 was 26,997,282.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155575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80" w:type="dxa"/>
            <w:vAlign w:val="bottom"/>
            <w:gridSpan w:val="2"/>
          </w:tcPr>
          <w:p>
            <w:pPr>
              <w:ind w:left="140"/>
              <w:spacing w:after="0"/>
              <w:rPr>
                <w:sz w:val="20"/>
                <w:szCs w:val="20"/>
                <w:color w:val="auto"/>
              </w:rPr>
            </w:pPr>
            <w:r>
              <w:rPr>
                <w:rFonts w:ascii="Arial" w:cs="Arial" w:eastAsia="Arial" w:hAnsi="Arial"/>
                <w:sz w:val="18"/>
                <w:szCs w:val="18"/>
                <w:b w:val="1"/>
                <w:bCs w:val="1"/>
                <w:color w:val="auto"/>
              </w:rPr>
              <w:t>INDEX</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85"/>
        </w:trPr>
        <w:tc>
          <w:tcPr>
            <w:tcW w:w="9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90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Page</w:t>
            </w:r>
          </w:p>
        </w:tc>
      </w:tr>
      <w:tr>
        <w:trPr>
          <w:trHeight w:val="203"/>
        </w:trPr>
        <w:tc>
          <w:tcPr>
            <w:tcW w:w="900" w:type="dxa"/>
            <w:vAlign w:val="bottom"/>
          </w:tcPr>
          <w:p>
            <w:pPr>
              <w:spacing w:after="0" w:line="202" w:lineRule="exact"/>
              <w:rPr>
                <w:sz w:val="20"/>
                <w:szCs w:val="20"/>
                <w:color w:val="auto"/>
              </w:rPr>
            </w:pPr>
            <w:r>
              <w:rPr>
                <w:rFonts w:ascii="Arial" w:cs="Arial" w:eastAsia="Arial" w:hAnsi="Arial"/>
                <w:sz w:val="18"/>
                <w:szCs w:val="18"/>
                <w:b w:val="1"/>
                <w:bCs w:val="1"/>
                <w:color w:val="auto"/>
              </w:rPr>
              <w:t>Part I.</w:t>
            </w:r>
          </w:p>
        </w:tc>
        <w:tc>
          <w:tcPr>
            <w:tcW w:w="8420" w:type="dxa"/>
            <w:vAlign w:val="bottom"/>
            <w:gridSpan w:val="17"/>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 (UNAUDITED)</w:t>
              </w:r>
            </w:hyperlink>
          </w:p>
        </w:tc>
        <w:tc>
          <w:tcPr>
            <w:tcW w:w="1900" w:type="dxa"/>
            <w:vAlign w:val="bottom"/>
            <w:gridSpan w:val="4"/>
          </w:tcPr>
          <w:p>
            <w:pPr>
              <w:jc w:val="right"/>
              <w:ind w:right="2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3640" w:type="dxa"/>
            <w:vAlign w:val="bottom"/>
            <w:tcBorders>
              <w:top w:val="single" w:sz="8" w:color="0000EE"/>
            </w:tcBorders>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780" w:type="dxa"/>
            <w:vAlign w:val="bottom"/>
            <w:gridSpan w:val="5"/>
          </w:tcPr>
          <w:p>
            <w:pPr>
              <w:spacing w:after="0"/>
              <w:rPr>
                <w:sz w:val="21"/>
                <w:szCs w:val="21"/>
                <w:color w:val="auto"/>
              </w:rPr>
            </w:pPr>
          </w:p>
        </w:tc>
        <w:tc>
          <w:tcPr>
            <w:tcW w:w="1780" w:type="dxa"/>
            <w:vAlign w:val="bottom"/>
            <w:gridSpan w:val="2"/>
          </w:tcPr>
          <w:p>
            <w:pPr>
              <w:spacing w:after="0"/>
              <w:rPr>
                <w:sz w:val="21"/>
                <w:szCs w:val="21"/>
                <w:color w:val="auto"/>
              </w:rPr>
            </w:pPr>
          </w:p>
        </w:tc>
        <w:tc>
          <w:tcPr>
            <w:tcW w:w="100" w:type="dxa"/>
            <w:vAlign w:val="bottom"/>
            <w:tcBorders>
              <w:top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1"/>
                <w:szCs w:val="21"/>
                <w:color w:val="auto"/>
              </w:rPr>
            </w:pPr>
          </w:p>
        </w:tc>
        <w:tc>
          <w:tcPr>
            <w:tcW w:w="31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Interim Consolidated Statements of Income</w:t>
              </w:r>
            </w:hyperlink>
          </w:p>
        </w:tc>
        <w:tc>
          <w:tcPr>
            <w:tcW w:w="5280" w:type="dxa"/>
            <w:vAlign w:val="bottom"/>
            <w:gridSpan w:val="7"/>
          </w:tcPr>
          <w:p>
            <w:pPr>
              <w:spacing w:after="0"/>
              <w:rPr>
                <w:sz w:val="21"/>
                <w:szCs w:val="21"/>
                <w:color w:val="auto"/>
              </w:rPr>
            </w:pPr>
          </w:p>
        </w:tc>
        <w:tc>
          <w:tcPr>
            <w:tcW w:w="17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20" w:type="dxa"/>
            <w:vAlign w:val="bottom"/>
          </w:tcPr>
          <w:p>
            <w:pPr>
              <w:spacing w:after="0"/>
              <w:rPr>
                <w:sz w:val="21"/>
                <w:szCs w:val="21"/>
                <w:color w:val="auto"/>
              </w:rPr>
            </w:pPr>
          </w:p>
        </w:tc>
      </w:tr>
      <w:tr>
        <w:trPr>
          <w:trHeight w:val="250"/>
        </w:trPr>
        <w:tc>
          <w:tcPr>
            <w:tcW w:w="900" w:type="dxa"/>
            <w:vAlign w:val="bottom"/>
          </w:tcPr>
          <w:p>
            <w:pPr>
              <w:spacing w:after="0"/>
              <w:rPr>
                <w:sz w:val="21"/>
                <w:szCs w:val="21"/>
                <w:color w:val="auto"/>
              </w:rPr>
            </w:pPr>
          </w:p>
        </w:tc>
        <w:tc>
          <w:tcPr>
            <w:tcW w:w="432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Interim Consolidated Statements of Comprehensive Income</w:t>
              </w:r>
            </w:hyperlink>
          </w:p>
        </w:tc>
        <w:tc>
          <w:tcPr>
            <w:tcW w:w="4100" w:type="dxa"/>
            <w:vAlign w:val="bottom"/>
            <w:gridSpan w:val="3"/>
          </w:tcPr>
          <w:p>
            <w:pPr>
              <w:spacing w:after="0"/>
              <w:rPr>
                <w:sz w:val="21"/>
                <w:szCs w:val="21"/>
                <w:color w:val="auto"/>
              </w:rPr>
            </w:pPr>
          </w:p>
        </w:tc>
        <w:tc>
          <w:tcPr>
            <w:tcW w:w="17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r>
      <w:tr>
        <w:trPr>
          <w:trHeight w:val="250"/>
        </w:trPr>
        <w:tc>
          <w:tcPr>
            <w:tcW w:w="900" w:type="dxa"/>
            <w:vAlign w:val="bottom"/>
          </w:tcPr>
          <w:p>
            <w:pPr>
              <w:spacing w:after="0"/>
              <w:rPr>
                <w:sz w:val="21"/>
                <w:szCs w:val="21"/>
                <w:color w:val="auto"/>
              </w:rPr>
            </w:pPr>
          </w:p>
        </w:tc>
        <w:tc>
          <w:tcPr>
            <w:tcW w:w="842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Interim Consolidated Balance Sheets</w:t>
              </w:r>
            </w:hyperlink>
          </w:p>
        </w:tc>
        <w:tc>
          <w:tcPr>
            <w:tcW w:w="19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3</w:t>
              </w:r>
            </w:hyperlink>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1"/>
                <w:szCs w:val="21"/>
                <w:color w:val="auto"/>
              </w:rPr>
            </w:pPr>
          </w:p>
        </w:tc>
        <w:tc>
          <w:tcPr>
            <w:tcW w:w="842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Interim Consolidated Statements of Cash Flows</w:t>
              </w:r>
            </w:hyperlink>
          </w:p>
        </w:tc>
        <w:tc>
          <w:tcPr>
            <w:tcW w:w="1900" w:type="dxa"/>
            <w:vAlign w:val="bottom"/>
            <w:gridSpan w:val="4"/>
          </w:tcPr>
          <w:p>
            <w:pPr>
              <w:jc w:val="right"/>
              <w:ind w:right="20"/>
              <w:spacing w:after="0"/>
              <w:rPr>
                <w:rFonts w:ascii="Arial" w:cs="Arial" w:eastAsia="Arial" w:hAnsi="Arial"/>
                <w:sz w:val="18"/>
                <w:szCs w:val="18"/>
                <w:color w:val="0000EE"/>
              </w:rPr>
            </w:pPr>
            <w:hyperlink w:anchor="page6">
              <w:r>
                <w:rPr>
                  <w:rFonts w:ascii="Arial" w:cs="Arial" w:eastAsia="Arial" w:hAnsi="Arial"/>
                  <w:sz w:val="18"/>
                  <w:szCs w:val="18"/>
                  <w:color w:val="0000EE"/>
                </w:rPr>
                <w:t>4</w:t>
              </w:r>
            </w:hyperlink>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1"/>
                <w:szCs w:val="21"/>
                <w:color w:val="auto"/>
              </w:rPr>
            </w:pPr>
          </w:p>
        </w:tc>
        <w:tc>
          <w:tcPr>
            <w:tcW w:w="842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Interim Consolidated Financial Statements</w:t>
              </w:r>
            </w:hyperlink>
          </w:p>
        </w:tc>
        <w:tc>
          <w:tcPr>
            <w:tcW w:w="1900" w:type="dxa"/>
            <w:vAlign w:val="bottom"/>
            <w:gridSpan w:val="4"/>
          </w:tcPr>
          <w:p>
            <w:pPr>
              <w:jc w:val="right"/>
              <w:ind w:right="20"/>
              <w:spacing w:after="0"/>
              <w:rPr>
                <w:rFonts w:ascii="Arial" w:cs="Arial" w:eastAsia="Arial" w:hAnsi="Arial"/>
                <w:sz w:val="18"/>
                <w:szCs w:val="18"/>
                <w:color w:val="0000EE"/>
              </w:rPr>
            </w:pPr>
            <w:hyperlink w:anchor="page8">
              <w:r>
                <w:rPr>
                  <w:rFonts w:ascii="Arial" w:cs="Arial" w:eastAsia="Arial" w:hAnsi="Arial"/>
                  <w:sz w:val="18"/>
                  <w:szCs w:val="18"/>
                  <w:color w:val="0000EE"/>
                </w:rPr>
                <w:t>5</w:t>
              </w:r>
            </w:hyperlink>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gridSpan w:val="16"/>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Management’s Discussion and Analysis of Financial Condition and Results of Operations</w:t>
              </w:r>
            </w:hyperlink>
          </w:p>
        </w:tc>
        <w:tc>
          <w:tcPr>
            <w:tcW w:w="1960" w:type="dxa"/>
            <w:vAlign w:val="bottom"/>
          </w:tcPr>
          <w:p>
            <w:pPr>
              <w:spacing w:after="0"/>
              <w:rPr>
                <w:sz w:val="21"/>
                <w:szCs w:val="21"/>
                <w:color w:val="auto"/>
              </w:rPr>
            </w:pPr>
          </w:p>
        </w:tc>
        <w:tc>
          <w:tcPr>
            <w:tcW w:w="1880" w:type="dxa"/>
            <w:vAlign w:val="bottom"/>
            <w:gridSpan w:val="3"/>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60</w:t>
              </w:r>
            </w:hyperlink>
          </w:p>
        </w:tc>
        <w:tc>
          <w:tcPr>
            <w:tcW w:w="20" w:type="dxa"/>
            <w:vAlign w:val="bottom"/>
          </w:tcPr>
          <w:p>
            <w:pPr>
              <w:spacing w:after="0"/>
              <w:rPr>
                <w:sz w:val="21"/>
                <w:szCs w:val="2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5"/>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Quantitative and Qualitative Disclosures About Market Risk</w:t>
              </w:r>
            </w:hyperlink>
          </w:p>
        </w:tc>
        <w:tc>
          <w:tcPr>
            <w:tcW w:w="21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880" w:type="dxa"/>
            <w:vAlign w:val="bottom"/>
            <w:gridSpan w:val="3"/>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20" w:type="dxa"/>
            <w:vAlign w:val="bottom"/>
          </w:tcPr>
          <w:p>
            <w:pPr>
              <w:spacing w:after="0"/>
              <w:rPr>
                <w:sz w:val="21"/>
                <w:szCs w:val="2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4080" w:type="dxa"/>
            <w:vAlign w:val="bottom"/>
            <w:tcBorders>
              <w:left w:val="single" w:sz="8" w:color="0000EE"/>
            </w:tcBorders>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1760" w:type="dxa"/>
            <w:vAlign w:val="bottom"/>
            <w:gridSpan w:val="6"/>
          </w:tcPr>
          <w:p>
            <w:pPr>
              <w:spacing w:after="0"/>
              <w:rPr>
                <w:rFonts w:ascii="Arial" w:cs="Arial" w:eastAsia="Arial" w:hAnsi="Arial"/>
                <w:sz w:val="18"/>
                <w:szCs w:val="18"/>
                <w:color w:val="0000EE"/>
                <w:w w:val="86"/>
              </w:rPr>
            </w:pPr>
            <w:hyperlink w:anchor="page70">
              <w:r>
                <w:rPr>
                  <w:rFonts w:ascii="Arial" w:cs="Arial" w:eastAsia="Arial" w:hAnsi="Arial"/>
                  <w:sz w:val="18"/>
                  <w:szCs w:val="18"/>
                  <w:color w:val="0000EE"/>
                  <w:w w:val="86"/>
                </w:rPr>
                <w:t>Controls and Procedures</w:t>
              </w:r>
            </w:hyperlink>
          </w:p>
        </w:tc>
        <w:tc>
          <w:tcPr>
            <w:tcW w:w="2580" w:type="dxa"/>
            <w:vAlign w:val="bottom"/>
            <w:gridSpan w:val="9"/>
          </w:tcPr>
          <w:p>
            <w:pPr>
              <w:spacing w:after="0"/>
              <w:rPr>
                <w:sz w:val="21"/>
                <w:szCs w:val="21"/>
                <w:color w:val="auto"/>
              </w:rPr>
            </w:pPr>
          </w:p>
        </w:tc>
        <w:tc>
          <w:tcPr>
            <w:tcW w:w="4080" w:type="dxa"/>
            <w:vAlign w:val="bottom"/>
            <w:gridSpan w:val="2"/>
          </w:tcPr>
          <w:p>
            <w:pPr>
              <w:spacing w:after="0"/>
              <w:rPr>
                <w:sz w:val="21"/>
                <w:szCs w:val="21"/>
                <w:color w:val="auto"/>
              </w:rPr>
            </w:pPr>
          </w:p>
        </w:tc>
        <w:tc>
          <w:tcPr>
            <w:tcW w:w="1880" w:type="dxa"/>
            <w:vAlign w:val="bottom"/>
            <w:gridSpan w:val="3"/>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20" w:type="dxa"/>
            <w:vAlign w:val="bottom"/>
          </w:tcPr>
          <w:p>
            <w:pPr>
              <w:spacing w:after="0"/>
              <w:rPr>
                <w:sz w:val="21"/>
                <w:szCs w:val="2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8420" w:type="dxa"/>
            <w:vAlign w:val="bottom"/>
            <w:gridSpan w:val="17"/>
          </w:tcPr>
          <w:p>
            <w:pPr>
              <w:spacing w:after="0"/>
              <w:rPr>
                <w:rFonts w:ascii="Arial" w:cs="Arial" w:eastAsia="Arial" w:hAnsi="Arial"/>
                <w:sz w:val="18"/>
                <w:szCs w:val="18"/>
                <w:b w:val="1"/>
                <w:bCs w:val="1"/>
                <w:color w:val="0000EE"/>
              </w:rPr>
            </w:pPr>
            <w:hyperlink w:anchor="page70">
              <w:r>
                <w:rPr>
                  <w:rFonts w:ascii="Arial" w:cs="Arial" w:eastAsia="Arial" w:hAnsi="Arial"/>
                  <w:sz w:val="18"/>
                  <w:szCs w:val="18"/>
                  <w:b w:val="1"/>
                  <w:bCs w:val="1"/>
                  <w:color w:val="0000EE"/>
                </w:rPr>
                <w:t>OTHER INFORMATION</w:t>
              </w:r>
            </w:hyperlink>
          </w:p>
        </w:tc>
        <w:tc>
          <w:tcPr>
            <w:tcW w:w="1880" w:type="dxa"/>
            <w:vAlign w:val="bottom"/>
            <w:gridSpan w:val="3"/>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20" w:type="dxa"/>
            <w:vAlign w:val="bottom"/>
          </w:tcPr>
          <w:p>
            <w:pPr>
              <w:spacing w:after="0"/>
              <w:rPr>
                <w:sz w:val="21"/>
                <w:szCs w:val="2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EE"/>
                <w:w w:val="85"/>
              </w:rPr>
            </w:pPr>
            <w:hyperlink w:anchor="page70">
              <w:r>
                <w:rPr>
                  <w:rFonts w:ascii="Arial" w:cs="Arial" w:eastAsia="Arial" w:hAnsi="Arial"/>
                  <w:sz w:val="18"/>
                  <w:szCs w:val="18"/>
                  <w:color w:val="0000EE"/>
                  <w:w w:val="85"/>
                </w:rPr>
                <w:t>Legal Proceedings</w:t>
              </w:r>
            </w:hyperlink>
          </w:p>
        </w:tc>
        <w:tc>
          <w:tcPr>
            <w:tcW w:w="700" w:type="dxa"/>
            <w:vAlign w:val="bottom"/>
            <w:gridSpan w:val="3"/>
          </w:tcPr>
          <w:p>
            <w:pPr>
              <w:spacing w:after="0"/>
              <w:rPr>
                <w:sz w:val="21"/>
                <w:szCs w:val="21"/>
                <w:color w:val="auto"/>
              </w:rPr>
            </w:pPr>
          </w:p>
        </w:tc>
        <w:tc>
          <w:tcPr>
            <w:tcW w:w="6400" w:type="dxa"/>
            <w:vAlign w:val="bottom"/>
            <w:gridSpan w:val="10"/>
          </w:tcPr>
          <w:p>
            <w:pPr>
              <w:spacing w:after="0"/>
              <w:rPr>
                <w:sz w:val="21"/>
                <w:szCs w:val="21"/>
                <w:color w:val="auto"/>
              </w:rPr>
            </w:pPr>
          </w:p>
        </w:tc>
        <w:tc>
          <w:tcPr>
            <w:tcW w:w="1880" w:type="dxa"/>
            <w:vAlign w:val="bottom"/>
            <w:gridSpan w:val="3"/>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67</w:t>
              </w:r>
            </w:hyperlink>
          </w:p>
        </w:tc>
        <w:tc>
          <w:tcPr>
            <w:tcW w:w="20" w:type="dxa"/>
            <w:vAlign w:val="bottom"/>
          </w:tcPr>
          <w:p>
            <w:pPr>
              <w:spacing w:after="0"/>
              <w:rPr>
                <w:sz w:val="21"/>
                <w:szCs w:val="2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Risk Factors</w:t>
              </w:r>
            </w:hyperlink>
          </w:p>
        </w:tc>
        <w:tc>
          <w:tcPr>
            <w:tcW w:w="7100" w:type="dxa"/>
            <w:vAlign w:val="bottom"/>
            <w:gridSpan w:val="13"/>
          </w:tcPr>
          <w:p>
            <w:pPr>
              <w:spacing w:after="0"/>
              <w:rPr>
                <w:sz w:val="21"/>
                <w:szCs w:val="21"/>
                <w:color w:val="auto"/>
              </w:rPr>
            </w:pPr>
          </w:p>
        </w:tc>
        <w:tc>
          <w:tcPr>
            <w:tcW w:w="188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20" w:type="dxa"/>
            <w:vAlign w:val="bottom"/>
          </w:tcPr>
          <w:p>
            <w:pPr>
              <w:spacing w:after="0"/>
              <w:rPr>
                <w:sz w:val="21"/>
                <w:szCs w:val="2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Item 2.</w:t>
            </w:r>
          </w:p>
        </w:tc>
        <w:tc>
          <w:tcPr>
            <w:tcW w:w="8420" w:type="dxa"/>
            <w:vAlign w:val="bottom"/>
            <w:gridSpan w:val="17"/>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Unregistered Sales of Equity Securities and Use of Proceeds</w:t>
              </w:r>
            </w:hyperlink>
          </w:p>
        </w:tc>
        <w:tc>
          <w:tcPr>
            <w:tcW w:w="188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20" w:type="dxa"/>
            <w:vAlign w:val="bottom"/>
          </w:tcPr>
          <w:p>
            <w:pPr>
              <w:spacing w:after="0"/>
              <w:rPr>
                <w:sz w:val="21"/>
                <w:szCs w:val="2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gridSpan w:val="7"/>
            <w:shd w:val="clear" w:color="auto" w:fill="0000EE"/>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gridSpan w:val="15"/>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Defaults Upon Senior Securities</w:t>
              </w:r>
            </w:hyperlink>
          </w:p>
        </w:tc>
        <w:tc>
          <w:tcPr>
            <w:tcW w:w="4080" w:type="dxa"/>
            <w:vAlign w:val="bottom"/>
            <w:gridSpan w:val="2"/>
          </w:tcPr>
          <w:p>
            <w:pPr>
              <w:spacing w:after="0"/>
              <w:rPr>
                <w:sz w:val="21"/>
                <w:szCs w:val="21"/>
                <w:color w:val="auto"/>
              </w:rPr>
            </w:pPr>
          </w:p>
        </w:tc>
        <w:tc>
          <w:tcPr>
            <w:tcW w:w="188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20" w:type="dxa"/>
            <w:vAlign w:val="bottom"/>
          </w:tcPr>
          <w:p>
            <w:pPr>
              <w:spacing w:after="0"/>
              <w:rPr>
                <w:sz w:val="21"/>
                <w:szCs w:val="2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6100" w:type="dxa"/>
            <w:vAlign w:val="bottom"/>
            <w:gridSpan w:val="9"/>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Item 4.</w:t>
            </w:r>
          </w:p>
        </w:tc>
        <w:tc>
          <w:tcPr>
            <w:tcW w:w="2320" w:type="dxa"/>
            <w:vAlign w:val="bottom"/>
            <w:gridSpan w:val="8"/>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Mine Safety Disclosures</w:t>
              </w:r>
            </w:hyperlink>
          </w:p>
        </w:tc>
        <w:tc>
          <w:tcPr>
            <w:tcW w:w="6100" w:type="dxa"/>
            <w:vAlign w:val="bottom"/>
            <w:gridSpan w:val="9"/>
          </w:tcPr>
          <w:p>
            <w:pPr>
              <w:spacing w:after="0"/>
              <w:rPr>
                <w:sz w:val="21"/>
                <w:szCs w:val="21"/>
                <w:color w:val="auto"/>
              </w:rPr>
            </w:pPr>
          </w:p>
        </w:tc>
        <w:tc>
          <w:tcPr>
            <w:tcW w:w="188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20" w:type="dxa"/>
            <w:vAlign w:val="bottom"/>
          </w:tcPr>
          <w:p>
            <w:pPr>
              <w:spacing w:after="0"/>
              <w:rPr>
                <w:sz w:val="21"/>
                <w:szCs w:val="2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6660" w:type="dxa"/>
            <w:vAlign w:val="bottom"/>
            <w:gridSpan w:val="11"/>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Other Information</w:t>
              </w:r>
            </w:hyperlink>
          </w:p>
        </w:tc>
        <w:tc>
          <w:tcPr>
            <w:tcW w:w="440" w:type="dxa"/>
            <w:vAlign w:val="bottom"/>
            <w:gridSpan w:val="2"/>
          </w:tcPr>
          <w:p>
            <w:pPr>
              <w:spacing w:after="0"/>
              <w:rPr>
                <w:sz w:val="21"/>
                <w:szCs w:val="21"/>
                <w:color w:val="auto"/>
              </w:rPr>
            </w:pPr>
          </w:p>
        </w:tc>
        <w:tc>
          <w:tcPr>
            <w:tcW w:w="6660" w:type="dxa"/>
            <w:vAlign w:val="bottom"/>
            <w:gridSpan w:val="11"/>
          </w:tcPr>
          <w:p>
            <w:pPr>
              <w:spacing w:after="0"/>
              <w:rPr>
                <w:sz w:val="21"/>
                <w:szCs w:val="21"/>
                <w:color w:val="auto"/>
              </w:rPr>
            </w:pPr>
          </w:p>
        </w:tc>
        <w:tc>
          <w:tcPr>
            <w:tcW w:w="188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20" w:type="dxa"/>
            <w:vAlign w:val="bottom"/>
          </w:tcPr>
          <w:p>
            <w:pPr>
              <w:spacing w:after="0"/>
              <w:rPr>
                <w:sz w:val="21"/>
                <w:szCs w:val="2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100" w:type="dxa"/>
            <w:vAlign w:val="bottom"/>
            <w:gridSpan w:val="13"/>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Exhibits</w:t>
              </w:r>
            </w:hyperlink>
          </w:p>
        </w:tc>
        <w:tc>
          <w:tcPr>
            <w:tcW w:w="720" w:type="dxa"/>
            <w:vAlign w:val="bottom"/>
            <w:gridSpan w:val="3"/>
          </w:tcPr>
          <w:p>
            <w:pPr>
              <w:spacing w:after="0"/>
              <w:rPr>
                <w:sz w:val="21"/>
                <w:szCs w:val="21"/>
                <w:color w:val="auto"/>
              </w:rPr>
            </w:pPr>
          </w:p>
        </w:tc>
        <w:tc>
          <w:tcPr>
            <w:tcW w:w="7100" w:type="dxa"/>
            <w:vAlign w:val="bottom"/>
            <w:gridSpan w:val="13"/>
          </w:tcPr>
          <w:p>
            <w:pPr>
              <w:spacing w:after="0"/>
              <w:rPr>
                <w:sz w:val="21"/>
                <w:szCs w:val="21"/>
                <w:color w:val="auto"/>
              </w:rPr>
            </w:pPr>
          </w:p>
        </w:tc>
        <w:tc>
          <w:tcPr>
            <w:tcW w:w="1880" w:type="dxa"/>
            <w:vAlign w:val="bottom"/>
            <w:gridSpan w:val="3"/>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c>
          <w:tcPr>
            <w:tcW w:w="20" w:type="dxa"/>
            <w:vAlign w:val="bottom"/>
          </w:tcPr>
          <w:p>
            <w:pPr>
              <w:spacing w:after="0"/>
              <w:rPr>
                <w:sz w:val="21"/>
                <w:szCs w:val="2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320" w:type="dxa"/>
            <w:vAlign w:val="bottom"/>
            <w:gridSpan w:val="14"/>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900" w:type="dxa"/>
            <w:vAlign w:val="bottom"/>
          </w:tcPr>
          <w:p>
            <w:pPr>
              <w:spacing w:after="0"/>
              <w:rPr>
                <w:sz w:val="21"/>
                <w:szCs w:val="21"/>
                <w:color w:val="auto"/>
              </w:rPr>
            </w:pPr>
          </w:p>
        </w:tc>
        <w:tc>
          <w:tcPr>
            <w:tcW w:w="1100" w:type="dxa"/>
            <w:vAlign w:val="bottom"/>
            <w:gridSpan w:val="3"/>
          </w:tcPr>
          <w:p>
            <w:pPr>
              <w:spacing w:after="0"/>
              <w:rPr>
                <w:rFonts w:ascii="Arial" w:cs="Arial" w:eastAsia="Arial" w:hAnsi="Arial"/>
                <w:sz w:val="18"/>
                <w:szCs w:val="18"/>
                <w:color w:val="0000EE"/>
                <w:w w:val="92"/>
              </w:rPr>
            </w:pPr>
            <w:hyperlink w:anchor="page72">
              <w:r>
                <w:rPr>
                  <w:rFonts w:ascii="Arial" w:cs="Arial" w:eastAsia="Arial" w:hAnsi="Arial"/>
                  <w:sz w:val="18"/>
                  <w:szCs w:val="18"/>
                  <w:color w:val="0000EE"/>
                  <w:w w:val="92"/>
                </w:rPr>
                <w:t>SIGNATURES</w:t>
              </w:r>
            </w:hyperlink>
          </w:p>
        </w:tc>
        <w:tc>
          <w:tcPr>
            <w:tcW w:w="7320" w:type="dxa"/>
            <w:vAlign w:val="bottom"/>
            <w:gridSpan w:val="14"/>
          </w:tcPr>
          <w:p>
            <w:pPr>
              <w:spacing w:after="0"/>
              <w:rPr>
                <w:sz w:val="21"/>
                <w:szCs w:val="21"/>
                <w:color w:val="auto"/>
              </w:rPr>
            </w:pPr>
          </w:p>
        </w:tc>
        <w:tc>
          <w:tcPr>
            <w:tcW w:w="1880" w:type="dxa"/>
            <w:vAlign w:val="bottom"/>
            <w:gridSpan w:val="3"/>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c>
          <w:tcPr>
            <w:tcW w:w="20" w:type="dxa"/>
            <w:vAlign w:val="bottom"/>
          </w:tcPr>
          <w:p>
            <w:pPr>
              <w:spacing w:after="0"/>
              <w:rPr>
                <w:sz w:val="21"/>
                <w:szCs w:val="21"/>
                <w:color w:val="auto"/>
              </w:rPr>
            </w:pPr>
          </w:p>
        </w:tc>
      </w:tr>
      <w:tr>
        <w:trPr>
          <w:trHeight w:val="20"/>
        </w:trPr>
        <w:tc>
          <w:tcPr>
            <w:tcW w:w="9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60"/>
          </w:cols>
          <w:pgMar w:left="240" w:top="125" w:right="3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Thirty-Six Weeks Ended</w:t>
            </w:r>
          </w:p>
        </w:tc>
      </w:tr>
      <w:tr>
        <w:trPr>
          <w:trHeight w:val="264"/>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9, 2016</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11, 2015</w:t>
            </w:r>
          </w:p>
        </w:tc>
        <w:tc>
          <w:tcPr>
            <w:tcW w:w="16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9, 2016</w:t>
            </w:r>
          </w:p>
        </w:tc>
        <w:tc>
          <w:tcPr>
            <w:tcW w:w="140" w:type="dxa"/>
            <w:vAlign w:val="bottom"/>
          </w:tcPr>
          <w:p>
            <w:pPr>
              <w:spacing w:after="0"/>
              <w:rPr>
                <w:sz w:val="22"/>
                <w:szCs w:val="22"/>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September 11, 2015</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131,012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136,802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415,831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476,078</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212,308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29,066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28,294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86,944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85,640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229,133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224,880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97,598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92,173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303,973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285,937</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406,991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407,136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1,261,979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1,284,843</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104,149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150,857</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Marketing and sales</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79,017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71,628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236,348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228,760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140,545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135,298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4,855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14,348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16,478</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191,658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184,560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21,619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23,214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71,504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68,883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Organizational and separation related</w:t>
            </w:r>
          </w:p>
        </w:tc>
        <w:tc>
          <w:tcPr>
            <w:tcW w:w="140" w:type="dxa"/>
            <w:vAlign w:val="bottom"/>
          </w:tcPr>
          <w:p>
            <w:pPr>
              <w:spacing w:after="0"/>
              <w:rPr>
                <w:sz w:val="21"/>
                <w:szCs w:val="21"/>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732</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financing interest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16,558</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Royalty fee</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14,624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42,007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40,431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reimbursements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303,973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285,937</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364,260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362,983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1,120,069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1,128,258</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and other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9,492</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(8,822)</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(6,305)</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40,848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36,163</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142,180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150,950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(61,300)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26,807</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87,524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89,650</w:t>
            </w:r>
          </w:p>
        </w:tc>
      </w:tr>
      <w:tr>
        <w:trPr>
          <w:trHeight w:val="67"/>
        </w:trPr>
        <w:tc>
          <w:tcPr>
            <w:tcW w:w="516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Shares used in computing basic earnings per share</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27,152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31,455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28,207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31,870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Shares used in computing diluted earnings per share</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27,680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28,718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32,550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Dividends declared per share of 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0.75</w:t>
            </w:r>
          </w:p>
        </w:tc>
      </w:tr>
      <w:tr>
        <w:trPr>
          <w:trHeight w:val="27"/>
        </w:trPr>
        <w:tc>
          <w:tcPr>
            <w:tcW w:w="5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INTERIM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3"/>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Thirty-Six Weeks Ended</w:t>
            </w:r>
          </w:p>
        </w:tc>
      </w:tr>
      <w:tr>
        <w:trPr>
          <w:trHeight w:val="264"/>
        </w:trPr>
        <w:tc>
          <w:tcPr>
            <w:tcW w:w="5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9, 2016</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11, 2015</w:t>
            </w:r>
          </w:p>
        </w:tc>
        <w:tc>
          <w:tcPr>
            <w:tcW w:w="16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9, 2016</w:t>
            </w:r>
          </w:p>
        </w:tc>
        <w:tc>
          <w:tcPr>
            <w:tcW w:w="140" w:type="dxa"/>
            <w:vAlign w:val="bottom"/>
          </w:tcPr>
          <w:p>
            <w:pPr>
              <w:spacing w:after="0"/>
              <w:rPr>
                <w:sz w:val="22"/>
                <w:szCs w:val="22"/>
                <w:color w:val="auto"/>
              </w:rPr>
            </w:pPr>
          </w:p>
        </w:tc>
        <w:tc>
          <w:tcPr>
            <w:tcW w:w="134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September 11, 2015</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26,807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21,555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87,524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89,650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(loss) income, net of tax:</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Derivative instrument adjustment</w:t>
            </w:r>
          </w:p>
        </w:tc>
        <w:tc>
          <w:tcPr>
            <w:tcW w:w="140" w:type="dxa"/>
            <w:vAlign w:val="bottom"/>
          </w:tcPr>
          <w:p>
            <w:pPr>
              <w:spacing w:after="0"/>
              <w:rPr>
                <w:sz w:val="21"/>
                <w:szCs w:val="21"/>
                <w:color w:val="auto"/>
              </w:rPr>
            </w:pPr>
          </w:p>
        </w:tc>
        <w:tc>
          <w:tcPr>
            <w:tcW w:w="1360" w:type="dxa"/>
            <w:vAlign w:val="bottom"/>
          </w:tcPr>
          <w:p>
            <w:pPr>
              <w:jc w:val="right"/>
              <w:ind w:right="35"/>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(loss) income, net of tax</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26,176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20,104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88,247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85,901</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the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INTERIM CONSOLIDATED BALANCE SHEETS</w:t>
      </w:r>
    </w:p>
    <w:p>
      <w:pPr>
        <w:spacing w:after="0" w:line="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(In thousands, except share and per share data)</w:t>
      </w:r>
    </w:p>
    <w:p>
      <w:pPr>
        <w:spacing w:after="0" w:line="352"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(Unaudited)</w:t>
            </w:r>
          </w:p>
        </w:tc>
        <w:tc>
          <w:tcPr>
            <w:tcW w:w="200" w:type="dxa"/>
            <w:vAlign w:val="bottom"/>
          </w:tcPr>
          <w:p>
            <w:pPr>
              <w:spacing w:after="0"/>
              <w:rPr>
                <w:sz w:val="14"/>
                <w:szCs w:val="14"/>
                <w:color w:val="auto"/>
              </w:rPr>
            </w:pPr>
          </w:p>
        </w:tc>
        <w:tc>
          <w:tcPr>
            <w:tcW w:w="13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w w:val="97"/>
              </w:rPr>
              <w:t>January 1, 2016</w:t>
            </w:r>
          </w:p>
        </w:tc>
        <w:tc>
          <w:tcPr>
            <w:tcW w:w="0" w:type="dxa"/>
            <w:vAlign w:val="bottom"/>
          </w:tcPr>
          <w:p>
            <w:pPr>
              <w:spacing w:after="0"/>
              <w:rPr>
                <w:sz w:val="1"/>
                <w:szCs w:val="1"/>
                <w:color w:val="auto"/>
              </w:rPr>
            </w:pPr>
          </w:p>
        </w:tc>
      </w:tr>
      <w:tr>
        <w:trPr>
          <w:trHeight w:val="192"/>
        </w:trPr>
        <w:tc>
          <w:tcPr>
            <w:tcW w:w="7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9, 2016</w:t>
            </w:r>
          </w:p>
        </w:tc>
        <w:tc>
          <w:tcPr>
            <w:tcW w:w="2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174,764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177,061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(including $88,559 and $26,884 from VIEs,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71,451</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Accounts and contracts receivable, net (including $4,687 and $4,893 from VIEs, respectively)</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134,706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131,850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Vacation ownership notes receivable, net (including $730,076 and $669,179 from VIEs,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927,348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920,631</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714,404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669,243</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214,445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288,803</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102,664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140,679</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2,386,170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2,399,718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79,024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139,120</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Advance deposits</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86,130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69,064</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liabilities (including $1,361 and $669 from VIEs,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164,791</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47,000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35,276</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Payroll and benefits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104,331</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Liability for Marriott Rewards customer loyalty program</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 liability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59,877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51,031</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Mandatorily redeemable preferred stock of consolidated subsidiary, net</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39,108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38,989</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net (including $806,716 and $684,604 from VIEs, respectively)</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804,721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678,793</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43,106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32,945</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132,735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109,076</w:t>
            </w:r>
          </w:p>
        </w:tc>
        <w:tc>
          <w:tcPr>
            <w:tcW w:w="0" w:type="dxa"/>
            <w:vAlign w:val="bottom"/>
          </w:tcPr>
          <w:p>
            <w:pPr>
              <w:spacing w:after="0"/>
              <w:rPr>
                <w:sz w:val="1"/>
                <w:szCs w:val="1"/>
                <w:color w:val="auto"/>
              </w:rPr>
            </w:pPr>
          </w:p>
        </w:tc>
      </w:tr>
      <w:tr>
        <w:trPr>
          <w:trHeight w:val="237"/>
        </w:trPr>
        <w:tc>
          <w:tcPr>
            <w:tcW w:w="7480" w:type="dxa"/>
            <w:vAlign w:val="bottom"/>
          </w:tcPr>
          <w:p>
            <w:pPr>
              <w:ind w:left="680"/>
              <w:spacing w:after="0"/>
              <w:rPr>
                <w:sz w:val="20"/>
                <w:szCs w:val="20"/>
                <w:color w:val="auto"/>
              </w:rPr>
            </w:pPr>
            <w:r>
              <w:rPr>
                <w:rFonts w:ascii="Arial" w:cs="Arial" w:eastAsia="Arial" w:hAnsi="Arial"/>
                <w:sz w:val="18"/>
                <w:szCs w:val="18"/>
                <w:color w:val="auto"/>
              </w:rPr>
              <w:t>Total Liabilities</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1,517,896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1,423,451</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Contingencies and Commitments (Note 8)</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Preferred stock — $0.01 par value; 2,000,000 shares authorized; none issued or outstanding</w:t>
            </w:r>
          </w:p>
        </w:tc>
        <w:tc>
          <w:tcPr>
            <w:tcW w:w="18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Common stock — $0.01 par value; 100,000,000 shares authorized; 36,626,327 and 36,393,800 shares</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issued,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Treasury stock — at cost; 9,634,735 and 6,844,256 shares, respectively</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(592,700)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(429,990)</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1,142,480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1,150,731</w:t>
            </w:r>
          </w:p>
        </w:tc>
        <w:tc>
          <w:tcPr>
            <w:tcW w:w="0" w:type="dxa"/>
            <w:vAlign w:val="bottom"/>
          </w:tcPr>
          <w:p>
            <w:pPr>
              <w:spacing w:after="0"/>
              <w:rPr>
                <w:sz w:val="1"/>
                <w:szCs w:val="1"/>
                <w:color w:val="auto"/>
              </w:rPr>
            </w:pP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tcPr>
          <w:p>
            <w:pPr>
              <w:spacing w:after="0"/>
              <w:rPr>
                <w:sz w:val="21"/>
                <w:szCs w:val="21"/>
                <w:color w:val="auto"/>
              </w:rPr>
            </w:pPr>
          </w:p>
        </w:tc>
        <w:tc>
          <w:tcPr>
            <w:tcW w:w="1420" w:type="dxa"/>
            <w:vAlign w:val="bottom"/>
          </w:tcPr>
          <w:p>
            <w:pPr>
              <w:jc w:val="right"/>
              <w:ind w:right="11"/>
              <w:spacing w:after="0"/>
              <w:rPr>
                <w:sz w:val="20"/>
                <w:szCs w:val="20"/>
                <w:color w:val="auto"/>
              </w:rPr>
            </w:pPr>
            <w:r>
              <w:rPr>
                <w:rFonts w:ascii="Arial" w:cs="Arial" w:eastAsia="Arial" w:hAnsi="Arial"/>
                <w:sz w:val="18"/>
                <w:szCs w:val="18"/>
                <w:color w:val="auto"/>
              </w:rPr>
              <w:t>12,104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11,381</w:t>
            </w:r>
          </w:p>
        </w:tc>
        <w:tc>
          <w:tcPr>
            <w:tcW w:w="0" w:type="dxa"/>
            <w:vAlign w:val="bottom"/>
          </w:tcPr>
          <w:p>
            <w:pPr>
              <w:spacing w:after="0"/>
              <w:rPr>
                <w:sz w:val="1"/>
                <w:szCs w:val="1"/>
                <w:color w:val="auto"/>
              </w:rPr>
            </w:pP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306,024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243,781</w:t>
            </w:r>
          </w:p>
        </w:tc>
        <w:tc>
          <w:tcPr>
            <w:tcW w:w="0" w:type="dxa"/>
            <w:vAlign w:val="bottom"/>
          </w:tcPr>
          <w:p>
            <w:pPr>
              <w:spacing w:after="0"/>
              <w:rPr>
                <w:sz w:val="1"/>
                <w:szCs w:val="1"/>
                <w:color w:val="auto"/>
              </w:rPr>
            </w:pPr>
          </w:p>
        </w:tc>
      </w:tr>
      <w:tr>
        <w:trPr>
          <w:trHeight w:val="237"/>
        </w:trPr>
        <w:tc>
          <w:tcPr>
            <w:tcW w:w="7480" w:type="dxa"/>
            <w:vAlign w:val="bottom"/>
          </w:tcPr>
          <w:p>
            <w:pPr>
              <w:ind w:left="680"/>
              <w:spacing w:after="0"/>
              <w:rPr>
                <w:sz w:val="20"/>
                <w:szCs w:val="20"/>
                <w:color w:val="auto"/>
              </w:rPr>
            </w:pPr>
            <w:r>
              <w:rPr>
                <w:rFonts w:ascii="Arial" w:cs="Arial" w:eastAsia="Arial" w:hAnsi="Arial"/>
                <w:sz w:val="18"/>
                <w:szCs w:val="18"/>
                <w:color w:val="auto"/>
              </w:rPr>
              <w:t>Total Equity</w:t>
            </w:r>
          </w:p>
        </w:tc>
        <w:tc>
          <w:tcPr>
            <w:tcW w:w="18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868,274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976,267</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4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2,386,170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2,399,718</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abbreviation VIEs above means Variable Interest Entities.</w:t>
      </w:r>
    </w:p>
    <w:p>
      <w:pPr>
        <w:spacing w:after="0" w:line="221"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240" w:top="125" w:right="599" w:bottom="1440" w:gutter="0" w:footer="0" w:header="0"/>
        </w:sectPr>
      </w:pPr>
    </w:p>
    <w:bookmarkStart w:id="5" w:name="page6"/>
    <w:bookmarkEnd w:id="5"/>
    <w:p>
      <w:pPr>
        <w:spacing w:after="0" w:line="5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INTERIM CONSOLIDATED STATEMENTS OF CASH FLOWS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192"/>
        </w:trPr>
        <w:tc>
          <w:tcPr>
            <w:tcW w:w="70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264"/>
        </w:trPr>
        <w:tc>
          <w:tcPr>
            <w:tcW w:w="7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8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9, 2016</w:t>
            </w:r>
          </w:p>
        </w:tc>
        <w:tc>
          <w:tcPr>
            <w:tcW w:w="180" w:type="dxa"/>
            <w:vAlign w:val="bottom"/>
          </w:tcPr>
          <w:p>
            <w:pPr>
              <w:spacing w:after="0"/>
              <w:rPr>
                <w:sz w:val="22"/>
                <w:szCs w:val="22"/>
                <w:color w:val="auto"/>
              </w:rPr>
            </w:pPr>
          </w:p>
        </w:tc>
        <w:tc>
          <w:tcPr>
            <w:tcW w:w="1500" w:type="dxa"/>
            <w:vAlign w:val="bottom"/>
          </w:tcPr>
          <w:p>
            <w:pPr>
              <w:jc w:val="right"/>
              <w:ind w:right="150"/>
              <w:spacing w:after="0"/>
              <w:rPr>
                <w:sz w:val="20"/>
                <w:szCs w:val="20"/>
                <w:color w:val="auto"/>
              </w:rPr>
            </w:pPr>
            <w:r>
              <w:rPr>
                <w:rFonts w:ascii="Arial" w:cs="Arial" w:eastAsia="Arial" w:hAnsi="Arial"/>
                <w:sz w:val="14"/>
                <w:szCs w:val="14"/>
                <w:b w:val="1"/>
                <w:bCs w:val="1"/>
                <w:color w:val="auto"/>
                <w:w w:val="94"/>
              </w:rPr>
              <w:t>September 11, 2015</w:t>
            </w:r>
          </w:p>
        </w:tc>
        <w:tc>
          <w:tcPr>
            <w:tcW w:w="0" w:type="dxa"/>
            <w:vAlign w:val="bottom"/>
          </w:tcPr>
          <w:p>
            <w:pPr>
              <w:spacing w:after="0"/>
              <w:rPr>
                <w:sz w:val="1"/>
                <w:szCs w:val="1"/>
                <w:color w:val="auto"/>
              </w:rPr>
            </w:pPr>
          </w:p>
        </w:tc>
      </w:tr>
      <w:tr>
        <w:trPr>
          <w:trHeight w:val="250"/>
        </w:trPr>
        <w:tc>
          <w:tcPr>
            <w:tcW w:w="7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87,524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89,650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14,856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13,850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Provision for loan losses</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31,817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22,753</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9,633</w:t>
            </w:r>
          </w:p>
        </w:tc>
        <w:tc>
          <w:tcPr>
            <w:tcW w:w="0" w:type="dxa"/>
            <w:vAlign w:val="bottom"/>
          </w:tcPr>
          <w:p>
            <w:pPr>
              <w:spacing w:after="0"/>
              <w:rPr>
                <w:sz w:val="1"/>
                <w:szCs w:val="1"/>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Employee stock purchase plan</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17,261</w:t>
            </w:r>
          </w:p>
        </w:tc>
        <w:tc>
          <w:tcPr>
            <w:tcW w:w="0" w:type="dxa"/>
            <w:vAlign w:val="bottom"/>
          </w:tcPr>
          <w:p>
            <w:pPr>
              <w:spacing w:after="0"/>
              <w:rPr>
                <w:sz w:val="1"/>
                <w:szCs w:val="1"/>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Gain on disposal of property and equipment, net</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(9,492)</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Non-cash reversal of litigation settlement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Net change in assets and liabilities:</w:t>
            </w:r>
          </w:p>
        </w:tc>
        <w:tc>
          <w:tcPr>
            <w:tcW w:w="2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and contracts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(17,799)</w:t>
            </w:r>
          </w:p>
        </w:tc>
        <w:tc>
          <w:tcPr>
            <w:tcW w:w="0" w:type="dxa"/>
            <w:vAlign w:val="bottom"/>
          </w:tcPr>
          <w:p>
            <w:pPr>
              <w:spacing w:after="0"/>
              <w:rPr>
                <w:sz w:val="1"/>
                <w:szCs w:val="1"/>
                <w:color w:val="auto"/>
              </w:rPr>
            </w:pPr>
          </w:p>
        </w:tc>
      </w:tr>
      <w:tr>
        <w:trPr>
          <w:trHeight w:val="243"/>
        </w:trPr>
        <w:tc>
          <w:tcPr>
            <w:tcW w:w="7040" w:type="dxa"/>
            <w:vAlign w:val="bottom"/>
          </w:tcPr>
          <w:p>
            <w:pPr>
              <w:ind w:left="700"/>
              <w:spacing w:after="0"/>
              <w:rPr>
                <w:sz w:val="20"/>
                <w:szCs w:val="20"/>
                <w:color w:val="auto"/>
              </w:rPr>
            </w:pPr>
            <w:r>
              <w:rPr>
                <w:rFonts w:ascii="Arial" w:cs="Arial" w:eastAsia="Arial" w:hAnsi="Arial"/>
                <w:sz w:val="18"/>
                <w:szCs w:val="18"/>
                <w:color w:val="auto"/>
              </w:rPr>
              <w:t>Notes receivable originations</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(218,190)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(189,029)</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Notes receivable collections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177,451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192,852</w:t>
            </w:r>
          </w:p>
        </w:tc>
        <w:tc>
          <w:tcPr>
            <w:tcW w:w="0" w:type="dxa"/>
            <w:vAlign w:val="bottom"/>
          </w:tcPr>
          <w:p>
            <w:pPr>
              <w:spacing w:after="0"/>
              <w:rPr>
                <w:sz w:val="1"/>
                <w:szCs w:val="1"/>
                <w:color w:val="auto"/>
              </w:rPr>
            </w:pPr>
          </w:p>
        </w:tc>
      </w:tr>
      <w:tr>
        <w:trPr>
          <w:trHeight w:val="243"/>
        </w:trPr>
        <w:tc>
          <w:tcPr>
            <w:tcW w:w="704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51,467</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Purchase of operating properties for future conversion to inventory</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(61,554)</w:t>
            </w:r>
          </w:p>
        </w:tc>
        <w:tc>
          <w:tcPr>
            <w:tcW w:w="0" w:type="dxa"/>
            <w:vAlign w:val="bottom"/>
          </w:tcPr>
          <w:p>
            <w:pPr>
              <w:spacing w:after="0"/>
              <w:rPr>
                <w:sz w:val="1"/>
                <w:szCs w:val="1"/>
                <w:color w:val="auto"/>
              </w:rPr>
            </w:pPr>
          </w:p>
        </w:tc>
      </w:tr>
      <w:tr>
        <w:trPr>
          <w:trHeight w:val="243"/>
        </w:trPr>
        <w:tc>
          <w:tcPr>
            <w:tcW w:w="704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38,103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26,524</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 advance deposits and 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(52,380)</w:t>
            </w:r>
          </w:p>
        </w:tc>
        <w:tc>
          <w:tcPr>
            <w:tcW w:w="0" w:type="dxa"/>
            <w:vAlign w:val="bottom"/>
          </w:tcPr>
          <w:p>
            <w:pPr>
              <w:spacing w:after="0"/>
              <w:rPr>
                <w:sz w:val="1"/>
                <w:szCs w:val="1"/>
                <w:color w:val="auto"/>
              </w:rPr>
            </w:pPr>
          </w:p>
        </w:tc>
      </w:tr>
      <w:tr>
        <w:trPr>
          <w:trHeight w:val="243"/>
        </w:trPr>
        <w:tc>
          <w:tcPr>
            <w:tcW w:w="7040" w:type="dxa"/>
            <w:vAlign w:val="bottom"/>
          </w:tcPr>
          <w:p>
            <w:pPr>
              <w:ind w:left="70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11,592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5,742</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Payroll and benefit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0" w:type="dxa"/>
            <w:vAlign w:val="bottom"/>
          </w:tcPr>
          <w:p>
            <w:pPr>
              <w:spacing w:after="0"/>
              <w:rPr>
                <w:sz w:val="1"/>
                <w:szCs w:val="1"/>
                <w:color w:val="auto"/>
              </w:rPr>
            </w:pPr>
          </w:p>
        </w:tc>
      </w:tr>
      <w:tr>
        <w:trPr>
          <w:trHeight w:val="243"/>
        </w:trPr>
        <w:tc>
          <w:tcPr>
            <w:tcW w:w="7040" w:type="dxa"/>
            <w:vAlign w:val="bottom"/>
          </w:tcPr>
          <w:p>
            <w:pPr>
              <w:ind w:left="700"/>
              <w:spacing w:after="0"/>
              <w:rPr>
                <w:sz w:val="20"/>
                <w:szCs w:val="20"/>
                <w:color w:val="auto"/>
              </w:rPr>
            </w:pPr>
            <w:r>
              <w:rPr>
                <w:rFonts w:ascii="Arial" w:cs="Arial" w:eastAsia="Arial" w:hAnsi="Arial"/>
                <w:sz w:val="18"/>
                <w:szCs w:val="18"/>
                <w:color w:val="auto"/>
              </w:rPr>
              <w:t>Liability for Marriott Rewards customer loyalty program</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(15,384)</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Deferred compensation liability</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6,791</w:t>
            </w:r>
          </w:p>
        </w:tc>
        <w:tc>
          <w:tcPr>
            <w:tcW w:w="0" w:type="dxa"/>
            <w:vAlign w:val="bottom"/>
          </w:tcPr>
          <w:p>
            <w:pPr>
              <w:spacing w:after="0"/>
              <w:rPr>
                <w:sz w:val="1"/>
                <w:szCs w:val="1"/>
                <w:color w:val="auto"/>
              </w:rPr>
            </w:pPr>
          </w:p>
        </w:tc>
      </w:tr>
      <w:tr>
        <w:trPr>
          <w:trHeight w:val="243"/>
        </w:trPr>
        <w:tc>
          <w:tcPr>
            <w:tcW w:w="704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7,138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6,236</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5,085</w:t>
            </w:r>
          </w:p>
        </w:tc>
        <w:tc>
          <w:tcPr>
            <w:tcW w:w="0" w:type="dxa"/>
            <w:vAlign w:val="bottom"/>
          </w:tcPr>
          <w:p>
            <w:pPr>
              <w:spacing w:after="0"/>
              <w:rPr>
                <w:sz w:val="1"/>
                <w:szCs w:val="1"/>
                <w:color w:val="auto"/>
              </w:rPr>
            </w:pPr>
          </w:p>
        </w:tc>
      </w:tr>
      <w:tr>
        <w:trPr>
          <w:trHeight w:val="237"/>
        </w:trPr>
        <w:tc>
          <w:tcPr>
            <w:tcW w:w="70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90,885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100,724</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(22,445)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(20,873)</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operating property to be sold</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(47,658)</w:t>
            </w:r>
          </w:p>
        </w:tc>
        <w:tc>
          <w:tcPr>
            <w:tcW w:w="0" w:type="dxa"/>
            <w:vAlign w:val="bottom"/>
          </w:tcPr>
          <w:p>
            <w:pPr>
              <w:spacing w:after="0"/>
              <w:rPr>
                <w:sz w:val="1"/>
                <w:szCs w:val="1"/>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Increase in restricted cash</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(46,709)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(12,616)</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Dispositions, net</w:t>
            </w:r>
          </w:p>
        </w:tc>
        <w:tc>
          <w:tcPr>
            <w:tcW w:w="2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20,605</w:t>
            </w:r>
          </w:p>
        </w:tc>
        <w:tc>
          <w:tcPr>
            <w:tcW w:w="0" w:type="dxa"/>
            <w:vAlign w:val="bottom"/>
          </w:tcPr>
          <w:p>
            <w:pPr>
              <w:spacing w:after="0"/>
              <w:rPr>
                <w:sz w:val="1"/>
                <w:szCs w:val="1"/>
                <w:color w:val="auto"/>
              </w:rPr>
            </w:pPr>
          </w:p>
        </w:tc>
      </w:tr>
      <w:tr>
        <w:trPr>
          <w:trHeight w:val="237"/>
        </w:trPr>
        <w:tc>
          <w:tcPr>
            <w:tcW w:w="7040" w:type="dxa"/>
            <w:vAlign w:val="bottom"/>
          </w:tcPr>
          <w:p>
            <w:pPr>
              <w:ind w:left="11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(60,542)</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Borrowings from securitization transactions</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376,622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255,000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debt related to securitization transactions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(186,383)</w:t>
            </w:r>
          </w:p>
        </w:tc>
        <w:tc>
          <w:tcPr>
            <w:tcW w:w="0" w:type="dxa"/>
            <w:vAlign w:val="bottom"/>
          </w:tcPr>
          <w:p>
            <w:pPr>
              <w:spacing w:after="0"/>
              <w:rPr>
                <w:sz w:val="1"/>
                <w:szCs w:val="1"/>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Borrowings from Revolving Corporate Credit Facility</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of Revolving Corporate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Proceeds from vacation ownership inventory arrangement</w:t>
            </w:r>
          </w:p>
        </w:tc>
        <w:tc>
          <w:tcPr>
            <w:tcW w:w="20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5,375</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(4,405)</w:t>
            </w:r>
          </w:p>
        </w:tc>
        <w:tc>
          <w:tcPr>
            <w:tcW w:w="0" w:type="dxa"/>
            <w:vAlign w:val="bottom"/>
          </w:tcPr>
          <w:p>
            <w:pPr>
              <w:spacing w:after="0"/>
              <w:rPr>
                <w:sz w:val="1"/>
                <w:szCs w:val="1"/>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Repurchase of common stock</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(163,359)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(106,110)</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Accelerated stock repurchase forward contract</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Payment of dividends</w:t>
            </w:r>
          </w:p>
        </w:tc>
        <w:tc>
          <w:tcPr>
            <w:tcW w:w="2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(26,067)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(16,003)</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(9,615)</w:t>
            </w:r>
          </w:p>
        </w:tc>
        <w:tc>
          <w:tcPr>
            <w:tcW w:w="0" w:type="dxa"/>
            <w:vAlign w:val="bottom"/>
          </w:tcPr>
          <w:p>
            <w:pPr>
              <w:spacing w:after="0"/>
              <w:rPr>
                <w:sz w:val="1"/>
                <w:szCs w:val="1"/>
                <w:color w:val="auto"/>
              </w:rPr>
            </w:pPr>
          </w:p>
        </w:tc>
      </w:tr>
      <w:tr>
        <w:trPr>
          <w:trHeight w:val="243"/>
        </w:trPr>
        <w:tc>
          <w:tcPr>
            <w:tcW w:w="704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(61,764)</w:t>
            </w:r>
          </w:p>
        </w:tc>
        <w:tc>
          <w:tcPr>
            <w:tcW w:w="0" w:type="dxa"/>
            <w:vAlign w:val="bottom"/>
          </w:tcPr>
          <w:p>
            <w:pPr>
              <w:spacing w:after="0"/>
              <w:rPr>
                <w:sz w:val="1"/>
                <w:szCs w:val="1"/>
                <w:color w:val="auto"/>
              </w:rPr>
            </w:pPr>
          </w:p>
        </w:tc>
      </w:tr>
      <w:tr>
        <w:trPr>
          <w:trHeight w:val="237"/>
        </w:trPr>
        <w:tc>
          <w:tcPr>
            <w:tcW w:w="7040" w:type="dxa"/>
            <w:vAlign w:val="bottom"/>
          </w:tcPr>
          <w:p>
            <w:pPr>
              <w:ind w:left="380"/>
              <w:spacing w:after="0"/>
              <w:rPr>
                <w:sz w:val="20"/>
                <w:szCs w:val="20"/>
                <w:color w:val="auto"/>
              </w:rPr>
            </w:pPr>
            <w:r>
              <w:rPr>
                <w:rFonts w:ascii="Arial" w:cs="Arial" w:eastAsia="Arial" w:hAnsi="Arial"/>
                <w:sz w:val="18"/>
                <w:szCs w:val="18"/>
                <w:color w:val="auto"/>
              </w:rPr>
              <w:t>Effect of changes in exchange rates on cash and cash equivalents</w:t>
            </w: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(3,243)</w:t>
            </w: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2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(24,825)</w:t>
            </w:r>
          </w:p>
        </w:tc>
        <w:tc>
          <w:tcPr>
            <w:tcW w:w="0" w:type="dxa"/>
            <w:vAlign w:val="bottom"/>
          </w:tcPr>
          <w:p>
            <w:pPr>
              <w:spacing w:after="0"/>
              <w:rPr>
                <w:sz w:val="1"/>
                <w:szCs w:val="1"/>
                <w:color w:val="auto"/>
              </w:rPr>
            </w:pPr>
          </w:p>
        </w:tc>
      </w:tr>
      <w:tr>
        <w:trPr>
          <w:trHeight w:val="243"/>
        </w:trPr>
        <w:tc>
          <w:tcPr>
            <w:tcW w:w="704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tcPr>
          <w:p>
            <w:pPr>
              <w:spacing w:after="0"/>
              <w:rPr>
                <w:sz w:val="21"/>
                <w:szCs w:val="21"/>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177,061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346,515</w:t>
            </w:r>
          </w:p>
        </w:tc>
        <w:tc>
          <w:tcPr>
            <w:tcW w:w="0" w:type="dxa"/>
            <w:vAlign w:val="bottom"/>
          </w:tcPr>
          <w:p>
            <w:pPr>
              <w:spacing w:after="0"/>
              <w:rPr>
                <w:sz w:val="1"/>
                <w:szCs w:val="1"/>
                <w:color w:val="auto"/>
              </w:rPr>
            </w:pPr>
          </w:p>
        </w:tc>
      </w:tr>
      <w:tr>
        <w:trPr>
          <w:trHeight w:val="27"/>
        </w:trPr>
        <w:tc>
          <w:tcPr>
            <w:tcW w:w="70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174,764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321,690</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DISCLOSURES OF NON-CASH INVESTING AND FINANCING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040" w:type="dxa"/>
            <w:vAlign w:val="bottom"/>
          </w:tcPr>
          <w:p>
            <w:pPr>
              <w:ind w:left="40"/>
              <w:spacing w:after="0"/>
              <w:rPr>
                <w:sz w:val="20"/>
                <w:szCs w:val="20"/>
                <w:color w:val="auto"/>
              </w:rPr>
            </w:pPr>
            <w:r>
              <w:rPr>
                <w:rFonts w:ascii="Arial" w:cs="Arial" w:eastAsia="Arial" w:hAnsi="Arial"/>
                <w:sz w:val="18"/>
                <w:szCs w:val="18"/>
                <w:b w:val="1"/>
                <w:bCs w:val="1"/>
                <w:color w:val="auto"/>
              </w:rPr>
              <w:t>ACTIVITIES</w:t>
            </w:r>
          </w:p>
        </w:tc>
        <w:tc>
          <w:tcPr>
            <w:tcW w:w="2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issuance of note receivable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7"/>
        </w:trPr>
        <w:tc>
          <w:tcPr>
            <w:tcW w:w="7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0960"/>
          </w:cols>
          <w:pgMar w:left="240" w:top="125" w:right="69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ind w:left="380"/>
              <w:spacing w:after="0"/>
              <w:rPr>
                <w:sz w:val="20"/>
                <w:szCs w:val="20"/>
                <w:color w:val="auto"/>
              </w:rPr>
            </w:pPr>
            <w:r>
              <w:rPr>
                <w:rFonts w:ascii="Arial" w:cs="Arial" w:eastAsia="Arial" w:hAnsi="Arial"/>
                <w:sz w:val="18"/>
                <w:szCs w:val="18"/>
                <w:color w:val="auto"/>
              </w:rPr>
              <w:t>Non-cash impact on Additional paid-in capital for changes in Deferred tax liabilities</w:t>
            </w:r>
          </w:p>
        </w:tc>
        <w:tc>
          <w:tcPr>
            <w:tcW w:w="202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7300" w:type="dxa"/>
            <w:vAlign w:val="bottom"/>
          </w:tcPr>
          <w:p>
            <w:pPr>
              <w:ind w:left="380"/>
              <w:spacing w:after="0"/>
              <w:rPr>
                <w:sz w:val="20"/>
                <w:szCs w:val="20"/>
                <w:color w:val="auto"/>
              </w:rPr>
            </w:pPr>
            <w:r>
              <w:rPr>
                <w:rFonts w:ascii="Arial" w:cs="Arial" w:eastAsia="Arial" w:hAnsi="Arial"/>
                <w:sz w:val="18"/>
                <w:szCs w:val="18"/>
                <w:color w:val="auto"/>
              </w:rPr>
              <w:t>distributed to Marriott Vacations Worldwide at Spin-Off</w:t>
            </w:r>
          </w:p>
        </w:tc>
        <w:tc>
          <w:tcPr>
            <w:tcW w:w="20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7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payable</w:t>
            </w:r>
          </w:p>
        </w:tc>
        <w:tc>
          <w:tcPr>
            <w:tcW w:w="202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(8,127)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(7,786)</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Non-cash issuance of treasury stock for employee stock purchase plan</w:t>
            </w:r>
          </w:p>
        </w:tc>
        <w:tc>
          <w:tcPr>
            <w:tcW w:w="2020" w:type="dxa"/>
            <w:vAlign w:val="bottom"/>
          </w:tcPr>
          <w:p>
            <w:pPr>
              <w:jc w:val="right"/>
              <w:ind w:right="610"/>
              <w:spacing w:after="0"/>
              <w:rPr>
                <w:sz w:val="20"/>
                <w:szCs w:val="20"/>
                <w:color w:val="auto"/>
              </w:rPr>
            </w:pPr>
            <w:r>
              <w:rPr>
                <w:rFonts w:ascii="Arial" w:cs="Arial" w:eastAsia="Arial" w:hAnsi="Arial"/>
                <w:sz w:val="18"/>
                <w:szCs w:val="18"/>
                <w:color w:val="auto"/>
              </w:rPr>
              <w:t>673</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Disposition accruals not yet paid</w:t>
            </w:r>
          </w:p>
        </w:tc>
        <w:tc>
          <w:tcPr>
            <w:tcW w:w="20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rPr>
              <w:t>2,931</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00" w:type="dxa"/>
            <w:vAlign w:val="bottom"/>
          </w:tcPr>
          <w:p>
            <w:pPr>
              <w:ind w:left="380"/>
              <w:spacing w:after="0"/>
              <w:rPr>
                <w:sz w:val="20"/>
                <w:szCs w:val="20"/>
                <w:color w:val="auto"/>
              </w:rPr>
            </w:pPr>
            <w:r>
              <w:rPr>
                <w:rFonts w:ascii="Arial" w:cs="Arial" w:eastAsia="Arial" w:hAnsi="Arial"/>
                <w:sz w:val="18"/>
                <w:szCs w:val="18"/>
                <w:color w:val="auto"/>
              </w:rPr>
              <w:t>Property acquired via capital lease</w:t>
            </w:r>
          </w:p>
        </w:tc>
        <w:tc>
          <w:tcPr>
            <w:tcW w:w="2020" w:type="dxa"/>
            <w:vAlign w:val="bottom"/>
          </w:tcPr>
          <w:p>
            <w:pPr>
              <w:jc w:val="right"/>
              <w:ind w:right="610"/>
              <w:spacing w:after="0"/>
              <w:rPr>
                <w:sz w:val="20"/>
                <w:szCs w:val="20"/>
                <w:color w:val="auto"/>
              </w:rPr>
            </w:pPr>
            <w:r>
              <w:rPr>
                <w:rFonts w:ascii="Arial" w:cs="Arial" w:eastAsia="Arial" w:hAnsi="Arial"/>
                <w:sz w:val="18"/>
                <w:szCs w:val="18"/>
                <w:color w:val="auto"/>
              </w:rPr>
              <w:t>7,221</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43"/>
        </w:trPr>
        <w:tc>
          <w:tcPr>
            <w:tcW w:w="73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Non-cash transfer of excess inventory to Property and equipment for disposition</w:t>
            </w:r>
          </w:p>
        </w:tc>
        <w:tc>
          <w:tcPr>
            <w:tcW w:w="20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9,741</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0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Interim Consolidated Financial Statements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00"/>
          </w:cols>
          <w:pgMar w:left="700" w:top="139" w:right="6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INTERIM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w:t>
      </w:r>
    </w:p>
    <w:p>
      <w:pPr>
        <w:spacing w:after="0" w:line="225" w:lineRule="exact"/>
        <w:rPr>
          <w:sz w:val="20"/>
          <w:szCs w:val="20"/>
          <w:color w:val="auto"/>
        </w:rPr>
      </w:pPr>
    </w:p>
    <w:p>
      <w:pPr>
        <w:ind w:firstLine="878"/>
        <w:spacing w:after="0" w:line="264" w:lineRule="auto"/>
        <w:rPr>
          <w:sz w:val="20"/>
          <w:szCs w:val="20"/>
          <w:color w:val="auto"/>
        </w:rPr>
      </w:pPr>
      <w:r>
        <w:rPr>
          <w:rFonts w:ascii="Arial" w:cs="Arial" w:eastAsia="Arial" w:hAnsi="Arial"/>
          <w:sz w:val="17"/>
          <w:szCs w:val="17"/>
          <w:color w:val="auto"/>
        </w:rPr>
        <w:t>Marriott Vacations Worldwide Corporation (“Marriott Vacations Worldwide,” “we” or “us,” which includes our consolidated subsidiaries except where the context of the reference is to a single corporate entity) is the exclusive worldwide developer, marketer, seller and manager of vacation ownership and related products under the Marriott Vacation Club and Grand Residences by Marriott brands. In 2016, we introduced Marriott Vacation Club Pulse</w:t>
      </w:r>
      <w:r>
        <w:rPr>
          <w:rFonts w:ascii="Arial" w:cs="Arial" w:eastAsia="Arial" w:hAnsi="Arial"/>
          <w:sz w:val="20"/>
          <w:szCs w:val="20"/>
          <w:color w:val="auto"/>
          <w:vertAlign w:val="superscript"/>
        </w:rPr>
        <w:t>SM</w:t>
      </w:r>
      <w:r>
        <w:rPr>
          <w:rFonts w:ascii="Arial" w:cs="Arial" w:eastAsia="Arial" w:hAnsi="Arial"/>
          <w:sz w:val="17"/>
          <w:szCs w:val="17"/>
          <w:color w:val="auto"/>
        </w:rPr>
        <w:t>, an extension to the Marriott Vacation Club brand.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 The Ritz-Carlton Hotel Company, L.L.C. (“The Ritz-Carlton Hotel Company”), a subsidiary of Marriott International, Inc. (“Marriott International”), provides on-site management for Ritz-Carlton branded properties.</w:t>
      </w:r>
    </w:p>
    <w:p>
      <w:pPr>
        <w:spacing w:after="0" w:line="186" w:lineRule="exact"/>
        <w:rPr>
          <w:sz w:val="20"/>
          <w:szCs w:val="20"/>
          <w:color w:val="auto"/>
        </w:rPr>
      </w:pPr>
    </w:p>
    <w:p>
      <w:pPr>
        <w:ind w:right="260" w:firstLine="878"/>
        <w:spacing w:after="0" w:line="259" w:lineRule="auto"/>
        <w:rPr>
          <w:sz w:val="20"/>
          <w:szCs w:val="20"/>
          <w:color w:val="auto"/>
        </w:rPr>
      </w:pPr>
      <w:r>
        <w:rPr>
          <w:rFonts w:ascii="Arial" w:cs="Arial" w:eastAsia="Arial" w:hAnsi="Arial"/>
          <w:sz w:val="18"/>
          <w:szCs w:val="18"/>
          <w:color w:val="auto"/>
        </w:rPr>
        <w:t>Our business is grouped into three reportable segments: North America, Europe and Asia Pacific. As of September 9, 2016, our portfolio consisted of over 60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and Basis of Presentation</w:t>
      </w:r>
    </w:p>
    <w:p>
      <w:pPr>
        <w:spacing w:after="0" w:line="225" w:lineRule="exact"/>
        <w:rPr>
          <w:sz w:val="20"/>
          <w:szCs w:val="20"/>
          <w:color w:val="auto"/>
        </w:rPr>
      </w:pPr>
    </w:p>
    <w:p>
      <w:pPr>
        <w:ind w:right="240" w:firstLine="878"/>
        <w:spacing w:after="0" w:line="255" w:lineRule="auto"/>
        <w:rPr>
          <w:sz w:val="20"/>
          <w:szCs w:val="20"/>
          <w:color w:val="auto"/>
        </w:rPr>
      </w:pPr>
      <w:r>
        <w:rPr>
          <w:rFonts w:ascii="Arial" w:cs="Arial" w:eastAsia="Arial" w:hAnsi="Arial"/>
          <w:sz w:val="18"/>
          <w:szCs w:val="18"/>
          <w:color w:val="auto"/>
        </w:rPr>
        <w:t>The interim consolidated financial statements presented herein and discussed below include 100 percent of the assets, liabilities, revenues, expenses and cash flows of Marriott Vacations Worldwide, all entities in which Marriott Vacations Worldwide has a controlling voting interest (“subsidiaries”), and those variable interest entities for which Marriott Vacations Worldwide is the primary beneficiary in accordance with consolidation accounting guidance. Intercompany accounts and transactions between consolidated companies have been eliminated in consolidation. The interim consolidated financial statements reflect our financial position, results of operations and cash flows as prepared in conformity with United States Generally Accepted Accounting Principles (“GAAP”).</w:t>
      </w:r>
    </w:p>
    <w:p>
      <w:pPr>
        <w:spacing w:after="0" w:line="193" w:lineRule="exact"/>
        <w:rPr>
          <w:sz w:val="20"/>
          <w:szCs w:val="20"/>
          <w:color w:val="auto"/>
        </w:rPr>
      </w:pPr>
    </w:p>
    <w:p>
      <w:pPr>
        <w:ind w:right="680" w:firstLine="878"/>
        <w:spacing w:after="0" w:line="302" w:lineRule="auto"/>
        <w:rPr>
          <w:sz w:val="20"/>
          <w:szCs w:val="20"/>
          <w:color w:val="auto"/>
        </w:rPr>
      </w:pPr>
      <w:r>
        <w:rPr>
          <w:rFonts w:ascii="Arial" w:cs="Arial" w:eastAsia="Arial" w:hAnsi="Arial"/>
          <w:sz w:val="16"/>
          <w:szCs w:val="16"/>
          <w:color w:val="auto"/>
        </w:rPr>
        <w:t>In order to make this report easier to read, we refer throughout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in these Notes to Interim Consolidated Financial Statements, unless otherwise noted.</w:t>
      </w:r>
    </w:p>
    <w:p>
      <w:pPr>
        <w:spacing w:after="0" w:line="154" w:lineRule="exact"/>
        <w:rPr>
          <w:sz w:val="20"/>
          <w:szCs w:val="20"/>
          <w:color w:val="auto"/>
        </w:rPr>
      </w:pPr>
    </w:p>
    <w:p>
      <w:pPr>
        <w:ind w:right="100" w:firstLine="878"/>
        <w:spacing w:after="0" w:line="277" w:lineRule="auto"/>
        <w:rPr>
          <w:sz w:val="20"/>
          <w:szCs w:val="20"/>
          <w:color w:val="auto"/>
        </w:rPr>
      </w:pPr>
      <w:r>
        <w:rPr>
          <w:rFonts w:ascii="Arial" w:cs="Arial" w:eastAsia="Arial" w:hAnsi="Arial"/>
          <w:sz w:val="18"/>
          <w:szCs w:val="18"/>
          <w:color w:val="auto"/>
        </w:rPr>
        <w:t>Unless otherwise specified, each reference to a particular quarter in these Financial Statements means the twelve weeks ended on the date shown in the following table, rather than the corresponding calendar quarter:</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Fiscal Year</w:t>
            </w:r>
          </w:p>
        </w:tc>
        <w:tc>
          <w:tcPr>
            <w:tcW w:w="340" w:type="dxa"/>
            <w:vAlign w:val="bottom"/>
          </w:tcPr>
          <w:p>
            <w:pPr>
              <w:spacing w:after="0"/>
              <w:rPr>
                <w:sz w:val="16"/>
                <w:szCs w:val="16"/>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Quarter-End Date</w:t>
            </w:r>
          </w:p>
        </w:tc>
      </w:tr>
      <w:tr>
        <w:trPr>
          <w:trHeight w:val="243"/>
        </w:trPr>
        <w:tc>
          <w:tcPr>
            <w:tcW w:w="59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2016 Third Quarter</w:t>
            </w: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September 9, 2016</w:t>
            </w:r>
          </w:p>
        </w:tc>
      </w:tr>
      <w:tr>
        <w:trPr>
          <w:trHeight w:val="270"/>
        </w:trPr>
        <w:tc>
          <w:tcPr>
            <w:tcW w:w="59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2016 Second Quarter</w:t>
            </w:r>
          </w:p>
        </w:tc>
        <w:tc>
          <w:tcPr>
            <w:tcW w:w="5460" w:type="dxa"/>
            <w:vAlign w:val="bottom"/>
          </w:tcPr>
          <w:p>
            <w:pPr>
              <w:jc w:val="center"/>
              <w:spacing w:after="0"/>
              <w:rPr>
                <w:sz w:val="20"/>
                <w:szCs w:val="20"/>
                <w:color w:val="auto"/>
              </w:rPr>
            </w:pPr>
            <w:r>
              <w:rPr>
                <w:rFonts w:ascii="Arial" w:cs="Arial" w:eastAsia="Arial" w:hAnsi="Arial"/>
                <w:sz w:val="18"/>
                <w:szCs w:val="18"/>
                <w:color w:val="auto"/>
                <w:w w:val="87"/>
              </w:rPr>
              <w:t>June 17, 2016</w:t>
            </w:r>
          </w:p>
        </w:tc>
      </w:tr>
      <w:tr>
        <w:trPr>
          <w:trHeight w:val="270"/>
        </w:trPr>
        <w:tc>
          <w:tcPr>
            <w:tcW w:w="59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2016 First Quarter</w:t>
            </w: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March 25, 2016</w:t>
            </w:r>
          </w:p>
        </w:tc>
      </w:tr>
      <w:tr>
        <w:trPr>
          <w:trHeight w:val="270"/>
        </w:trPr>
        <w:tc>
          <w:tcPr>
            <w:tcW w:w="596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2015 Third Quarter</w:t>
            </w:r>
          </w:p>
        </w:tc>
        <w:tc>
          <w:tcPr>
            <w:tcW w:w="5460" w:type="dxa"/>
            <w:vAlign w:val="bottom"/>
          </w:tcPr>
          <w:p>
            <w:pPr>
              <w:jc w:val="center"/>
              <w:spacing w:after="0"/>
              <w:rPr>
                <w:sz w:val="20"/>
                <w:szCs w:val="20"/>
                <w:color w:val="auto"/>
              </w:rPr>
            </w:pPr>
            <w:r>
              <w:rPr>
                <w:rFonts w:ascii="Arial" w:cs="Arial" w:eastAsia="Arial" w:hAnsi="Arial"/>
                <w:sz w:val="18"/>
                <w:szCs w:val="18"/>
                <w:color w:val="auto"/>
                <w:w w:val="88"/>
              </w:rPr>
              <w:t>September 11, 2015</w:t>
            </w:r>
          </w:p>
        </w:tc>
      </w:tr>
      <w:tr>
        <w:trPr>
          <w:trHeight w:val="270"/>
        </w:trPr>
        <w:tc>
          <w:tcPr>
            <w:tcW w:w="59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2015 Second Quarter</w:t>
            </w:r>
          </w:p>
        </w:tc>
        <w:tc>
          <w:tcPr>
            <w:tcW w:w="5460" w:type="dxa"/>
            <w:vAlign w:val="bottom"/>
          </w:tcPr>
          <w:p>
            <w:pPr>
              <w:jc w:val="center"/>
              <w:spacing w:after="0"/>
              <w:rPr>
                <w:sz w:val="20"/>
                <w:szCs w:val="20"/>
                <w:color w:val="auto"/>
              </w:rPr>
            </w:pPr>
            <w:r>
              <w:rPr>
                <w:rFonts w:ascii="Arial" w:cs="Arial" w:eastAsia="Arial" w:hAnsi="Arial"/>
                <w:sz w:val="18"/>
                <w:szCs w:val="18"/>
                <w:color w:val="auto"/>
                <w:w w:val="87"/>
              </w:rPr>
              <w:t>June 19, 2015</w:t>
            </w:r>
          </w:p>
        </w:tc>
      </w:tr>
      <w:tr>
        <w:trPr>
          <w:trHeight w:val="270"/>
        </w:trPr>
        <w:tc>
          <w:tcPr>
            <w:tcW w:w="596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2015 First Quarter</w:t>
            </w:r>
          </w:p>
        </w:tc>
        <w:tc>
          <w:tcPr>
            <w:tcW w:w="5460" w:type="dxa"/>
            <w:vAlign w:val="bottom"/>
          </w:tcPr>
          <w:p>
            <w:pPr>
              <w:jc w:val="center"/>
              <w:spacing w:after="0"/>
              <w:rPr>
                <w:sz w:val="20"/>
                <w:szCs w:val="20"/>
                <w:color w:val="auto"/>
              </w:rPr>
            </w:pPr>
            <w:r>
              <w:rPr>
                <w:rFonts w:ascii="Arial" w:cs="Arial" w:eastAsia="Arial" w:hAnsi="Arial"/>
                <w:sz w:val="18"/>
                <w:szCs w:val="18"/>
                <w:color w:val="auto"/>
                <w:w w:val="91"/>
              </w:rPr>
              <w:t>March 27, 2015</w:t>
            </w:r>
          </w:p>
        </w:tc>
      </w:tr>
    </w:tbl>
    <w:p>
      <w:pPr>
        <w:spacing w:after="0" w:line="229" w:lineRule="exact"/>
        <w:rPr>
          <w:sz w:val="20"/>
          <w:szCs w:val="20"/>
          <w:color w:val="auto"/>
        </w:rPr>
      </w:pPr>
    </w:p>
    <w:p>
      <w:pPr>
        <w:ind w:right="240" w:firstLine="878"/>
        <w:spacing w:after="0" w:line="264" w:lineRule="auto"/>
        <w:rPr>
          <w:sz w:val="20"/>
          <w:szCs w:val="20"/>
          <w:color w:val="auto"/>
        </w:rPr>
      </w:pPr>
      <w:r>
        <w:rPr>
          <w:rFonts w:ascii="Arial" w:cs="Arial" w:eastAsia="Arial" w:hAnsi="Arial"/>
          <w:sz w:val="18"/>
          <w:szCs w:val="18"/>
          <w:color w:val="auto"/>
        </w:rPr>
        <w:t>In our opinion, our Financial Statements reflect all normal and recurring adjustments necessary to present fairly our financial position and the results of our operations and cash flows for the periods presented. Interim results may not be indicative of fiscal year performance because of, among other reasons, seasonal and short-term variations.</w:t>
      </w:r>
    </w:p>
    <w:p>
      <w:pPr>
        <w:spacing w:after="0" w:line="181" w:lineRule="exact"/>
        <w:rPr>
          <w:sz w:val="20"/>
          <w:szCs w:val="20"/>
          <w:color w:val="auto"/>
        </w:rPr>
      </w:pPr>
    </w:p>
    <w:p>
      <w:pPr>
        <w:ind w:right="40" w:firstLine="878"/>
        <w:spacing w:after="0" w:line="259" w:lineRule="auto"/>
        <w:rPr>
          <w:sz w:val="20"/>
          <w:szCs w:val="20"/>
          <w:color w:val="auto"/>
        </w:rPr>
      </w:pPr>
      <w:r>
        <w:rPr>
          <w:rFonts w:ascii="Arial" w:cs="Arial" w:eastAsia="Arial" w:hAnsi="Arial"/>
          <w:sz w:val="18"/>
          <w:szCs w:val="18"/>
          <w:color w:val="auto"/>
        </w:rPr>
        <w:t>These Financial Statements have not been audited. Amounts as of January 1, 2016 included in these Financial Statements have been derived from the audited consolidated financial statements as of that date. We have condensed or omitted certain information and footnote disclosures normally included in financial statements presented in accordance with GAAP. Although we believe our footnote disclosures are adequate to make the information presented not misleading, you should read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these Financial Statements in conjunction with the consolidated financial statements and notes to those consolidated financial statements included in our Annual Report on Form 10-K for the fiscal year ended January 1, 2016.</w:t>
      </w:r>
    </w:p>
    <w:p>
      <w:pPr>
        <w:spacing w:after="0" w:line="170" w:lineRule="exact"/>
        <w:rPr>
          <w:sz w:val="20"/>
          <w:szCs w:val="20"/>
          <w:color w:val="auto"/>
        </w:rPr>
      </w:pPr>
    </w:p>
    <w:p>
      <w:pPr>
        <w:jc w:val="both"/>
        <w:ind w:right="140" w:firstLine="878"/>
        <w:spacing w:after="0" w:line="27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amounts reported in the financial statements and accompanying notes. Such estimates include, but are not limited to, revenue recognition, cost of vacation ownership products, inventory valuation, property and equipment valuation, loan loss reserves, self-insured medical plan reserves, equity-based compensation, income taxes and loss contingencies. Accordingly, actual amounts may differ from these estimated amounts.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have reclassified certain prior year amounts to conform to our current period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225" w:lineRule="exact"/>
        <w:rPr>
          <w:sz w:val="20"/>
          <w:szCs w:val="20"/>
          <w:color w:val="auto"/>
        </w:rPr>
      </w:pPr>
    </w:p>
    <w:p>
      <w:pPr>
        <w:ind w:right="760" w:firstLine="878"/>
        <w:spacing w:after="0" w:line="277" w:lineRule="auto"/>
        <w:rPr>
          <w:sz w:val="20"/>
          <w:szCs w:val="20"/>
          <w:color w:val="auto"/>
        </w:rPr>
      </w:pPr>
      <w:r>
        <w:rPr>
          <w:rFonts w:ascii="Arial" w:cs="Arial" w:eastAsia="Arial" w:hAnsi="Arial"/>
          <w:sz w:val="18"/>
          <w:szCs w:val="18"/>
          <w:color w:val="auto"/>
        </w:rPr>
        <w:t>Accounting Standards Update No. 2016-15 – “</w:t>
      </w:r>
      <w:r>
        <w:rPr>
          <w:rFonts w:ascii="Arial" w:cs="Arial" w:eastAsia="Arial" w:hAnsi="Arial"/>
          <w:sz w:val="18"/>
          <w:szCs w:val="18"/>
          <w:i w:val="1"/>
          <w:iCs w:val="1"/>
          <w:color w:val="auto"/>
        </w:rPr>
        <w:t>Statement of Cash Flows (Topic 230): Classification of Certain Cash Receipts and Cash</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w:t>
      </w:r>
      <w:r>
        <w:rPr>
          <w:rFonts w:ascii="Arial" w:cs="Arial" w:eastAsia="Arial" w:hAnsi="Arial"/>
          <w:sz w:val="18"/>
          <w:szCs w:val="18"/>
          <w:color w:val="auto"/>
        </w:rPr>
        <w:t>” (“ASU 2016-15”)</w:t>
      </w:r>
    </w:p>
    <w:p>
      <w:pPr>
        <w:spacing w:after="0" w:line="170" w:lineRule="exact"/>
        <w:rPr>
          <w:sz w:val="20"/>
          <w:szCs w:val="20"/>
          <w:color w:val="auto"/>
        </w:rPr>
      </w:pPr>
    </w:p>
    <w:p>
      <w:pPr>
        <w:jc w:val="both"/>
        <w:ind w:firstLine="878"/>
        <w:spacing w:after="0" w:line="276" w:lineRule="auto"/>
        <w:rPr>
          <w:sz w:val="20"/>
          <w:szCs w:val="20"/>
          <w:color w:val="auto"/>
        </w:rPr>
      </w:pPr>
      <w:r>
        <w:rPr>
          <w:rFonts w:ascii="Arial" w:cs="Arial" w:eastAsia="Arial" w:hAnsi="Arial"/>
          <w:sz w:val="17"/>
          <w:szCs w:val="17"/>
          <w:color w:val="auto"/>
        </w:rPr>
        <w:t>In August 2016, the Financial Accounting Standards Board (“FASB”) issued Accounting Standards Update (“ASU”) 2016-15, which clarifies the treatment of several cash flow categories. In addition, ASU 2016-15 clarifies that when cash receipts and cash payments have aspects of more than one class of cash flows and cannot be separated, classification will depend on the predominant source or use. This update is effective for annual periods beginning after December 15, 2017, and interim periods within those fiscal years, with early adoption permitted, including adoption in an interim period. Our early adoption of ASU 2016-15 in the third quarter of 2016 did not have an impact on our financial statements or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Adoption of Accounting Standards</w:t>
      </w:r>
    </w:p>
    <w:p>
      <w:pPr>
        <w:spacing w:after="0" w:line="225" w:lineRule="exact"/>
        <w:rPr>
          <w:sz w:val="20"/>
          <w:szCs w:val="20"/>
          <w:color w:val="auto"/>
        </w:rPr>
      </w:pPr>
    </w:p>
    <w:p>
      <w:pPr>
        <w:ind w:right="260" w:firstLine="878"/>
        <w:spacing w:after="0" w:line="277" w:lineRule="auto"/>
        <w:rPr>
          <w:sz w:val="20"/>
          <w:szCs w:val="20"/>
          <w:color w:val="auto"/>
        </w:rPr>
      </w:pPr>
      <w:r>
        <w:rPr>
          <w:rFonts w:ascii="Arial" w:cs="Arial" w:eastAsia="Arial" w:hAnsi="Arial"/>
          <w:sz w:val="18"/>
          <w:szCs w:val="18"/>
          <w:color w:val="auto"/>
        </w:rPr>
        <w:t>Accounting Standards Update No. 2016-13 –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(“ASU 2016-13”)</w:t>
      </w:r>
    </w:p>
    <w:p>
      <w:pPr>
        <w:spacing w:after="0" w:line="170" w:lineRule="exact"/>
        <w:rPr>
          <w:sz w:val="20"/>
          <w:szCs w:val="20"/>
          <w:color w:val="auto"/>
        </w:rPr>
      </w:pPr>
    </w:p>
    <w:p>
      <w:pPr>
        <w:ind w:right="160" w:firstLine="878"/>
        <w:spacing w:after="0" w:line="297" w:lineRule="auto"/>
        <w:rPr>
          <w:sz w:val="20"/>
          <w:szCs w:val="20"/>
          <w:color w:val="auto"/>
        </w:rPr>
      </w:pPr>
      <w:r>
        <w:rPr>
          <w:rFonts w:ascii="Arial" w:cs="Arial" w:eastAsia="Arial" w:hAnsi="Arial"/>
          <w:sz w:val="16"/>
          <w:szCs w:val="16"/>
          <w:color w:val="auto"/>
        </w:rPr>
        <w:t>In June 2016, the FASB issued ASU 2016-13, which replaces the incurred loss impairment methodology in current GAAP with a methodology that reflects expected credit losses. The update is intended to provide financial statement users with more decision-useful information about the expected credit losses on financial instruments and other commitments to extend credit held by a reporting entity at each reporting date. This update is effective for annual periods beginning after December 15, 2019, with early adoption permitted for annual periods beginning after December 15, 2018. We are evaluating the impact that ASU 2016-13, including the timing of implementation, will have on our financial statements and disclosures.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Accounting Standards Update No. 2016-09 –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(“ASU 2016-09”)</w:t>
      </w:r>
    </w:p>
    <w:p>
      <w:pPr>
        <w:spacing w:after="0" w:line="225" w:lineRule="exact"/>
        <w:rPr>
          <w:sz w:val="20"/>
          <w:szCs w:val="20"/>
          <w:color w:val="auto"/>
        </w:rPr>
      </w:pPr>
    </w:p>
    <w:p>
      <w:pPr>
        <w:ind w:right="40" w:firstLine="878"/>
        <w:spacing w:after="0" w:line="270" w:lineRule="auto"/>
        <w:rPr>
          <w:sz w:val="20"/>
          <w:szCs w:val="20"/>
          <w:color w:val="auto"/>
        </w:rPr>
      </w:pPr>
      <w:r>
        <w:rPr>
          <w:rFonts w:ascii="Arial" w:cs="Arial" w:eastAsia="Arial" w:hAnsi="Arial"/>
          <w:sz w:val="17"/>
          <w:szCs w:val="17"/>
          <w:color w:val="auto"/>
        </w:rPr>
        <w:t>In March 2016, the FASB issued ASU 2016-09, which changes how entities account for certain aspects of share-based payment transactions, including the income tax consequences, classification of awards as either equity or liabilities and classification on the statement of cash flows. The new guidance requires all income tax effects of awards, including excess tax benefits, to be recorded as income tax expense (or benefit) in the income statement. The new guidance requires excess tax benefits to be presented as an operating inflow rather than as a financing inflow in the statement of cash flows. Currently, excess tax benefits are recorded in additional paid-in-capital in the balance sheet. The update is effective for annual periods beginning after December 15, 2016 and interim periods within those annual periods. We expect to adopt ASU 2016-09 in the first quarter of 2017. We expect the adoption of ASU 2016-09 to decrease our provision for income taxes, the amount of which depends on the vesting activity of our share-based compensation awards in any given period, and to eliminate the presentation of excess tax benefits as a financing inflow on our statement of cash flows. Further, we expect to make an accounting policy election to account for forfeitures of share-based compensation awards as they occur. We do not expect the adoption of ASU 2016-09 to have any other material impacts on our financial statements and disclosures.</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125" w:right="2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Accounting Standards Update No. 2016-02 – “</w:t>
      </w:r>
      <w:r>
        <w:rPr>
          <w:rFonts w:ascii="Arial" w:cs="Arial" w:eastAsia="Arial" w:hAnsi="Arial"/>
          <w:sz w:val="18"/>
          <w:szCs w:val="18"/>
          <w:i w:val="1"/>
          <w:iCs w:val="1"/>
          <w:color w:val="auto"/>
        </w:rPr>
        <w:t>Leases (Topic 842)</w:t>
      </w:r>
      <w:r>
        <w:rPr>
          <w:rFonts w:ascii="Arial" w:cs="Arial" w:eastAsia="Arial" w:hAnsi="Arial"/>
          <w:sz w:val="18"/>
          <w:szCs w:val="18"/>
          <w:color w:val="auto"/>
        </w:rPr>
        <w:t>” (“ASU 2016-02”)</w:t>
      </w:r>
    </w:p>
    <w:p>
      <w:pPr>
        <w:spacing w:after="0" w:line="225" w:lineRule="exact"/>
        <w:rPr>
          <w:sz w:val="20"/>
          <w:szCs w:val="20"/>
          <w:color w:val="auto"/>
        </w:rPr>
      </w:pPr>
    </w:p>
    <w:p>
      <w:pPr>
        <w:ind w:right="60" w:firstLine="878"/>
        <w:spacing w:after="0" w:line="273" w:lineRule="auto"/>
        <w:rPr>
          <w:sz w:val="20"/>
          <w:szCs w:val="20"/>
          <w:color w:val="auto"/>
        </w:rPr>
      </w:pPr>
      <w:r>
        <w:rPr>
          <w:rFonts w:ascii="Arial" w:cs="Arial" w:eastAsia="Arial" w:hAnsi="Arial"/>
          <w:sz w:val="17"/>
          <w:szCs w:val="17"/>
          <w:color w:val="auto"/>
        </w:rPr>
        <w:t>In February 2016, the FASB issued ASU 2016-02 to increase transparency and comparability of information regarding an entity’s leasing activities by providing additional information to users of financial statements. ASU 2016-02 amends the existing accounting standards for lease accounting, including requiring lessees to recognize most leases on their balance sheets and making targeted changes to lessor accounting. The new standard requires a modified retrospective transition approach for all leases existing at, or entered into after, the date of initial application, with an option to use certain transition relief. This update is effective for annual periods beginning after December 15, 2018, with early adoption permitted. We are evaluating the impact that ASU 2016-02, including the method and timing of implementation, will have on our financial statements and disclosures.</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Accounting Standards Update No. 2016-01 – “</w:t>
      </w:r>
      <w:r>
        <w:rPr>
          <w:rFonts w:ascii="Arial" w:cs="Arial" w:eastAsia="Arial" w:hAnsi="Arial"/>
          <w:sz w:val="18"/>
          <w:szCs w:val="18"/>
          <w:i w:val="1"/>
          <w:iCs w:val="1"/>
          <w:color w:val="auto"/>
        </w:rPr>
        <w:t>Financial Instruments – Overall (Subtopic 825-10)</w:t>
      </w:r>
      <w:r>
        <w:rPr>
          <w:rFonts w:ascii="Arial" w:cs="Arial" w:eastAsia="Arial" w:hAnsi="Arial"/>
          <w:sz w:val="18"/>
          <w:szCs w:val="18"/>
          <w:color w:val="auto"/>
        </w:rPr>
        <w:t>” (“ASU 2016-01”)</w:t>
      </w:r>
    </w:p>
    <w:p>
      <w:pPr>
        <w:spacing w:after="0" w:line="225" w:lineRule="exact"/>
        <w:rPr>
          <w:sz w:val="20"/>
          <w:szCs w:val="20"/>
          <w:color w:val="auto"/>
        </w:rPr>
      </w:pPr>
    </w:p>
    <w:p>
      <w:pPr>
        <w:ind w:right="360" w:firstLine="878"/>
        <w:spacing w:after="0" w:line="259" w:lineRule="auto"/>
        <w:rPr>
          <w:sz w:val="20"/>
          <w:szCs w:val="20"/>
          <w:color w:val="auto"/>
        </w:rPr>
      </w:pPr>
      <w:r>
        <w:rPr>
          <w:rFonts w:ascii="Arial" w:cs="Arial" w:eastAsia="Arial" w:hAnsi="Arial"/>
          <w:sz w:val="18"/>
          <w:szCs w:val="18"/>
          <w:color w:val="auto"/>
        </w:rPr>
        <w:t>In January 2016, the FASB issued ASU 2016-01, which updates certain aspects of recognition, measurement, presentation and disclosure of financial instruments. For public business entities, the amendments in ASU 2016-01 will be effective for fiscal years beginning after December 15, 2017, including interim periods within those fiscal years. Although we do not expect the adoption of ASU 2016-01 to have a material impact on our financial statements, we do expect a reduction in our disclosures related to financial instruments.</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Accounting Standards Update No. 2014-09 –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(“ASU 2014-09”), as Amended</w:t>
      </w:r>
    </w:p>
    <w:p>
      <w:pPr>
        <w:spacing w:after="0" w:line="225" w:lineRule="exact"/>
        <w:rPr>
          <w:sz w:val="20"/>
          <w:szCs w:val="20"/>
          <w:color w:val="auto"/>
        </w:rPr>
      </w:pPr>
    </w:p>
    <w:p>
      <w:pPr>
        <w:ind w:right="40" w:firstLine="891"/>
        <w:spacing w:after="0" w:line="270" w:lineRule="auto"/>
        <w:rPr>
          <w:sz w:val="20"/>
          <w:szCs w:val="20"/>
          <w:color w:val="auto"/>
        </w:rPr>
      </w:pPr>
      <w:r>
        <w:rPr>
          <w:rFonts w:ascii="Arial" w:cs="Arial" w:eastAsia="Arial" w:hAnsi="Arial"/>
          <w:sz w:val="17"/>
          <w:szCs w:val="17"/>
          <w:color w:val="auto"/>
        </w:rPr>
        <w:t>In May 2014, the FASB issued ASU 2014-09, which as amended, supersedes the revenue recognition requirements in Topic 605, Revenue Recognition, as well as most industry-specific guidance, and significantly enhances comparability of revenue recognition practices across entities and industries by providing a principle-based, comprehensive framework for addressing revenue recognition issues. In order for a provider of promised goods or services to recognize as revenue the consideration that it expects to receive in exchange for the promised goods or services, the provider should apply the following five steps: (1) identify the contract with a customer; (2) identify the performance obligations in the contract; (3) determine the transaction price; (4) allocate the transaction price to the performance obligations in the contract; and (5) recognize revenue when (or as) the entity satisfies a performance obligation. ASU 2014-09, as amended, will be effective for fiscal years, and interim periods within those years, beginning after December 15, 2017. The new standard may be applied retrospectively or on a modified retrospective basis with the cumulative effect recognized on the date of adoption. Although we expect to adopt ASU 2014-09, as amended, commencing in fiscal year 2018, on a retrospective basis, we continue to evaluate the impact that adoption of this ASU will have on our financial statements and disclosures.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INCOME TAXES</w:t>
      </w:r>
    </w:p>
    <w:p>
      <w:pPr>
        <w:spacing w:after="0" w:line="229" w:lineRule="exact"/>
        <w:rPr>
          <w:sz w:val="20"/>
          <w:szCs w:val="20"/>
          <w:color w:val="auto"/>
        </w:rPr>
      </w:pPr>
    </w:p>
    <w:p>
      <w:pPr>
        <w:ind w:firstLine="878"/>
        <w:spacing w:after="0" w:line="279" w:lineRule="auto"/>
        <w:rPr>
          <w:sz w:val="20"/>
          <w:szCs w:val="20"/>
          <w:color w:val="auto"/>
        </w:rPr>
      </w:pPr>
      <w:r>
        <w:rPr>
          <w:rFonts w:ascii="Arial" w:cs="Arial" w:eastAsia="Arial" w:hAnsi="Arial"/>
          <w:sz w:val="17"/>
          <w:szCs w:val="17"/>
          <w:color w:val="auto"/>
        </w:rPr>
        <w:t>We file income tax returns with U.S. federal and state and non-U.S. jurisdictions and are subject to audits in these jurisdictions. Although we do not anticipate that a significant impact to our unrecognized tax benefit balance will occur during the next fiscal year, the amount of our liability for unrecognized tax benefits could change as a result of audits in these jurisdictions. Our total unrecognized tax benefit balance that, if recognized, would impact our effective tax rate, was $1.7 million and $2.4 million at September 9, 2016 and January 1, 2016, respectively.</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VACATION OWNERSHIP NOTES RECEIVABLE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shows the composition of our vacation ownership notes receivable balances, net of reserves: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17715"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7715" cy="18034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7"/>
          <w:szCs w:val="17"/>
          <w:color w:val="auto"/>
        </w:rPr>
        <w:t>Vacation ownership notes receivable — securitized</w:t>
      </w:r>
    </w:p>
    <w:p>
      <w:pPr>
        <w:spacing w:after="0" w:line="88" w:lineRule="exact"/>
        <w:rPr>
          <w:sz w:val="20"/>
          <w:szCs w:val="20"/>
          <w:color w:val="auto"/>
        </w:rPr>
      </w:pPr>
    </w:p>
    <w:p>
      <w:pPr>
        <w:ind w:left="40"/>
        <w:spacing w:after="0"/>
        <w:rPr>
          <w:sz w:val="20"/>
          <w:szCs w:val="20"/>
          <w:color w:val="auto"/>
        </w:rPr>
      </w:pPr>
      <w:r>
        <w:rPr>
          <w:rFonts w:ascii="Arial" w:cs="Arial" w:eastAsia="Arial" w:hAnsi="Arial"/>
          <w:sz w:val="16"/>
          <w:szCs w:val="16"/>
          <w:color w:val="auto"/>
        </w:rPr>
        <w:t>Vacation ownership notes receivable — non-securitized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1771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7715" cy="171450"/>
                    </a:xfrm>
                    <a:prstGeom prst="rect">
                      <a:avLst/>
                    </a:prstGeom>
                    <a:noFill/>
                  </pic:spPr>
                </pic:pic>
              </a:graphicData>
            </a:graphic>
          </wp:anchor>
        </w:drawing>
      </w:r>
    </w:p>
    <w:p>
      <w:pPr>
        <w:spacing w:after="0" w:line="6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21"/>
          <w:szCs w:val="21"/>
          <w:color w:val="auto"/>
          <w:vertAlign w:val="superscript"/>
        </w:rPr>
        <w:t>(1) (2)</w:t>
      </w:r>
    </w:p>
    <w:p>
      <w:pPr>
        <w:spacing w:after="0" w:line="4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eligible for securitization</w:t>
      </w:r>
      <w:r>
        <w:rPr>
          <w:rFonts w:ascii="Arial" w:cs="Arial" w:eastAsia="Arial" w:hAnsi="Arial"/>
          <w:sz w:val="21"/>
          <w:szCs w:val="2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17715"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7715" cy="180340"/>
                    </a:xfrm>
                    <a:prstGeom prst="rect">
                      <a:avLst/>
                    </a:prstGeom>
                    <a:noFill/>
                  </pic:spPr>
                </pic:pic>
              </a:graphicData>
            </a:graphic>
          </wp:anchor>
        </w:drawing>
      </w:r>
    </w:p>
    <w:p>
      <w:pPr>
        <w:spacing w:after="0" w:line="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Subtotal</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vacation ownership notes receivable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18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9, 2016</w:t>
            </w:r>
          </w:p>
        </w:tc>
        <w:tc>
          <w:tcPr>
            <w:tcW w:w="180" w:type="dxa"/>
            <w:vAlign w:val="bottom"/>
          </w:tcPr>
          <w:p>
            <w:pPr>
              <w:spacing w:after="0"/>
              <w:rPr>
                <w:sz w:val="16"/>
                <w:szCs w:val="16"/>
                <w:color w:val="auto"/>
              </w:rPr>
            </w:pPr>
          </w:p>
        </w:tc>
        <w:tc>
          <w:tcPr>
            <w:tcW w:w="1280" w:type="dxa"/>
            <w:vAlign w:val="bottom"/>
          </w:tcPr>
          <w:p>
            <w:pPr>
              <w:jc w:val="right"/>
              <w:ind w:right="153"/>
              <w:spacing w:after="0"/>
              <w:rPr>
                <w:sz w:val="20"/>
                <w:szCs w:val="20"/>
                <w:color w:val="auto"/>
              </w:rPr>
            </w:pPr>
            <w:r>
              <w:rPr>
                <w:rFonts w:ascii="Arial" w:cs="Arial" w:eastAsia="Arial" w:hAnsi="Arial"/>
                <w:sz w:val="14"/>
                <w:szCs w:val="14"/>
                <w:b w:val="1"/>
                <w:bCs w:val="1"/>
                <w:color w:val="auto"/>
                <w:w w:val="97"/>
              </w:rPr>
              <w:t>January 1, 2016</w:t>
            </w:r>
          </w:p>
        </w:tc>
      </w:tr>
      <w:tr>
        <w:trPr>
          <w:trHeight w:val="243"/>
        </w:trPr>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730,076</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669,179</w:t>
            </w:r>
          </w:p>
        </w:tc>
      </w:tr>
      <w:tr>
        <w:trPr>
          <w:trHeight w:val="540"/>
        </w:trPr>
        <w:tc>
          <w:tcPr>
            <w:tcW w:w="180" w:type="dxa"/>
            <w:vAlign w:val="bottom"/>
          </w:tcPr>
          <w:p>
            <w:pPr>
              <w:spacing w:after="0"/>
              <w:rPr>
                <w:sz w:val="24"/>
                <w:szCs w:val="24"/>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58,376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104,671</w:t>
            </w:r>
          </w:p>
        </w:tc>
      </w:tr>
      <w:tr>
        <w:trPr>
          <w:trHeight w:val="270"/>
        </w:trPr>
        <w:tc>
          <w:tcPr>
            <w:tcW w:w="180" w:type="dxa"/>
            <w:vAlign w:val="bottom"/>
          </w:tcPr>
          <w:p>
            <w:pPr>
              <w:spacing w:after="0"/>
              <w:rPr>
                <w:sz w:val="23"/>
                <w:szCs w:val="23"/>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138,896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146,781</w:t>
            </w: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197,272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251,452</w:t>
            </w:r>
          </w:p>
        </w:tc>
      </w:tr>
      <w:tr>
        <w:trPr>
          <w:trHeight w:val="27"/>
        </w:trPr>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3"/>
              <w:spacing w:after="0"/>
              <w:rPr>
                <w:sz w:val="20"/>
                <w:szCs w:val="20"/>
                <w:color w:val="auto"/>
              </w:rPr>
            </w:pPr>
            <w:r>
              <w:rPr>
                <w:rFonts w:ascii="Arial" w:cs="Arial" w:eastAsia="Arial" w:hAnsi="Arial"/>
                <w:sz w:val="18"/>
                <w:szCs w:val="18"/>
                <w:color w:val="auto"/>
              </w:rPr>
              <w:t>927,348</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920,631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17145</wp:posOffset>
            </wp:positionV>
            <wp:extent cx="1989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53" w:lineRule="exact"/>
        <w:rPr>
          <w:sz w:val="20"/>
          <w:szCs w:val="20"/>
          <w:color w:val="auto"/>
        </w:rPr>
      </w:pPr>
    </w:p>
    <w:p>
      <w:pPr>
        <w:sectPr>
          <w:pgSz w:w="11900" w:h="16838" w:orient="portrait"/>
          <w:cols w:equalWidth="0" w:num="2">
            <w:col w:w="7360" w:space="720"/>
            <w:col w:w="3340"/>
          </w:cols>
          <w:pgMar w:left="240" w:top="125"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5133340</wp:posOffset>
            </wp:positionH>
            <wp:positionV relativeFrom="paragraph">
              <wp:posOffset>-130175</wp:posOffset>
            </wp:positionV>
            <wp:extent cx="19894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ind w:left="340" w:hanging="332"/>
        <w:spacing w:after="0" w:line="199" w:lineRule="auto"/>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Refer to Footnote No. 4, “Financial Instruments,” for discussion of eligibility of our vacation ownership notes receivable for securitization.</w:t>
      </w:r>
    </w:p>
    <w:p>
      <w:pPr>
        <w:spacing w:after="0" w:line="2" w:lineRule="exact"/>
        <w:rPr>
          <w:rFonts w:ascii="Arial" w:cs="Arial" w:eastAsia="Arial" w:hAnsi="Arial"/>
          <w:sz w:val="25"/>
          <w:szCs w:val="25"/>
          <w:color w:val="auto"/>
          <w:vertAlign w:val="superscript"/>
        </w:rPr>
      </w:pPr>
    </w:p>
    <w:p>
      <w:pPr>
        <w:ind w:left="340" w:hanging="332"/>
        <w:spacing w:after="0" w:line="227" w:lineRule="auto"/>
        <w:tabs>
          <w:tab w:leader="none" w:pos="34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Subsequent to the end of the third quarter of 2016, $51.8 million of these vacation ownership notes receivable were purchased by the MVW Owner Trust 2016-1 (the “2016-1 Trust”) in accordance with the terms of the securitization transaction completed in the third quarter of 2016. Refer to Footnote No. 9, “Debt,” for discussion of the terms of this securitization transaction and the purchase of additional vacation ownership notes receivable by the 2016-1 Trust.</w:t>
      </w:r>
    </w:p>
    <w:p>
      <w:pPr>
        <w:spacing w:after="0" w:line="205" w:lineRule="exact"/>
        <w:rPr>
          <w:sz w:val="20"/>
          <w:szCs w:val="20"/>
          <w:color w:val="auto"/>
        </w:rPr>
      </w:pPr>
    </w:p>
    <w:p>
      <w:pPr>
        <w:ind w:right="360" w:firstLine="878"/>
        <w:spacing w:after="0" w:line="277" w:lineRule="auto"/>
        <w:rPr>
          <w:sz w:val="20"/>
          <w:szCs w:val="20"/>
          <w:color w:val="auto"/>
        </w:rPr>
      </w:pPr>
      <w:r>
        <w:rPr>
          <w:rFonts w:ascii="Arial" w:cs="Arial" w:eastAsia="Arial" w:hAnsi="Arial"/>
          <w:sz w:val="18"/>
          <w:szCs w:val="18"/>
          <w:color w:val="auto"/>
        </w:rPr>
        <w:t>The following tables show future principal payments, net of reserves, as well as interest rates for our non-securitized and securitized vacation ownership notes receivable at September 9,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Non-Securitized Vacation</w:t>
            </w: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Securitized Vacation</w:t>
            </w: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Ownership Notes</w:t>
            </w:r>
          </w:p>
        </w:tc>
        <w:tc>
          <w:tcPr>
            <w:tcW w:w="180" w:type="dxa"/>
            <w:vAlign w:val="bottom"/>
          </w:tcPr>
          <w:p>
            <w:pPr>
              <w:spacing w:after="0"/>
              <w:rPr>
                <w:sz w:val="12"/>
                <w:szCs w:val="12"/>
                <w:color w:val="auto"/>
              </w:rPr>
            </w:pPr>
          </w:p>
        </w:tc>
        <w:tc>
          <w:tcPr>
            <w:tcW w:w="16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Ownership Notes</w:t>
            </w:r>
          </w:p>
        </w:tc>
        <w:tc>
          <w:tcPr>
            <w:tcW w:w="220" w:type="dxa"/>
            <w:vAlign w:val="bottom"/>
          </w:tcPr>
          <w:p>
            <w:pPr>
              <w:spacing w:after="0"/>
              <w:rPr>
                <w:sz w:val="12"/>
                <w:szCs w:val="12"/>
                <w:color w:val="auto"/>
              </w:rPr>
            </w:pPr>
          </w:p>
        </w:tc>
        <w:tc>
          <w:tcPr>
            <w:tcW w:w="1480" w:type="dxa"/>
            <w:vAlign w:val="bottom"/>
            <w:vMerge w:val="restart"/>
          </w:tcPr>
          <w:p>
            <w:pPr>
              <w:jc w:val="center"/>
              <w:ind w:right="132"/>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92"/>
        </w:trPr>
        <w:tc>
          <w:tcPr>
            <w:tcW w:w="60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20" w:type="dxa"/>
            <w:vAlign w:val="bottom"/>
          </w:tcPr>
          <w:p>
            <w:pPr>
              <w:spacing w:after="0"/>
              <w:rPr>
                <w:sz w:val="16"/>
                <w:szCs w:val="16"/>
                <w:color w:val="auto"/>
              </w:rPr>
            </w:pPr>
          </w:p>
        </w:tc>
        <w:tc>
          <w:tcPr>
            <w:tcW w:w="16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Receivable</w:t>
            </w:r>
          </w:p>
        </w:tc>
        <w:tc>
          <w:tcPr>
            <w:tcW w:w="180" w:type="dxa"/>
            <w:vAlign w:val="bottom"/>
          </w:tcPr>
          <w:p>
            <w:pPr>
              <w:spacing w:after="0"/>
              <w:rPr>
                <w:sz w:val="16"/>
                <w:szCs w:val="16"/>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Receivable</w:t>
            </w:r>
          </w:p>
        </w:tc>
        <w:tc>
          <w:tcPr>
            <w:tcW w:w="2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33,392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50,308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37,607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98,446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136,053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26,170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90,147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116,317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19,367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83,664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103,031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16,007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82,638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98,645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81,205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34"/>
              <w:spacing w:after="0"/>
              <w:rPr>
                <w:sz w:val="20"/>
                <w:szCs w:val="20"/>
                <w:color w:val="auto"/>
              </w:rPr>
            </w:pPr>
            <w:r>
              <w:rPr>
                <w:rFonts w:ascii="Arial" w:cs="Arial" w:eastAsia="Arial" w:hAnsi="Arial"/>
                <w:sz w:val="18"/>
                <w:szCs w:val="18"/>
                <w:color w:val="auto"/>
              </w:rPr>
              <w:t>341,789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422,994</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9, 2016</w:t>
            </w: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197,272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730,076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927,348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stated interest rate</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center"/>
              <w:ind w:right="133"/>
              <w:spacing w:after="0"/>
              <w:rPr>
                <w:sz w:val="20"/>
                <w:szCs w:val="20"/>
                <w:color w:val="auto"/>
              </w:rPr>
            </w:pPr>
            <w:r>
              <w:rPr>
                <w:rFonts w:ascii="Arial" w:cs="Arial" w:eastAsia="Arial" w:hAnsi="Arial"/>
                <w:sz w:val="18"/>
                <w:szCs w:val="18"/>
                <w:color w:val="auto"/>
                <w:w w:val="90"/>
              </w:rPr>
              <w:t>11.6%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center"/>
              <w:ind w:right="94"/>
              <w:spacing w:after="0"/>
              <w:rPr>
                <w:sz w:val="20"/>
                <w:szCs w:val="20"/>
                <w:color w:val="auto"/>
              </w:rPr>
            </w:pPr>
            <w:r>
              <w:rPr>
                <w:rFonts w:ascii="Arial" w:cs="Arial" w:eastAsia="Arial" w:hAnsi="Arial"/>
                <w:sz w:val="18"/>
                <w:szCs w:val="18"/>
                <w:color w:val="auto"/>
                <w:w w:val="93"/>
              </w:rPr>
              <w:t>12.7%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center"/>
              <w:ind w:right="132"/>
              <w:spacing w:after="0"/>
              <w:rPr>
                <w:sz w:val="20"/>
                <w:szCs w:val="20"/>
                <w:color w:val="auto"/>
              </w:rPr>
            </w:pPr>
            <w:r>
              <w:rPr>
                <w:rFonts w:ascii="Arial" w:cs="Arial" w:eastAsia="Arial" w:hAnsi="Arial"/>
                <w:sz w:val="18"/>
                <w:szCs w:val="18"/>
                <w:color w:val="auto"/>
                <w:w w:val="90"/>
              </w:rPr>
              <w:t>12.5%</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Range of stated interest rates</w:t>
            </w:r>
          </w:p>
        </w:tc>
        <w:tc>
          <w:tcPr>
            <w:tcW w:w="22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0"/>
              </w:rPr>
              <w:t>0.0% to 19.5%</w:t>
            </w:r>
          </w:p>
        </w:tc>
        <w:tc>
          <w:tcPr>
            <w:tcW w:w="1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2"/>
              </w:rPr>
              <w:t>4.9% to 19.5%</w:t>
            </w:r>
          </w:p>
        </w:tc>
        <w:tc>
          <w:tcPr>
            <w:tcW w:w="220" w:type="dxa"/>
            <w:vAlign w:val="bottom"/>
            <w:shd w:val="clear" w:color="auto" w:fill="CCEEFF"/>
          </w:tcPr>
          <w:p>
            <w:pPr>
              <w:spacing w:after="0"/>
              <w:rPr>
                <w:sz w:val="21"/>
                <w:szCs w:val="21"/>
                <w:color w:val="auto"/>
              </w:rPr>
            </w:pPr>
          </w:p>
        </w:tc>
        <w:tc>
          <w:tcPr>
            <w:tcW w:w="1480" w:type="dxa"/>
            <w:vAlign w:val="bottom"/>
            <w:shd w:val="clear" w:color="auto" w:fill="CCEEFF"/>
          </w:tcPr>
          <w:p>
            <w:pPr>
              <w:jc w:val="center"/>
              <w:ind w:right="132"/>
              <w:spacing w:after="0"/>
              <w:rPr>
                <w:sz w:val="20"/>
                <w:szCs w:val="20"/>
                <w:color w:val="auto"/>
              </w:rPr>
            </w:pPr>
            <w:r>
              <w:rPr>
                <w:rFonts w:ascii="Arial" w:cs="Arial" w:eastAsia="Arial" w:hAnsi="Arial"/>
                <w:sz w:val="18"/>
                <w:szCs w:val="18"/>
                <w:color w:val="auto"/>
                <w:w w:val="90"/>
              </w:rPr>
              <w:t>0.0% to 19.5%</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reflect interest income associated with vacation ownership notes receivable in our Statements of Income in the Financing revenues caption.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interest income associated with vacation ownership notes receivable:</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9, 2016</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11, 2015</w:t>
            </w:r>
          </w:p>
        </w:tc>
        <w:tc>
          <w:tcPr>
            <w:tcW w:w="16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9, 2016</w:t>
            </w:r>
          </w:p>
        </w:tc>
        <w:tc>
          <w:tcPr>
            <w:tcW w:w="140" w:type="dxa"/>
            <w:vAlign w:val="bottom"/>
          </w:tcPr>
          <w:p>
            <w:pPr>
              <w:spacing w:after="0"/>
              <w:rPr>
                <w:sz w:val="22"/>
                <w:szCs w:val="22"/>
                <w:color w:val="auto"/>
              </w:rPr>
            </w:pPr>
          </w:p>
        </w:tc>
        <w:tc>
          <w:tcPr>
            <w:tcW w:w="134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September 11, 2015</w:t>
            </w:r>
          </w:p>
        </w:tc>
        <w:tc>
          <w:tcPr>
            <w:tcW w:w="0" w:type="dxa"/>
            <w:vAlign w:val="bottom"/>
          </w:tcPr>
          <w:p>
            <w:pPr>
              <w:spacing w:after="0"/>
              <w:rPr>
                <w:sz w:val="1"/>
                <w:szCs w:val="1"/>
                <w:color w:val="auto"/>
              </w:rPr>
            </w:pPr>
          </w:p>
        </w:tc>
      </w:tr>
      <w:tr>
        <w:trPr>
          <w:trHeight w:val="21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Interest income associated with vacation ownership notes receivable</w:t>
            </w: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securitized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22,908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65,300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59,992</w:t>
            </w:r>
          </w:p>
        </w:tc>
        <w:tc>
          <w:tcPr>
            <w:tcW w:w="0" w:type="dxa"/>
            <w:vAlign w:val="bottom"/>
          </w:tcPr>
          <w:p>
            <w:pPr>
              <w:spacing w:after="0"/>
              <w:rPr>
                <w:sz w:val="1"/>
                <w:szCs w:val="1"/>
                <w:color w:val="auto"/>
              </w:rPr>
            </w:pP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w w:val="93"/>
              </w:rPr>
              <w:t>Interest income associated with vacation ownership notes receivable</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40"/>
              <w:spacing w:after="0"/>
              <w:rPr>
                <w:sz w:val="20"/>
                <w:szCs w:val="20"/>
                <w:color w:val="auto"/>
              </w:rPr>
            </w:pPr>
            <w:r>
              <w:rPr>
                <w:rFonts w:ascii="Arial" w:cs="Arial" w:eastAsia="Arial" w:hAnsi="Arial"/>
                <w:sz w:val="18"/>
                <w:szCs w:val="18"/>
                <w:color w:val="auto"/>
              </w:rPr>
              <w:t>— non-securitized</w:t>
            </w:r>
          </w:p>
        </w:tc>
        <w:tc>
          <w:tcPr>
            <w:tcW w:w="140" w:type="dxa"/>
            <w:vAlign w:val="bottom"/>
          </w:tcPr>
          <w:p>
            <w:pPr>
              <w:spacing w:after="0"/>
              <w:rPr>
                <w:sz w:val="20"/>
                <w:szCs w:val="20"/>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4,795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6,921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17,430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21,428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interest income associated with vacation ownership notes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color w:val="auto"/>
              </w:rPr>
              <w:t>27,703</w:t>
            </w:r>
          </w:p>
        </w:tc>
        <w:tc>
          <w:tcPr>
            <w:tcW w:w="12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26,926</w:t>
            </w:r>
          </w:p>
        </w:tc>
        <w:tc>
          <w:tcPr>
            <w:tcW w:w="100" w:type="dxa"/>
            <w:vAlign w:val="bottom"/>
            <w:shd w:val="clear" w:color="auto" w:fill="CCEEFF"/>
          </w:tcPr>
          <w:p>
            <w:pPr>
              <w:spacing w:after="0"/>
              <w:rPr>
                <w:sz w:val="18"/>
                <w:szCs w:val="18"/>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82,730</w:t>
            </w:r>
          </w:p>
        </w:tc>
        <w:tc>
          <w:tcPr>
            <w:tcW w:w="100" w:type="dxa"/>
            <w:vAlign w:val="bottom"/>
            <w:shd w:val="clear" w:color="auto" w:fill="CCEEFF"/>
          </w:tcPr>
          <w:p>
            <w:pPr>
              <w:spacing w:after="0"/>
              <w:rPr>
                <w:sz w:val="18"/>
                <w:szCs w:val="18"/>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81,420</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3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816"/>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878"/>
        <w:spacing w:after="0" w:line="272" w:lineRule="auto"/>
        <w:rPr>
          <w:sz w:val="20"/>
          <w:szCs w:val="20"/>
          <w:color w:val="auto"/>
        </w:rPr>
      </w:pPr>
      <w:r>
        <w:rPr>
          <w:rFonts w:ascii="Arial" w:cs="Arial" w:eastAsia="Arial" w:hAnsi="Arial"/>
          <w:sz w:val="17"/>
          <w:szCs w:val="17"/>
          <w:color w:val="auto"/>
        </w:rPr>
        <w:t>We record an estimate of expected uncollectibility on all notes receivable from vacation ownership purchasers as a reduction of revenues from the sale of vacation ownership products at the time we recognize profit on a vacation ownership product sale. We fully reserve for all defaulted vacation ownership notes receivable in addition to recording a reserve on the estimated uncollectible portion of the remaining vacation ownership notes receivable. For those vacation ownership notes receivable that are not in default, we assess collectibility based on pools of vacation ownership notes receivable because we hold large numbers of homogeneous vacation ownership notes receivable. We use the same criteria to estimate uncollectibility for non-securitized vacation ownership notes receivable and securitized vacation ownership notes receivable because they perform similarly. We estimate uncollectibility for each pool based on historical activity for similar vacation ownership notes receivable.</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summarizes the activity related to our vacation ownership notes receivable reserve for the thirty-six weeks ended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Non-Securitized</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Securitized Vacation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Ownership Notes</w:t>
            </w: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Notes Receivable</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Receivable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103,239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Provision for loan losses</w:t>
            </w:r>
          </w:p>
        </w:tc>
        <w:tc>
          <w:tcPr>
            <w:tcW w:w="140" w:type="dxa"/>
            <w:vAlign w:val="bottom"/>
          </w:tcPr>
          <w:p>
            <w:pPr>
              <w:spacing w:after="0"/>
              <w:rPr>
                <w:sz w:val="21"/>
                <w:szCs w:val="21"/>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17,564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14,293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31,857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Securitizations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6740" w:type="dxa"/>
            <w:vAlign w:val="bottom"/>
          </w:tcPr>
          <w:p>
            <w:pPr>
              <w:ind w:left="40"/>
              <w:spacing w:after="0"/>
              <w:rPr>
                <w:sz w:val="20"/>
                <w:szCs w:val="20"/>
                <w:color w:val="auto"/>
              </w:rPr>
            </w:pPr>
            <w:r>
              <w:rPr>
                <w:rFonts w:ascii="Arial" w:cs="Arial" w:eastAsia="Arial" w:hAnsi="Arial"/>
                <w:sz w:val="18"/>
                <w:szCs w:val="18"/>
                <w:color w:val="auto"/>
              </w:rPr>
              <w:t>Clean-up of Warehouse Credit Facility</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10,496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(10,496)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Write-offs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(29,253)</w:t>
            </w: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Defaulted vacation ownership notes receivable repurchase activity</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22,686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(22,686)</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9,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52,413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53,430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105,843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120" w:hanging="332"/>
        <w:spacing w:after="0" w:line="211" w:lineRule="auto"/>
        <w:tabs>
          <w:tab w:leader="none" w:pos="34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Refers to our voluntary repurchase of previously securitized non-defaulted vacation ownership notes receivable from our non-recourse warehouse credit facility (the “Warehouse Credit Facility”).</w:t>
      </w:r>
    </w:p>
    <w:p>
      <w:pPr>
        <w:spacing w:after="0" w:line="1" w:lineRule="exact"/>
        <w:rPr>
          <w:rFonts w:ascii="Arial" w:cs="Arial" w:eastAsia="Arial" w:hAnsi="Arial"/>
          <w:sz w:val="25"/>
          <w:szCs w:val="25"/>
          <w:color w:val="auto"/>
          <w:vertAlign w:val="superscript"/>
        </w:rPr>
      </w:pPr>
    </w:p>
    <w:p>
      <w:pPr>
        <w:ind w:left="340" w:right="360" w:hanging="332"/>
        <w:spacing w:after="0" w:line="237" w:lineRule="auto"/>
        <w:tabs>
          <w:tab w:leader="none" w:pos="340"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Decrease in securitized vacation ownership notes receivable reserve and increase in non-securitized vacation ownership notes receivable reserve was attributable to the transfer of the reserve when we voluntarily repurchased defaulted securitized vacation ownership notes receivable.</w:t>
      </w:r>
    </w:p>
    <w:p>
      <w:pPr>
        <w:spacing w:after="0" w:line="202" w:lineRule="exact"/>
        <w:rPr>
          <w:sz w:val="20"/>
          <w:szCs w:val="20"/>
          <w:color w:val="auto"/>
        </w:rPr>
      </w:pPr>
    </w:p>
    <w:p>
      <w:pPr>
        <w:ind w:right="80" w:firstLine="878"/>
        <w:spacing w:after="0" w:line="270" w:lineRule="auto"/>
        <w:rPr>
          <w:sz w:val="20"/>
          <w:szCs w:val="20"/>
          <w:color w:val="auto"/>
        </w:rPr>
      </w:pPr>
      <w:r>
        <w:rPr>
          <w:rFonts w:ascii="Arial" w:cs="Arial" w:eastAsia="Arial" w:hAnsi="Arial"/>
          <w:sz w:val="17"/>
          <w:szCs w:val="17"/>
          <w:color w:val="auto"/>
        </w:rPr>
        <w:t>Although we consider loans to owners to be past due if we do not receive payment within 30 days of the due date, we suspend accrual of interest only on those loans that are over 90 days past due. We consider loans over 150 days past due to be in default. We apply payments we receive for vacation ownership notes receivable on non-accrual status first to interest, then to principal and any remainder to fees. We resume accruing interest when vacation ownership notes receivable are less than 90 days past due. We do not accept payments for vacation ownership notes receivable during the foreclosure process unless the amount is sufficient to pay all past due principal, interest, fees and penalties owed and fully reinstate the note. We write off uncollectible vacation ownership notes receivable against the reserve once we receive title to the vacation ownership products through the foreclosure or deed-in-lieu process or, in Europe or Asia Pacific, when revocation is complete. For both non-securitized and securitized vacation ownership notes receivable, we estimated average remaining default rates of 7.02 percent and 6.92 percent as of September 9, 2016 and January 1, 2016, respectively. A 0.5 percentage point increase in the estimated default rate would have resulted in an increase in our allowance for loan losses of $4.8 million and $4.7 million as of September 9, 2016 and January 1, 2016,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20" w:firstLine="878"/>
        <w:spacing w:after="0" w:line="277" w:lineRule="auto"/>
        <w:rPr>
          <w:sz w:val="20"/>
          <w:szCs w:val="20"/>
          <w:color w:val="auto"/>
        </w:rPr>
      </w:pPr>
      <w:r>
        <w:rPr>
          <w:rFonts w:ascii="Arial" w:cs="Arial" w:eastAsia="Arial" w:hAnsi="Arial"/>
          <w:sz w:val="18"/>
          <w:szCs w:val="18"/>
          <w:color w:val="auto"/>
        </w:rPr>
        <w:t>The following table shows our recorded investment in non-accrual vacation ownership notes receivable, which are vacation ownership notes receivable that are 90 days or more past due:</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Non-Securitized</w:t>
            </w:r>
          </w:p>
        </w:tc>
        <w:tc>
          <w:tcPr>
            <w:tcW w:w="1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Securitized Vacation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Ownership Notes</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Notes Receivable</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Receivable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Investment in vacation ownership notes receivable on non-accrual status at September 9,</w:t>
            </w:r>
          </w:p>
        </w:tc>
        <w:tc>
          <w:tcPr>
            <w:tcW w:w="14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45,828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51,703</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1"/>
              </w:rPr>
              <w:t>Investment in vacation ownership notes receivable on non-accrual status at January 1, 2016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46,024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8,717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54,741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Average investment in vacation ownership notes receivable on non-accrual status during the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twelve weeks ended September 9,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47,038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8,278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55,316</w:t>
            </w:r>
          </w:p>
        </w:tc>
        <w:tc>
          <w:tcPr>
            <w:tcW w:w="0" w:type="dxa"/>
            <w:vAlign w:val="bottom"/>
          </w:tcPr>
          <w:p>
            <w:pPr>
              <w:spacing w:after="0"/>
              <w:rPr>
                <w:sz w:val="1"/>
                <w:szCs w:val="1"/>
                <w:color w:val="auto"/>
              </w:rPr>
            </w:pP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0"/>
              </w:rPr>
              <w:t>Average investment in vacation ownership notes receivable on non-accrual status during the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twelve weeks ended September 11, 2015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53,778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6,879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60,657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Average investment in vacation ownership notes receivable on non-accrual status during the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thirty-six weeks ended September 9,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45,926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7,296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53,222</w:t>
            </w:r>
          </w:p>
        </w:tc>
        <w:tc>
          <w:tcPr>
            <w:tcW w:w="0" w:type="dxa"/>
            <w:vAlign w:val="bottom"/>
          </w:tcPr>
          <w:p>
            <w:pPr>
              <w:spacing w:after="0"/>
              <w:rPr>
                <w:sz w:val="1"/>
                <w:szCs w:val="1"/>
                <w:color w:val="auto"/>
              </w:rPr>
            </w:pP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0"/>
              </w:rPr>
              <w:t>Average investment in vacation ownership notes receivable on non-accrual status during the</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thirty-six weeks ended September 11, 2015</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56,397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6,570</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62,967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Non-Securitized</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Securitized Vacation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4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Ownership Notes</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Notes Receivable</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Receivable</w:t>
            </w:r>
          </w:p>
        </w:tc>
        <w:tc>
          <w:tcPr>
            <w:tcW w:w="3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31</w:t>
            </w:r>
          </w:p>
        </w:tc>
        <w:tc>
          <w:tcPr>
            <w:tcW w:w="65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90 days past due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23,867</w:t>
            </w:r>
          </w:p>
        </w:tc>
        <w:tc>
          <w:tcPr>
            <w:tcW w:w="0" w:type="dxa"/>
            <w:vAlign w:val="bottom"/>
          </w:tcPr>
          <w:p>
            <w:pPr>
              <w:spacing w:after="0"/>
              <w:rPr>
                <w:sz w:val="1"/>
                <w:szCs w:val="1"/>
                <w:color w:val="auto"/>
              </w:rPr>
            </w:pPr>
          </w:p>
        </w:tc>
      </w:tr>
      <w:tr>
        <w:trPr>
          <w:trHeight w:val="243"/>
        </w:trPr>
        <w:tc>
          <w:tcPr>
            <w:tcW w:w="240" w:type="dxa"/>
            <w:vAlign w:val="bottom"/>
          </w:tcPr>
          <w:p>
            <w:pPr>
              <w:ind w:left="40"/>
              <w:spacing w:after="0"/>
              <w:rPr>
                <w:sz w:val="20"/>
                <w:szCs w:val="20"/>
                <w:color w:val="auto"/>
              </w:rPr>
            </w:pPr>
            <w:r>
              <w:rPr>
                <w:rFonts w:ascii="Arial" w:cs="Arial" w:eastAsia="Arial" w:hAnsi="Arial"/>
                <w:sz w:val="18"/>
                <w:szCs w:val="18"/>
                <w:color w:val="auto"/>
                <w:w w:val="89"/>
              </w:rPr>
              <w:t>91</w:t>
            </w:r>
          </w:p>
        </w:tc>
        <w:tc>
          <w:tcPr>
            <w:tcW w:w="6500" w:type="dxa"/>
            <w:vAlign w:val="bottom"/>
          </w:tcPr>
          <w:p>
            <w:pPr>
              <w:ind w:left="20"/>
              <w:spacing w:after="0"/>
              <w:rPr>
                <w:sz w:val="20"/>
                <w:szCs w:val="20"/>
                <w:color w:val="auto"/>
              </w:rPr>
            </w:pPr>
            <w:r>
              <w:rPr>
                <w:rFonts w:ascii="Arial" w:cs="Arial" w:eastAsia="Arial" w:hAnsi="Arial"/>
                <w:sz w:val="18"/>
                <w:szCs w:val="18"/>
                <w:color w:val="auto"/>
              </w:rPr>
              <w:t>– 150 days past due</w:t>
            </w:r>
          </w:p>
        </w:tc>
        <w:tc>
          <w:tcPr>
            <w:tcW w:w="14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4,122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9,419</w:t>
            </w:r>
          </w:p>
        </w:tc>
        <w:tc>
          <w:tcPr>
            <w:tcW w:w="0" w:type="dxa"/>
            <w:vAlign w:val="bottom"/>
          </w:tcPr>
          <w:p>
            <w:pPr>
              <w:spacing w:after="0"/>
              <w:rPr>
                <w:sz w:val="1"/>
                <w:szCs w:val="1"/>
                <w:color w:val="auto"/>
              </w:rPr>
            </w:pPr>
          </w:p>
        </w:tc>
      </w:tr>
      <w:tr>
        <w:trPr>
          <w:trHeight w:val="27"/>
        </w:trPr>
        <w:tc>
          <w:tcPr>
            <w:tcW w:w="6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41,706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42,284</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past due</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54,888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20,682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75,570</w:t>
            </w:r>
          </w:p>
        </w:tc>
        <w:tc>
          <w:tcPr>
            <w:tcW w:w="0" w:type="dxa"/>
            <w:vAlign w:val="bottom"/>
          </w:tcPr>
          <w:p>
            <w:pPr>
              <w:spacing w:after="0"/>
              <w:rPr>
                <w:sz w:val="1"/>
                <w:szCs w:val="1"/>
                <w:color w:val="auto"/>
              </w:rPr>
            </w:pPr>
          </w:p>
        </w:tc>
      </w:tr>
      <w:tr>
        <w:trPr>
          <w:trHeight w:val="27"/>
        </w:trPr>
        <w:tc>
          <w:tcPr>
            <w:tcW w:w="67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194,797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762,824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957,621</w:t>
            </w:r>
          </w:p>
        </w:tc>
        <w:tc>
          <w:tcPr>
            <w:tcW w:w="0" w:type="dxa"/>
            <w:vAlign w:val="bottom"/>
          </w:tcPr>
          <w:p>
            <w:pPr>
              <w:spacing w:after="0"/>
              <w:rPr>
                <w:sz w:val="1"/>
                <w:szCs w:val="1"/>
                <w:color w:val="auto"/>
              </w:rPr>
            </w:pPr>
          </w:p>
        </w:tc>
      </w:tr>
      <w:tr>
        <w:trPr>
          <w:trHeight w:val="237"/>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249,685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783,506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1,033,191</w:t>
            </w:r>
          </w:p>
        </w:tc>
        <w:tc>
          <w:tcPr>
            <w:tcW w:w="0" w:type="dxa"/>
            <w:vAlign w:val="bottom"/>
          </w:tcPr>
          <w:p>
            <w:pPr>
              <w:spacing w:after="0"/>
              <w:rPr>
                <w:sz w:val="1"/>
                <w:szCs w:val="1"/>
                <w:color w:val="auto"/>
              </w:rPr>
            </w:pPr>
          </w:p>
        </w:tc>
      </w:tr>
      <w:tr>
        <w:trPr>
          <w:trHeight w:val="27"/>
        </w:trPr>
        <w:tc>
          <w:tcPr>
            <w:tcW w:w="24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shows the aging of the recorded investment in principal, before reserves, in vacation ownership notes receivable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1, 2016:</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Non-Securitized</w:t>
            </w: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Securitized Vacation</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Vacation Ownership</w:t>
            </w:r>
          </w:p>
        </w:tc>
        <w:tc>
          <w:tcPr>
            <w:tcW w:w="160" w:type="dxa"/>
            <w:vAlign w:val="bottom"/>
          </w:tcPr>
          <w:p>
            <w:pPr>
              <w:spacing w:after="0"/>
              <w:rPr>
                <w:sz w:val="12"/>
                <w:szCs w:val="12"/>
                <w:color w:val="auto"/>
              </w:rPr>
            </w:pPr>
          </w:p>
        </w:tc>
        <w:tc>
          <w:tcPr>
            <w:tcW w:w="14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Ownership Notes</w:t>
            </w:r>
          </w:p>
        </w:tc>
        <w:tc>
          <w:tcPr>
            <w:tcW w:w="360" w:type="dxa"/>
            <w:vAlign w:val="bottom"/>
          </w:tcPr>
          <w:p>
            <w:pPr>
              <w:spacing w:after="0"/>
              <w:rPr>
                <w:sz w:val="12"/>
                <w:szCs w:val="12"/>
                <w:color w:val="auto"/>
              </w:rPr>
            </w:pPr>
          </w:p>
        </w:tc>
        <w:tc>
          <w:tcPr>
            <w:tcW w:w="1120" w:type="dxa"/>
            <w:vAlign w:val="bottom"/>
            <w:vMerge w:val="restart"/>
          </w:tcPr>
          <w:p>
            <w:pPr>
              <w:jc w:val="right"/>
              <w:ind w:right="4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Notes Receivable</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Receivable</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31 – 90 days past due</w:t>
            </w:r>
          </w:p>
        </w:tc>
        <w:tc>
          <w:tcPr>
            <w:tcW w:w="2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31,094</w:t>
            </w:r>
          </w:p>
        </w:tc>
        <w:tc>
          <w:tcPr>
            <w:tcW w:w="0" w:type="dxa"/>
            <w:vAlign w:val="bottom"/>
          </w:tcPr>
          <w:p>
            <w:pPr>
              <w:spacing w:after="0"/>
              <w:rPr>
                <w:sz w:val="1"/>
                <w:szCs w:val="1"/>
                <w:color w:val="auto"/>
              </w:rPr>
            </w:pP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91 – 150 days past due</w:t>
            </w:r>
          </w:p>
        </w:tc>
        <w:tc>
          <w:tcPr>
            <w:tcW w:w="2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36"/>
              <w:spacing w:after="0"/>
              <w:rPr>
                <w:sz w:val="20"/>
                <w:szCs w:val="20"/>
                <w:color w:val="auto"/>
              </w:rPr>
            </w:pPr>
            <w:r>
              <w:rPr>
                <w:rFonts w:ascii="Arial" w:cs="Arial" w:eastAsia="Arial" w:hAnsi="Arial"/>
                <w:sz w:val="18"/>
                <w:szCs w:val="18"/>
                <w:color w:val="auto"/>
              </w:rPr>
              <w:t>4,731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8,590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13,321</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Greater than 150 days past due</w:t>
            </w:r>
          </w:p>
        </w:tc>
        <w:tc>
          <w:tcPr>
            <w:tcW w:w="2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41,293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41,420</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Total past due</w:t>
            </w:r>
          </w:p>
        </w:tc>
        <w:tc>
          <w:tcPr>
            <w:tcW w:w="24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56,005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29,830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85,835</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4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251,031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687,004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938,035</w:t>
            </w:r>
          </w:p>
        </w:tc>
        <w:tc>
          <w:tcPr>
            <w:tcW w:w="0" w:type="dxa"/>
            <w:vAlign w:val="bottom"/>
          </w:tcPr>
          <w:p>
            <w:pPr>
              <w:spacing w:after="0"/>
              <w:rPr>
                <w:sz w:val="1"/>
                <w:szCs w:val="1"/>
                <w:color w:val="auto"/>
              </w:rPr>
            </w:pPr>
          </w:p>
        </w:tc>
      </w:tr>
      <w:tr>
        <w:trPr>
          <w:trHeight w:val="237"/>
        </w:trPr>
        <w:tc>
          <w:tcPr>
            <w:tcW w:w="4340" w:type="dxa"/>
            <w:vAlign w:val="bottom"/>
          </w:tcPr>
          <w:p>
            <w:pPr>
              <w:ind w:left="40"/>
              <w:spacing w:after="0"/>
              <w:rPr>
                <w:sz w:val="20"/>
                <w:szCs w:val="20"/>
                <w:color w:val="auto"/>
              </w:rPr>
            </w:pPr>
            <w:r>
              <w:rPr>
                <w:rFonts w:ascii="Arial" w:cs="Arial" w:eastAsia="Arial" w:hAnsi="Arial"/>
                <w:sz w:val="18"/>
                <w:szCs w:val="18"/>
                <w:color w:val="auto"/>
              </w:rPr>
              <w:t>Total vacation ownership notes receivable</w:t>
            </w:r>
          </w:p>
        </w:tc>
        <w:tc>
          <w:tcPr>
            <w:tcW w:w="24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307,036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716,834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1,023,870</w:t>
            </w:r>
          </w:p>
        </w:tc>
        <w:tc>
          <w:tcPr>
            <w:tcW w:w="0" w:type="dxa"/>
            <w:vAlign w:val="bottom"/>
          </w:tcPr>
          <w:p>
            <w:pPr>
              <w:spacing w:after="0"/>
              <w:rPr>
                <w:sz w:val="1"/>
                <w:szCs w:val="1"/>
                <w:color w:val="auto"/>
              </w:rPr>
            </w:pPr>
          </w:p>
        </w:tc>
      </w:tr>
      <w:tr>
        <w:trPr>
          <w:trHeight w:val="27"/>
        </w:trPr>
        <w:tc>
          <w:tcPr>
            <w:tcW w:w="4340" w:type="dxa"/>
            <w:vAlign w:val="bottom"/>
          </w:tcPr>
          <w:p>
            <w:pPr>
              <w:spacing w:after="0"/>
              <w:rPr>
                <w:sz w:val="2"/>
                <w:szCs w:val="2"/>
                <w:color w:val="auto"/>
              </w:rPr>
            </w:pPr>
          </w:p>
        </w:tc>
        <w:tc>
          <w:tcPr>
            <w:tcW w:w="2400" w:type="dxa"/>
            <w:vAlign w:val="bottom"/>
            <w:vMerge w:val="restart"/>
          </w:tcPr>
          <w:p>
            <w:pPr>
              <w:jc w:val="right"/>
              <w:ind w:right="850"/>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34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FINANCIAL INSTRUMENTS</w:t>
      </w:r>
    </w:p>
    <w:p>
      <w:pPr>
        <w:spacing w:after="0" w:line="229" w:lineRule="exact"/>
        <w:rPr>
          <w:sz w:val="20"/>
          <w:szCs w:val="20"/>
          <w:color w:val="auto"/>
        </w:rPr>
      </w:pPr>
    </w:p>
    <w:p>
      <w:pPr>
        <w:ind w:right="60" w:firstLine="878"/>
        <w:spacing w:after="0" w:line="255" w:lineRule="auto"/>
        <w:rPr>
          <w:sz w:val="20"/>
          <w:szCs w:val="20"/>
          <w:color w:val="auto"/>
        </w:rPr>
      </w:pPr>
      <w:r>
        <w:rPr>
          <w:rFonts w:ascii="Arial" w:cs="Arial" w:eastAsia="Arial" w:hAnsi="Arial"/>
          <w:sz w:val="18"/>
          <w:szCs w:val="18"/>
          <w:color w:val="auto"/>
        </w:rPr>
        <w:t>The following table shows the carrying values and the estimated fair values of financial assets and liabilities that qualify as financial instruments, determined in accordance with the authoritative guidance for disclosures regarding the fair value of financial instruments. Considerable judgment is required in interpreting market data to develop estimates of fair value. The use of different market assumptions and/or estimation methodologies could have a material effect on the estimated fair value amounts. The table excludes Cash and cash equivalents, Restricted cash, Accounts and contracts receivable, Accounts payable, Advance deposits, and Accrued liabilities, all of which had fair values approximating their carrying amounts due to the short maturities and liquidity of these instruments.</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At September 9, 2016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At January 1, 2016</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320" w:type="dxa"/>
            <w:vAlign w:val="bottom"/>
          </w:tcPr>
          <w:p>
            <w:pPr>
              <w:spacing w:after="0"/>
              <w:rPr>
                <w:sz w:val="13"/>
                <w:szCs w:val="13"/>
                <w:color w:val="auto"/>
              </w:rPr>
            </w:pPr>
          </w:p>
        </w:tc>
        <w:tc>
          <w:tcPr>
            <w:tcW w:w="126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3"/>
                <w:szCs w:val="13"/>
                <w:color w:val="auto"/>
              </w:rPr>
            </w:pPr>
          </w:p>
        </w:tc>
        <w:tc>
          <w:tcPr>
            <w:tcW w:w="1160" w:type="dxa"/>
            <w:vAlign w:val="bottom"/>
          </w:tcPr>
          <w:p>
            <w:pPr>
              <w:jc w:val="right"/>
              <w:ind w:right="51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Value</w:t>
            </w:r>
            <w:r>
              <w:rPr>
                <w:rFonts w:ascii="Arial" w:cs="Arial" w:eastAsia="Arial" w:hAnsi="Arial"/>
                <w:sz w:val="8"/>
                <w:szCs w:val="8"/>
                <w:b w:val="1"/>
                <w:bCs w:val="1"/>
                <w:color w:val="auto"/>
                <w:w w:val="93"/>
              </w:rPr>
              <w:t>(1)</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6"/>
                <w:szCs w:val="16"/>
                <w:color w:val="auto"/>
              </w:rPr>
            </w:pPr>
          </w:p>
        </w:tc>
        <w:tc>
          <w:tcPr>
            <w:tcW w:w="1160" w:type="dxa"/>
            <w:vAlign w:val="bottom"/>
          </w:tcPr>
          <w:p>
            <w:pPr>
              <w:jc w:val="right"/>
              <w:ind w:right="434"/>
              <w:spacing w:after="0"/>
              <w:rPr>
                <w:sz w:val="20"/>
                <w:szCs w:val="20"/>
                <w:color w:val="auto"/>
              </w:rPr>
            </w:pPr>
            <w:r>
              <w:rPr>
                <w:rFonts w:ascii="Arial" w:cs="Arial" w:eastAsia="Arial" w:hAnsi="Arial"/>
                <w:sz w:val="14"/>
                <w:szCs w:val="14"/>
                <w:b w:val="1"/>
                <w:bCs w:val="1"/>
                <w:color w:val="auto"/>
              </w:rPr>
              <w:t>Value</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Securitized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730,076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857,688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669,179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803,533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Non-securitized</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197,272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206,868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251,452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274,799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financial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927,348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1,064,556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920,631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1,078,332</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51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rPr>
              <w:t>Non-recourse debt associated with vacation ownership notes</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receivable securitizations, gross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(806,716)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(747,872)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(684,604)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(677,595)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debt, gross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(3,496)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Mandatorily redeemable preferred stock of consolidated subsidiary,</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w:t>
            </w:r>
          </w:p>
        </w:tc>
        <w:tc>
          <w:tcPr>
            <w:tcW w:w="2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(42,258)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financial liabilities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(850,175)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(791,520)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(732,615)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(727,864)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Fair value of financial instruments has been determined using Level 3 inputs.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Vacation Ownership Notes Receivable</w:t>
      </w:r>
    </w:p>
    <w:p>
      <w:pPr>
        <w:spacing w:after="0" w:line="225" w:lineRule="exact"/>
        <w:rPr>
          <w:sz w:val="20"/>
          <w:szCs w:val="20"/>
          <w:color w:val="auto"/>
        </w:rPr>
      </w:pPr>
    </w:p>
    <w:p>
      <w:pPr>
        <w:ind w:right="220" w:firstLine="878"/>
        <w:spacing w:after="0" w:line="279" w:lineRule="auto"/>
        <w:rPr>
          <w:sz w:val="20"/>
          <w:szCs w:val="20"/>
          <w:color w:val="auto"/>
        </w:rPr>
      </w:pPr>
      <w:r>
        <w:rPr>
          <w:rFonts w:ascii="Arial" w:cs="Arial" w:eastAsia="Arial" w:hAnsi="Arial"/>
          <w:sz w:val="17"/>
          <w:szCs w:val="17"/>
          <w:color w:val="auto"/>
        </w:rPr>
        <w:t>We estimate the fair value of our securitized vacation ownership notes receivable using a discounted cash flow model. We believe this is comparable to the model that an independent third party would use in the current market. Our model uses default rates, prepayment rates, coupon rates and loan terms for our securitized vacation ownership notes receivable portfolio as key drivers of risk and relative value that, when applied in combination with pricing parameters, determine the fair value of the underlying vacation ownership notes receivable.</w:t>
      </w:r>
    </w:p>
    <w:p>
      <w:pPr>
        <w:spacing w:after="0" w:line="171" w:lineRule="exact"/>
        <w:rPr>
          <w:sz w:val="20"/>
          <w:szCs w:val="20"/>
          <w:color w:val="auto"/>
        </w:rPr>
      </w:pPr>
    </w:p>
    <w:p>
      <w:pPr>
        <w:ind w:right="80" w:firstLine="878"/>
        <w:spacing w:after="0" w:line="255" w:lineRule="auto"/>
        <w:rPr>
          <w:sz w:val="20"/>
          <w:szCs w:val="20"/>
          <w:color w:val="auto"/>
        </w:rPr>
      </w:pPr>
      <w:r>
        <w:rPr>
          <w:rFonts w:ascii="Arial" w:cs="Arial" w:eastAsia="Arial" w:hAnsi="Arial"/>
          <w:sz w:val="18"/>
          <w:szCs w:val="18"/>
          <w:color w:val="auto"/>
        </w:rPr>
        <w:t>Due to factors that impact the general marketability of our non-securitized vacation ownership notes receivable, as well as current market conditions, we bifurcate our vacation ownership notes receivable at each balance sheet date into those eligible and not eligible for securitization using criteria applicable to current securitization transactions in the asset-backed securities (“ABS”) market. Generally, vacation ownership notes receivable are considered not eligible for securitization if any of the following attributes are present: (1) payments are greater than 30 days past due; (2) the first payment has not been received; or (3) the collateral is located in Europe or Asia. In some cases, eligibility may also be determined based on the credit score of the borrower, the remaining term of the loans and other similar factors that may reflect investor demand in a securitization transaction or the cost to effectively securitize the vacation ownership notes receivable.</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80" w:firstLine="878"/>
        <w:spacing w:after="0" w:line="277" w:lineRule="auto"/>
        <w:rPr>
          <w:sz w:val="20"/>
          <w:szCs w:val="20"/>
          <w:color w:val="auto"/>
        </w:rPr>
      </w:pPr>
      <w:r>
        <w:rPr>
          <w:rFonts w:ascii="Arial" w:cs="Arial" w:eastAsia="Arial" w:hAnsi="Arial"/>
          <w:sz w:val="18"/>
          <w:szCs w:val="18"/>
          <w:color w:val="auto"/>
        </w:rPr>
        <w:t>The following table shows the bifurcation of our non-securitized vacation ownership notes receivable into those eligible and not eligible for securitization based upon the aforementioned eligibility criteria: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797"/>
              <w:spacing w:after="0"/>
              <w:rPr>
                <w:sz w:val="20"/>
                <w:szCs w:val="20"/>
                <w:color w:val="auto"/>
              </w:rPr>
            </w:pPr>
            <w:r>
              <w:rPr>
                <w:rFonts w:ascii="Arial" w:cs="Arial" w:eastAsia="Arial" w:hAnsi="Arial"/>
                <w:sz w:val="14"/>
                <w:szCs w:val="14"/>
                <w:b w:val="1"/>
                <w:bCs w:val="1"/>
                <w:color w:val="auto"/>
              </w:rPr>
              <w:t>At September 9, 2016</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At January 1, 2016</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rPr>
              <w:t>Carrying</w:t>
            </w:r>
          </w:p>
        </w:tc>
        <w:tc>
          <w:tcPr>
            <w:tcW w:w="340" w:type="dxa"/>
            <w:vAlign w:val="bottom"/>
          </w:tcPr>
          <w:p>
            <w:pPr>
              <w:spacing w:after="0"/>
              <w:rPr>
                <w:sz w:val="13"/>
                <w:szCs w:val="13"/>
                <w:color w:val="auto"/>
              </w:rPr>
            </w:pPr>
          </w:p>
        </w:tc>
        <w:tc>
          <w:tcPr>
            <w:tcW w:w="124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3"/>
                <w:szCs w:val="13"/>
                <w:color w:val="auto"/>
              </w:rPr>
            </w:pPr>
          </w:p>
        </w:tc>
        <w:tc>
          <w:tcPr>
            <w:tcW w:w="12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7"/>
              </w:rPr>
              <w:t>Carrying</w:t>
            </w:r>
          </w:p>
        </w:tc>
        <w:tc>
          <w:tcPr>
            <w:tcW w:w="560" w:type="dxa"/>
            <w:vAlign w:val="bottom"/>
          </w:tcPr>
          <w:p>
            <w:pPr>
              <w:spacing w:after="0"/>
              <w:rPr>
                <w:sz w:val="13"/>
                <w:szCs w:val="13"/>
                <w:color w:val="auto"/>
              </w:rPr>
            </w:pPr>
          </w:p>
        </w:tc>
        <w:tc>
          <w:tcPr>
            <w:tcW w:w="920" w:type="dxa"/>
            <w:vAlign w:val="bottom"/>
          </w:tcPr>
          <w:p>
            <w:pPr>
              <w:jc w:val="right"/>
              <w:ind w:right="517"/>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80" w:type="dxa"/>
            <w:vAlign w:val="bottom"/>
          </w:tcPr>
          <w:p>
            <w:pPr>
              <w:spacing w:after="0"/>
              <w:rPr>
                <w:sz w:val="16"/>
                <w:szCs w:val="16"/>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Value</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Amount</w:t>
            </w:r>
          </w:p>
        </w:tc>
        <w:tc>
          <w:tcPr>
            <w:tcW w:w="560" w:type="dxa"/>
            <w:vAlign w:val="bottom"/>
          </w:tcPr>
          <w:p>
            <w:pPr>
              <w:spacing w:after="0"/>
              <w:rPr>
                <w:sz w:val="16"/>
                <w:szCs w:val="16"/>
                <w:color w:val="auto"/>
              </w:rPr>
            </w:pPr>
          </w:p>
        </w:tc>
        <w:tc>
          <w:tcPr>
            <w:tcW w:w="920" w:type="dxa"/>
            <w:vAlign w:val="bottom"/>
          </w:tcPr>
          <w:p>
            <w:pPr>
              <w:jc w:val="right"/>
              <w:ind w:right="477"/>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160" w:type="dxa"/>
            <w:vAlign w:val="bottom"/>
          </w:tcPr>
          <w:p>
            <w:pPr>
              <w:ind w:left="280"/>
              <w:spacing w:after="0"/>
              <w:rPr>
                <w:sz w:val="20"/>
                <w:szCs w:val="20"/>
                <w:color w:val="auto"/>
              </w:rPr>
            </w:pPr>
            <w:r>
              <w:rPr>
                <w:rFonts w:ascii="Arial" w:cs="Arial" w:eastAsia="Arial" w:hAnsi="Arial"/>
                <w:sz w:val="18"/>
                <w:szCs w:val="18"/>
                <w:color w:val="auto"/>
              </w:rPr>
              <w:t>Eligible for securitization</w:t>
            </w:r>
            <w:r>
              <w:rPr>
                <w:rFonts w:ascii="Arial" w:cs="Arial" w:eastAsia="Arial" w:hAnsi="Arial"/>
                <w:sz w:val="18"/>
                <w:szCs w:val="18"/>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58,376</w:t>
            </w:r>
          </w:p>
        </w:tc>
        <w:tc>
          <w:tcPr>
            <w:tcW w:w="120" w:type="dxa"/>
            <w:vAlign w:val="bottom"/>
          </w:tcPr>
          <w:p>
            <w:pPr>
              <w:spacing w:after="0"/>
              <w:rPr>
                <w:sz w:val="22"/>
                <w:szCs w:val="22"/>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7"/>
              <w:spacing w:after="0"/>
              <w:rPr>
                <w:sz w:val="20"/>
                <w:szCs w:val="20"/>
                <w:color w:val="auto"/>
              </w:rPr>
            </w:pPr>
            <w:r>
              <w:rPr>
                <w:rFonts w:ascii="Arial" w:cs="Arial" w:eastAsia="Arial" w:hAnsi="Arial"/>
                <w:sz w:val="18"/>
                <w:szCs w:val="18"/>
                <w:color w:val="auto"/>
              </w:rPr>
              <w:t>67,972</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104,671</w:t>
            </w:r>
          </w:p>
        </w:tc>
        <w:tc>
          <w:tcPr>
            <w:tcW w:w="100" w:type="dxa"/>
            <w:vAlign w:val="bottom"/>
          </w:tcPr>
          <w:p>
            <w:pPr>
              <w:spacing w:after="0"/>
              <w:rPr>
                <w:sz w:val="22"/>
                <w:szCs w:val="22"/>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128,018</w:t>
            </w:r>
          </w:p>
        </w:tc>
        <w:tc>
          <w:tcPr>
            <w:tcW w:w="0" w:type="dxa"/>
            <w:vAlign w:val="bottom"/>
          </w:tcPr>
          <w:p>
            <w:pPr>
              <w:spacing w:after="0"/>
              <w:rPr>
                <w:sz w:val="1"/>
                <w:szCs w:val="1"/>
                <w:color w:val="auto"/>
              </w:rPr>
            </w:pPr>
          </w:p>
        </w:tc>
      </w:tr>
      <w:tr>
        <w:trPr>
          <w:trHeight w:val="278"/>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eligible for securitization</w:t>
            </w:r>
          </w:p>
        </w:tc>
        <w:tc>
          <w:tcPr>
            <w:tcW w:w="280" w:type="dxa"/>
            <w:vAlign w:val="bottom"/>
            <w:tcBorders>
              <w:bottom w:val="single" w:sz="8" w:color="CCEEFF"/>
            </w:tcBorders>
            <w:shd w:val="clear" w:color="auto" w:fill="CCEEFF"/>
          </w:tcPr>
          <w:p>
            <w:pPr>
              <w:spacing w:after="0"/>
              <w:rPr>
                <w:sz w:val="24"/>
                <w:szCs w:val="24"/>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138,896</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138,896</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146,781</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146,781</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non-securitized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197,272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206,868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251,452</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274,799</w:t>
            </w:r>
          </w:p>
        </w:tc>
        <w:tc>
          <w:tcPr>
            <w:tcW w:w="0" w:type="dxa"/>
            <w:vAlign w:val="bottom"/>
          </w:tcPr>
          <w:p>
            <w:pPr>
              <w:spacing w:after="0"/>
              <w:rPr>
                <w:sz w:val="1"/>
                <w:szCs w:val="1"/>
                <w:color w:val="auto"/>
              </w:rPr>
            </w:pPr>
          </w:p>
        </w:tc>
      </w:tr>
      <w:tr>
        <w:trPr>
          <w:trHeight w:val="27"/>
        </w:trPr>
        <w:tc>
          <w:tcPr>
            <w:tcW w:w="51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160" w:hanging="332"/>
        <w:spacing w:after="0" w:line="234" w:lineRule="auto"/>
        <w:tabs>
          <w:tab w:leader="none" w:pos="340" w:val="left"/>
        </w:tabs>
        <w:numPr>
          <w:ilvl w:val="0"/>
          <w:numId w:val="6"/>
        </w:numPr>
        <w:rPr>
          <w:rFonts w:ascii="Arial" w:cs="Arial" w:eastAsia="Arial" w:hAnsi="Arial"/>
          <w:sz w:val="24"/>
          <w:szCs w:val="24"/>
          <w:color w:val="auto"/>
          <w:vertAlign w:val="superscript"/>
        </w:rPr>
      </w:pPr>
      <w:r>
        <w:rPr>
          <w:rFonts w:ascii="Arial" w:cs="Arial" w:eastAsia="Arial" w:hAnsi="Arial"/>
          <w:sz w:val="17"/>
          <w:szCs w:val="17"/>
          <w:color w:val="auto"/>
        </w:rPr>
        <w:t>Subsequent to the end of the third quarter of 2016, $51.8 million of these vacation ownership notes receivable were purchased by the 2016-1 Trust in accordance with the terms of the securitization transaction completed in the third quarter of 2016. Refer to Footnote No. 9, “Debt,” for discussion of the terms of this securitization transaction and the purchase of additional vacation ownership notes receivable by the 2016-1 Trust.</w:t>
      </w:r>
    </w:p>
    <w:p>
      <w:pPr>
        <w:spacing w:after="0" w:line="204" w:lineRule="exact"/>
        <w:rPr>
          <w:sz w:val="20"/>
          <w:szCs w:val="20"/>
          <w:color w:val="auto"/>
        </w:rPr>
      </w:pPr>
    </w:p>
    <w:p>
      <w:pPr>
        <w:ind w:right="40" w:firstLine="878"/>
        <w:spacing w:after="0" w:line="276" w:lineRule="auto"/>
        <w:rPr>
          <w:sz w:val="20"/>
          <w:szCs w:val="20"/>
          <w:color w:val="auto"/>
        </w:rPr>
      </w:pPr>
      <w:r>
        <w:rPr>
          <w:rFonts w:ascii="Arial" w:cs="Arial" w:eastAsia="Arial" w:hAnsi="Arial"/>
          <w:sz w:val="17"/>
          <w:szCs w:val="17"/>
          <w:color w:val="auto"/>
        </w:rPr>
        <w:t>We estimate the fair value of the portion of our non-securitized vacation ownership notes receivable that we believe will ultimately be securitized in the same manner as securitized vacation ownership notes receivable. We value the remaining non-securitized vacation ownership notes receivable at their carrying value, rather than using our pricing model. We believe that the carrying value of these particular vacation ownership notes receivable approximates fair value because the stated interest rates of these loans are consistent with current market rates and the reserve for these vacation ownership notes receivable appropriately accounts for risks in default rates, prepayment rates, discount rates and loan terms.</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Non-Recourse Debt Associated with Securitized Vacation Ownership Notes Receivable, Gross</w:t>
      </w:r>
    </w:p>
    <w:p>
      <w:pPr>
        <w:spacing w:after="0" w:line="225" w:lineRule="exact"/>
        <w:rPr>
          <w:sz w:val="20"/>
          <w:szCs w:val="20"/>
          <w:color w:val="auto"/>
        </w:rPr>
      </w:pPr>
    </w:p>
    <w:p>
      <w:pPr>
        <w:ind w:right="80" w:firstLine="878"/>
        <w:spacing w:after="0" w:line="255" w:lineRule="auto"/>
        <w:rPr>
          <w:sz w:val="20"/>
          <w:szCs w:val="20"/>
          <w:color w:val="auto"/>
        </w:rPr>
      </w:pPr>
      <w:r>
        <w:rPr>
          <w:rFonts w:ascii="Arial" w:cs="Arial" w:eastAsia="Arial" w:hAnsi="Arial"/>
          <w:sz w:val="18"/>
          <w:szCs w:val="18"/>
          <w:color w:val="auto"/>
        </w:rPr>
        <w:t>We generate cash flow estimates by modeling all bond tranches for our active vacation ownership notes receivable securitization transactions, with consideration for the collateral specific to each tranche. The key drivers in our analysis include default rates, prepayment rates, bond interest rates and other structural factors, which we use to estimate the projected cash flows. In order to estimate market credit spreads by rating, we obtain indicative credit spreads from investment banks that actively issue and facilitate the market for vacation ownership securities and determine an average credit spread by rating level of the different tranches. We then apply those estimated market spreads to swap rates in order to estimate an underlying discount rate for calculating the fair value of the active bonds payable.</w:t>
      </w:r>
    </w:p>
    <w:p>
      <w:pPr>
        <w:spacing w:after="0" w:line="193" w:lineRule="exact"/>
        <w:rPr>
          <w:sz w:val="20"/>
          <w:szCs w:val="20"/>
          <w:color w:val="auto"/>
        </w:rPr>
      </w:pPr>
    </w:p>
    <w:p>
      <w:pPr>
        <w:ind w:left="900"/>
        <w:spacing w:after="0"/>
        <w:rPr>
          <w:sz w:val="20"/>
          <w:szCs w:val="20"/>
          <w:color w:val="auto"/>
        </w:rPr>
      </w:pPr>
      <w:r>
        <w:rPr>
          <w:rFonts w:ascii="Arial" w:cs="Arial" w:eastAsia="Arial" w:hAnsi="Arial"/>
          <w:sz w:val="18"/>
          <w:szCs w:val="18"/>
          <w:i w:val="1"/>
          <w:iCs w:val="1"/>
          <w:color w:val="auto"/>
        </w:rPr>
        <w:t>Mandatorily Redeemable Preferred Stock of Consolidated Subsidiary, Gross</w:t>
      </w:r>
    </w:p>
    <w:p>
      <w:pPr>
        <w:spacing w:after="0" w:line="225" w:lineRule="exact"/>
        <w:rPr>
          <w:sz w:val="20"/>
          <w:szCs w:val="20"/>
          <w:color w:val="auto"/>
        </w:rPr>
      </w:pPr>
    </w:p>
    <w:p>
      <w:pPr>
        <w:ind w:right="60" w:firstLine="878"/>
        <w:spacing w:after="0" w:line="257" w:lineRule="auto"/>
        <w:rPr>
          <w:sz w:val="20"/>
          <w:szCs w:val="20"/>
          <w:color w:val="auto"/>
        </w:rPr>
      </w:pPr>
      <w:r>
        <w:rPr>
          <w:rFonts w:ascii="Arial" w:cs="Arial" w:eastAsia="Arial" w:hAnsi="Arial"/>
          <w:sz w:val="18"/>
          <w:szCs w:val="18"/>
          <w:color w:val="auto"/>
        </w:rPr>
        <w:t>We estimate the fair value of the mandatorily redeemable preferred stock of our consolidated subsidiary using a discounted cash flow model. We believe this is comparable to the model that an independent third party would use in the current market. Our model includes an assessment of our subsidiary’s credit risk and the instrument’s contractual dividend rate. Additionally, the estimated fair value at September 9, 2016 assumes a redemption date of October 26, 2016. Refer to Footnote 10, “Mandatorily Redeemable Preferred Stock of Consolidated Subsidiary,” for discussion of the planned redemption of the mandatorily redeemable preferred stock of our consolidated subsidiary.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 AND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Miami Beach, Florida</w:t>
      </w:r>
    </w:p>
    <w:p>
      <w:pPr>
        <w:spacing w:after="0" w:line="225" w:lineRule="exact"/>
        <w:rPr>
          <w:sz w:val="20"/>
          <w:szCs w:val="20"/>
          <w:color w:val="auto"/>
        </w:rPr>
      </w:pPr>
    </w:p>
    <w:p>
      <w:pPr>
        <w:ind w:right="60" w:firstLine="878"/>
        <w:spacing w:after="0" w:line="276" w:lineRule="auto"/>
        <w:rPr>
          <w:sz w:val="20"/>
          <w:szCs w:val="20"/>
          <w:color w:val="auto"/>
        </w:rPr>
      </w:pPr>
      <w:r>
        <w:rPr>
          <w:rFonts w:ascii="Arial" w:cs="Arial" w:eastAsia="Arial" w:hAnsi="Arial"/>
          <w:sz w:val="17"/>
          <w:szCs w:val="17"/>
          <w:color w:val="auto"/>
        </w:rPr>
        <w:t>During the first quarter of 2016, we completed the acquisition of an operating property located in the South Beach area of Miami Beach, Florida, for $23.5 million. The acquisition was treated as a business combination, accounted for using the acquisition method of accounting and included within Operating activities on our Cash Flows and presented as Inventory. As consideration for the acquisition, we paid $23.5 million in cash; the value of the acquired property was allocated to inventory. We rebranded this property as Marriott Vacation Club Pulse, South Beach and intend to convert this property, in its entirety, into vacation ownership interests for future use in our Marriott Vacation Club Destinations</w:t>
      </w:r>
      <w:r>
        <w:rPr>
          <w:rFonts w:ascii="Arial" w:cs="Arial" w:eastAsia="Arial" w:hAnsi="Arial"/>
          <w:sz w:val="15"/>
          <w:szCs w:val="15"/>
          <w:color w:val="auto"/>
        </w:rPr>
        <w:t>™</w:t>
      </w:r>
      <w:r>
        <w:rPr>
          <w:rFonts w:ascii="Arial" w:cs="Arial" w:eastAsia="Arial" w:hAnsi="Arial"/>
          <w:sz w:val="17"/>
          <w:szCs w:val="17"/>
          <w:color w:val="auto"/>
        </w:rPr>
        <w:t xml:space="preserve"> (“MVCD”) program.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Washington, D.C.</w:t>
      </w:r>
    </w:p>
    <w:p>
      <w:pPr>
        <w:spacing w:after="0" w:line="225" w:lineRule="exact"/>
        <w:rPr>
          <w:sz w:val="20"/>
          <w:szCs w:val="20"/>
          <w:color w:val="auto"/>
        </w:rPr>
      </w:pPr>
    </w:p>
    <w:p>
      <w:pPr>
        <w:ind w:right="200" w:firstLine="891"/>
        <w:spacing w:after="0" w:line="264" w:lineRule="auto"/>
        <w:rPr>
          <w:sz w:val="20"/>
          <w:szCs w:val="20"/>
          <w:color w:val="auto"/>
        </w:rPr>
      </w:pPr>
      <w:r>
        <w:rPr>
          <w:rFonts w:ascii="Arial" w:cs="Arial" w:eastAsia="Arial" w:hAnsi="Arial"/>
          <w:sz w:val="18"/>
          <w:szCs w:val="18"/>
          <w:color w:val="auto"/>
        </w:rPr>
        <w:t>During the third quarter of 2015, we completed the acquisition of 71 units at The Mayflower Hotel, Autograph Collection, an operating hotel located in Washington, D.C., for $32.0 million. The asset acquisition was treated as a purchase of inventory and we have included these vacation ownership units, in their current form, in our MVCD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Diego, California</w:t>
      </w:r>
    </w:p>
    <w:p>
      <w:pPr>
        <w:spacing w:after="0" w:line="225" w:lineRule="exact"/>
        <w:rPr>
          <w:sz w:val="20"/>
          <w:szCs w:val="20"/>
          <w:color w:val="auto"/>
        </w:rPr>
      </w:pPr>
    </w:p>
    <w:p>
      <w:pPr>
        <w:ind w:firstLine="878"/>
        <w:spacing w:after="0" w:line="288" w:lineRule="auto"/>
        <w:rPr>
          <w:sz w:val="20"/>
          <w:szCs w:val="20"/>
          <w:color w:val="auto"/>
        </w:rPr>
      </w:pPr>
      <w:r>
        <w:rPr>
          <w:rFonts w:ascii="Arial" w:cs="Arial" w:eastAsia="Arial" w:hAnsi="Arial"/>
          <w:sz w:val="16"/>
          <w:szCs w:val="16"/>
          <w:color w:val="auto"/>
        </w:rPr>
        <w:t>During the first quarter of 2015, we completed the acquisition of an operating property located in San Diego, California, for $55.0 million. The acquisition was treated as a business combination and accounted for using the acquisition method of accounting. As consideration for the acquisition, we paid $55.0 million in cash, which was allocated based on the fair value at the date of acquisition as follows: $54.3 million to property and equipment and $0.7 million to other assets. Fair value was determined using an independent appraisal, which was primarily based on a discounted cash flow model, a Level 3 fair value input. We rebranded this property as Marriott Vacation Club Pulse, San Diego and intend to convert this property, in its entirety, into vacation ownership interests for future use in our MVCD program. In order to ensure consistency with the expected related future cash flow presentation, $46.6 million of the cash purchase price allocated to property and equipment was included as an operating activity in the Purchase of operating property for future conversion to inventory line on our Cash Flows for the thirty-six weeks ended September 11, 2015. The remaining $7.7 million was included as an investing activity in the Capital expenditures for property and equipment line on our Cash Flows for the thirty-six weeks ended September 11, 2015, as it was allocated to assets to be used prior to conversion of the property into vacation ownership interests, as well as ancillary and sales center assets to be retained after the conversion.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Surfers Paradise, Australia</w:t>
      </w:r>
    </w:p>
    <w:p>
      <w:pPr>
        <w:spacing w:after="0" w:line="225" w:lineRule="exact"/>
        <w:rPr>
          <w:sz w:val="20"/>
          <w:szCs w:val="20"/>
          <w:color w:val="auto"/>
        </w:rPr>
      </w:pPr>
    </w:p>
    <w:p>
      <w:pPr>
        <w:ind w:right="60" w:firstLine="878"/>
        <w:spacing w:after="0" w:line="271" w:lineRule="auto"/>
        <w:rPr>
          <w:sz w:val="20"/>
          <w:szCs w:val="20"/>
          <w:color w:val="auto"/>
        </w:rPr>
      </w:pPr>
      <w:r>
        <w:rPr>
          <w:rFonts w:ascii="Arial" w:cs="Arial" w:eastAsia="Arial" w:hAnsi="Arial"/>
          <w:sz w:val="17"/>
          <w:szCs w:val="17"/>
          <w:color w:val="auto"/>
        </w:rPr>
        <w:t>During the third quarter of 2015, we purchased an operating property located in Surfers Paradise, Australia. We converted a portion of this hotel into vacation ownership inventory, a portion of which has been contributed to our new Marriott Vacation Club Destinations, Australia program. During the second quarter of 2016, we disposed of the portion of this operating property that we did not intend to convert to vacation ownership inventory for gross cash proceeds of AUD $70.5 million ($50.9 million). We accounted for the sale under the full accrual method in accordance with the authoritative guidance on accounting for sales of real estate. As part of the disposition, we guaranteed the net operating income of the hotel through 2021 up to a specified maximum of AUD $2.9 million ($2.1 million), which has been recorded as a deferred gain in the Other line within liabilities on the Balance Sheet. We recognized a loss, inclusive of the deferred gain, of AUD $1.4 million ($1.0 million) in connection with the sale, which was recorded in the Gains and other income line on the Statements of Income for the thirty-six weeks ended September 9, 2016.</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Francisco, California</w:t>
      </w:r>
    </w:p>
    <w:p>
      <w:pPr>
        <w:spacing w:after="0" w:line="225" w:lineRule="exact"/>
        <w:rPr>
          <w:sz w:val="20"/>
          <w:szCs w:val="20"/>
          <w:color w:val="auto"/>
        </w:rPr>
      </w:pPr>
    </w:p>
    <w:p>
      <w:pPr>
        <w:ind w:right="100" w:firstLine="878"/>
        <w:spacing w:after="0" w:line="259" w:lineRule="auto"/>
        <w:rPr>
          <w:sz w:val="20"/>
          <w:szCs w:val="20"/>
          <w:color w:val="auto"/>
        </w:rPr>
      </w:pPr>
      <w:r>
        <w:rPr>
          <w:rFonts w:ascii="Arial" w:cs="Arial" w:eastAsia="Arial" w:hAnsi="Arial"/>
          <w:sz w:val="18"/>
          <w:szCs w:val="18"/>
          <w:color w:val="auto"/>
        </w:rPr>
        <w:t>During the second quarter of 2016, we disposed of 19 residential units, located at The Ritz-Carlton Club and Residences, San Francisco (the “RCC San Francisco”) for gross cash proceeds of $19.5 million. We accounted for the sale under the full accrual method in accordance with the authoritative guidance on accounting for sales of real estate and recorded a gain of $10.5 million in the Gains and other income line on our Statements of Income for the thirty-six weeks ended September 9, 2016.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Marco Island, Florida</w:t>
      </w:r>
    </w:p>
    <w:p>
      <w:pPr>
        <w:spacing w:after="0" w:line="225" w:lineRule="exact"/>
        <w:rPr>
          <w:sz w:val="20"/>
          <w:szCs w:val="20"/>
          <w:color w:val="auto"/>
        </w:rPr>
      </w:pPr>
    </w:p>
    <w:p>
      <w:pPr>
        <w:ind w:right="60" w:firstLine="878"/>
        <w:spacing w:after="0" w:line="264" w:lineRule="auto"/>
        <w:rPr>
          <w:sz w:val="20"/>
          <w:szCs w:val="20"/>
          <w:color w:val="auto"/>
        </w:rPr>
      </w:pPr>
      <w:r>
        <w:rPr>
          <w:rFonts w:ascii="Arial" w:cs="Arial" w:eastAsia="Arial" w:hAnsi="Arial"/>
          <w:sz w:val="18"/>
          <w:szCs w:val="18"/>
          <w:color w:val="auto"/>
        </w:rPr>
        <w:t>During the first quarter of 2015, we sold real property located in Marco Island, Florida, consisting of $3.1 million of vacation ownership inventory, to a third-party developer. We received consideration consisting of $5.4 million of cash and a note receivable of $0.5 million. We did not recognize any gain or loss on this transaction.</w:t>
      </w:r>
    </w:p>
    <w:p>
      <w:pPr>
        <w:spacing w:after="0" w:line="181" w:lineRule="exact"/>
        <w:rPr>
          <w:sz w:val="20"/>
          <w:szCs w:val="20"/>
          <w:color w:val="auto"/>
        </w:rPr>
      </w:pPr>
    </w:p>
    <w:p>
      <w:pPr>
        <w:ind w:right="40" w:firstLine="878"/>
        <w:spacing w:after="0" w:line="273" w:lineRule="auto"/>
        <w:rPr>
          <w:sz w:val="20"/>
          <w:szCs w:val="20"/>
          <w:color w:val="auto"/>
        </w:rPr>
      </w:pPr>
      <w:r>
        <w:rPr>
          <w:rFonts w:ascii="Arial" w:cs="Arial" w:eastAsia="Arial" w:hAnsi="Arial"/>
          <w:sz w:val="17"/>
          <w:szCs w:val="17"/>
          <w:color w:val="auto"/>
        </w:rPr>
        <w:t>In accordance with our agreement with the third-party developer, we are obligated to repurchase the completed property from the developer contingent upon the property meeting our brand standards, provided that the third-party developer has not sold the property to another party. In accordance with the authoritative guidance on accounting for sales of real estate, our conditional obligation to repurchase the property constitutes continuing involvement and thus we were unable to account for this transaction as a sale. The property was sold to a variable interest entity for which we are not the primary beneficiary as we do not control the variable interest entity’s development activities and cannot prevent the variable interest entity from selling the property at a higher price. Accordingly, we have not consolidated the variable interest entity.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September 9, 2016, our Balance Sheet reflected $9.0 million of Other liabilities that relate to the deferral of gain recognition for this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transaction, which will reduce our basis in the asset if we repurchase the property. In addition, the note receivable of $0.5 million and other receivables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$0.2 million are included in the Accounts and contracts receivable line on the Balance Sheet as of September 9, 2016. The cash consideration received for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sale of the real property is included in Proceeds from vacation ownership inventory arrangements on our Cash Flows for the thirty-six weeks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September 11, 2015. We believe that our maximum exposure to loss as a result of our involvement with this variable interest entity is our interest in the note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receivable and the other receivables discussed above as of September 9,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EARNINGS PER SHARE</w:t>
      </w:r>
    </w:p>
    <w:p>
      <w:pPr>
        <w:spacing w:after="0" w:line="229" w:lineRule="exact"/>
        <w:rPr>
          <w:sz w:val="20"/>
          <w:szCs w:val="20"/>
          <w:color w:val="auto"/>
        </w:rPr>
      </w:pPr>
    </w:p>
    <w:p>
      <w:pPr>
        <w:ind w:firstLine="878"/>
        <w:spacing w:after="0" w:line="257" w:lineRule="auto"/>
        <w:rPr>
          <w:sz w:val="20"/>
          <w:szCs w:val="20"/>
          <w:color w:val="auto"/>
        </w:rPr>
      </w:pPr>
      <w:r>
        <w:rPr>
          <w:rFonts w:ascii="Arial" w:cs="Arial" w:eastAsia="Arial" w:hAnsi="Arial"/>
          <w:sz w:val="18"/>
          <w:szCs w:val="18"/>
          <w:color w:val="auto"/>
        </w:rPr>
        <w:t>Basic earnings per common share is calculated by dividing net income attributable to common shareholders by the weighted average number of shares of common stock outstanding during the reporting period. Treasury stock is excluded from the weighted average number of shares of common stock outstanding. Diluted earnings per common share is calculated to give effect to all potentially dilutive common shares that were outstanding during the reporting period. The dilutive effect of outstanding equity-based compensation awards is reflected in diluted earnings per common share by application of the treasury stock method using average market prices during the period.</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table below illustrates the reconciliation of the earnings and number of shares used in our calculation of basic and diluted earnings per share.</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14"/>
                <w:szCs w:val="14"/>
                <w:b w:val="1"/>
                <w:bCs w:val="1"/>
                <w:color w:val="auto"/>
              </w:rPr>
              <w:t>Twelve Weeks Ended</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Thirty-Six Weeks Ended</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120" w:type="dxa"/>
            <w:vAlign w:val="bottom"/>
          </w:tcPr>
          <w:p>
            <w:pPr>
              <w:spacing w:after="0"/>
              <w:rPr>
                <w:sz w:val="22"/>
                <w:szCs w:val="22"/>
                <w:color w:val="auto"/>
              </w:rPr>
            </w:pPr>
          </w:p>
        </w:tc>
        <w:tc>
          <w:tcPr>
            <w:tcW w:w="148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9, 2016</w:t>
            </w:r>
            <w:r>
              <w:rPr>
                <w:rFonts w:ascii="Arial" w:cs="Arial" w:eastAsia="Arial" w:hAnsi="Arial"/>
                <w:sz w:val="8"/>
                <w:szCs w:val="8"/>
                <w:b w:val="1"/>
                <w:bCs w:val="1"/>
                <w:color w:val="auto"/>
              </w:rPr>
              <w:t>(1)</w:t>
            </w: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11, 2015</w:t>
            </w:r>
            <w:r>
              <w:rPr>
                <w:rFonts w:ascii="Arial" w:cs="Arial" w:eastAsia="Arial" w:hAnsi="Arial"/>
                <w:sz w:val="8"/>
                <w:szCs w:val="8"/>
                <w:b w:val="1"/>
                <w:bCs w:val="1"/>
                <w:color w:val="auto"/>
              </w:rPr>
              <w:t>(2)</w:t>
            </w:r>
          </w:p>
        </w:tc>
        <w:tc>
          <w:tcPr>
            <w:tcW w:w="12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9, 2016</w:t>
            </w:r>
            <w:r>
              <w:rPr>
                <w:rFonts w:ascii="Arial" w:cs="Arial" w:eastAsia="Arial" w:hAnsi="Arial"/>
                <w:sz w:val="8"/>
                <w:szCs w:val="8"/>
                <w:b w:val="1"/>
                <w:bCs w:val="1"/>
                <w:color w:val="auto"/>
              </w:rPr>
              <w:t>(1)</w:t>
            </w:r>
          </w:p>
        </w:tc>
        <w:tc>
          <w:tcPr>
            <w:tcW w:w="14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6"/>
              </w:rPr>
              <w:t>September 11, 2015</w:t>
            </w:r>
            <w:r>
              <w:rPr>
                <w:rFonts w:ascii="Arial" w:cs="Arial" w:eastAsia="Arial" w:hAnsi="Arial"/>
                <w:sz w:val="8"/>
                <w:szCs w:val="8"/>
                <w:b w:val="1"/>
                <w:bCs w:val="1"/>
                <w:color w:val="auto"/>
                <w:w w:val="96"/>
              </w:rPr>
              <w:t>(2)</w:t>
            </w: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Computation of Basic Earnings Per Share</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26,807</w:t>
            </w:r>
          </w:p>
        </w:tc>
        <w:tc>
          <w:tcPr>
            <w:tcW w:w="100" w:type="dxa"/>
            <w:vAlign w:val="bottom"/>
          </w:tcPr>
          <w:p>
            <w:pPr>
              <w:spacing w:after="0"/>
              <w:rPr>
                <w:sz w:val="21"/>
                <w:szCs w:val="21"/>
                <w:color w:val="auto"/>
              </w:rPr>
            </w:pPr>
          </w:p>
        </w:tc>
        <w:tc>
          <w:tcPr>
            <w:tcW w:w="740" w:type="dxa"/>
            <w:vAlign w:val="bottom"/>
          </w:tcPr>
          <w:p>
            <w:pPr>
              <w:jc w:val="right"/>
              <w:ind w:right="53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21,555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87,524</w:t>
            </w:r>
          </w:p>
        </w:tc>
        <w:tc>
          <w:tcPr>
            <w:tcW w:w="100" w:type="dxa"/>
            <w:vAlign w:val="bottom"/>
          </w:tcPr>
          <w:p>
            <w:pPr>
              <w:spacing w:after="0"/>
              <w:rPr>
                <w:sz w:val="21"/>
                <w:szCs w:val="21"/>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89,650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27,152</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31,455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28,207</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31,870</w:t>
            </w: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8"/>
                <w:szCs w:val="18"/>
                <w:color w:val="auto"/>
              </w:rPr>
              <w:t>Basic earnings per share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67"/>
        </w:trPr>
        <w:tc>
          <w:tcPr>
            <w:tcW w:w="5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Computation of Diluted Earnings Per Share</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26,807</w:t>
            </w:r>
          </w:p>
        </w:tc>
        <w:tc>
          <w:tcPr>
            <w:tcW w:w="100" w:type="dxa"/>
            <w:vAlign w:val="bottom"/>
          </w:tcPr>
          <w:p>
            <w:pPr>
              <w:spacing w:after="0"/>
              <w:rPr>
                <w:sz w:val="21"/>
                <w:szCs w:val="21"/>
                <w:color w:val="auto"/>
              </w:rPr>
            </w:pPr>
          </w:p>
        </w:tc>
        <w:tc>
          <w:tcPr>
            <w:tcW w:w="740" w:type="dxa"/>
            <w:vAlign w:val="bottom"/>
          </w:tcPr>
          <w:p>
            <w:pPr>
              <w:jc w:val="right"/>
              <w:ind w:right="534"/>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21,555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87,524</w:t>
            </w:r>
          </w:p>
        </w:tc>
        <w:tc>
          <w:tcPr>
            <w:tcW w:w="100" w:type="dxa"/>
            <w:vAlign w:val="bottom"/>
          </w:tcPr>
          <w:p>
            <w:pPr>
              <w:spacing w:after="0"/>
              <w:rPr>
                <w:sz w:val="21"/>
                <w:szCs w:val="21"/>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0"/>
              <w:spacing w:after="0"/>
              <w:rPr>
                <w:sz w:val="20"/>
                <w:szCs w:val="20"/>
                <w:color w:val="auto"/>
              </w:rPr>
            </w:pPr>
            <w:r>
              <w:rPr>
                <w:rFonts w:ascii="Arial" w:cs="Arial" w:eastAsia="Arial" w:hAnsi="Arial"/>
                <w:sz w:val="18"/>
                <w:szCs w:val="18"/>
                <w:color w:val="auto"/>
                <w:w w:val="98"/>
              </w:rPr>
              <w:t>89,650</w:t>
            </w:r>
          </w:p>
        </w:tc>
        <w:tc>
          <w:tcPr>
            <w:tcW w:w="0" w:type="dxa"/>
            <w:vAlign w:val="bottom"/>
          </w:tcPr>
          <w:p>
            <w:pPr>
              <w:spacing w:after="0"/>
              <w:rPr>
                <w:sz w:val="1"/>
                <w:szCs w:val="1"/>
                <w:color w:val="auto"/>
              </w:rPr>
            </w:pPr>
          </w:p>
        </w:tc>
      </w:tr>
      <w:tr>
        <w:trPr>
          <w:trHeight w:val="67"/>
        </w:trPr>
        <w:tc>
          <w:tcPr>
            <w:tcW w:w="5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2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Weighted average shares outstanding</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27,152</w:t>
            </w: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31,455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28,207</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31,870</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Arial" w:cs="Arial" w:eastAsia="Arial" w:hAnsi="Arial"/>
                <w:sz w:val="18"/>
                <w:szCs w:val="18"/>
                <w:color w:val="auto"/>
              </w:rPr>
              <w:t>Effect of dilutive shares outstanding</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Employee stock options and SARs</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43"/>
        </w:trPr>
        <w:tc>
          <w:tcPr>
            <w:tcW w:w="5120" w:type="dxa"/>
            <w:vAlign w:val="bottom"/>
          </w:tcPr>
          <w:p>
            <w:pPr>
              <w:ind w:left="720"/>
              <w:spacing w:after="0"/>
              <w:rPr>
                <w:sz w:val="20"/>
                <w:szCs w:val="20"/>
                <w:color w:val="auto"/>
              </w:rPr>
            </w:pPr>
            <w:r>
              <w:rPr>
                <w:rFonts w:ascii="Arial" w:cs="Arial" w:eastAsia="Arial" w:hAnsi="Arial"/>
                <w:sz w:val="18"/>
                <w:szCs w:val="18"/>
                <w:color w:val="auto"/>
              </w:rPr>
              <w:t>Restricted stock units</w:t>
            </w:r>
          </w:p>
        </w:tc>
        <w:tc>
          <w:tcPr>
            <w:tcW w:w="120" w:type="dxa"/>
            <w:vAlign w:val="bottom"/>
          </w:tcPr>
          <w:p>
            <w:pPr>
              <w:spacing w:after="0"/>
              <w:rPr>
                <w:sz w:val="21"/>
                <w:szCs w:val="21"/>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ind w:right="33"/>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for diluted earnings per share</w:t>
            </w:r>
          </w:p>
        </w:tc>
        <w:tc>
          <w:tcPr>
            <w:tcW w:w="1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27,680</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32,128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28,718</w:t>
            </w:r>
          </w:p>
        </w:tc>
        <w:tc>
          <w:tcPr>
            <w:tcW w:w="1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8"/>
              </w:rPr>
              <w:t>32,550</w:t>
            </w:r>
          </w:p>
        </w:tc>
        <w:tc>
          <w:tcPr>
            <w:tcW w:w="0" w:type="dxa"/>
            <w:vAlign w:val="bottom"/>
          </w:tcPr>
          <w:p>
            <w:pPr>
              <w:spacing w:after="0"/>
              <w:rPr>
                <w:sz w:val="1"/>
                <w:szCs w:val="1"/>
                <w:color w:val="auto"/>
              </w:rPr>
            </w:pPr>
          </w:p>
        </w:tc>
      </w:tr>
      <w:tr>
        <w:trPr>
          <w:trHeight w:val="237"/>
        </w:trPr>
        <w:tc>
          <w:tcPr>
            <w:tcW w:w="512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20"/>
                <w:szCs w:val="20"/>
                <w:color w:val="auto"/>
              </w:rPr>
            </w:pPr>
          </w:p>
        </w:tc>
        <w:tc>
          <w:tcPr>
            <w:tcW w:w="740" w:type="dxa"/>
            <w:vAlign w:val="bottom"/>
            <w:tcBorders>
              <w:top w:val="single" w:sz="8" w:color="auto"/>
            </w:tcBorders>
          </w:tcPr>
          <w:p>
            <w:pPr>
              <w:jc w:val="right"/>
              <w:ind w:right="534"/>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0"/>
                <w:szCs w:val="20"/>
                <w:color w:val="auto"/>
              </w:rPr>
            </w:pPr>
          </w:p>
        </w:tc>
        <w:tc>
          <w:tcPr>
            <w:tcW w:w="800" w:type="dxa"/>
            <w:vAlign w:val="bottom"/>
            <w:tcBorders>
              <w:top w:val="single" w:sz="8" w:color="auto"/>
            </w:tcBorders>
          </w:tcPr>
          <w:p>
            <w:pPr>
              <w:jc w:val="right"/>
              <w:ind w:right="594"/>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
        </w:trPr>
        <w:tc>
          <w:tcPr>
            <w:tcW w:w="51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20" w:type="dxa"/>
            <w:vAlign w:val="bottom"/>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140" w:hanging="332"/>
        <w:spacing w:after="0" w:line="223"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exclude approximately 254,000 shares of common stock, the maximum number of shares issuable as of September 9, 2016 upon the vesting of certain performance-based awards, because the performance conditions required for the shares subject to such awards to vest were not achieved by the end of the reporting period.</w:t>
      </w:r>
    </w:p>
    <w:p>
      <w:pPr>
        <w:jc w:val="both"/>
        <w:ind w:left="340" w:right="140" w:hanging="332"/>
        <w:spacing w:after="0" w:line="221" w:lineRule="auto"/>
        <w:tabs>
          <w:tab w:leader="none" w:pos="34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The computations of diluted earnings per share exclude approximately 167,000 shares of common stock, the maximum number of shares issuable as of September 11, 2015 upon the vesting of certain performance-based awards, because the performance conditions required for the shares subject to such awards to vest were not achieved by the end of the reporting period.</w:t>
      </w:r>
    </w:p>
    <w:p>
      <w:pPr>
        <w:spacing w:after="0" w:line="204" w:lineRule="exact"/>
        <w:rPr>
          <w:sz w:val="20"/>
          <w:szCs w:val="20"/>
          <w:color w:val="auto"/>
        </w:rPr>
      </w:pPr>
    </w:p>
    <w:p>
      <w:pPr>
        <w:ind w:right="100" w:firstLine="878"/>
        <w:spacing w:after="0" w:line="255" w:lineRule="auto"/>
        <w:rPr>
          <w:sz w:val="20"/>
          <w:szCs w:val="20"/>
          <w:color w:val="auto"/>
        </w:rPr>
      </w:pPr>
      <w:r>
        <w:rPr>
          <w:rFonts w:ascii="Arial" w:cs="Arial" w:eastAsia="Arial" w:hAnsi="Arial"/>
          <w:sz w:val="18"/>
          <w:szCs w:val="18"/>
          <w:color w:val="auto"/>
        </w:rPr>
        <w:t>In accordance with the applicable accounting guidance for calculating earnings per share, for the twelve and thirty-six week period ending September 9, 2016, we excluded from our calculation of diluted earnings per share 62,018 shares underlying stock appreciation rights (“SARs”) that may be settled in shares of common stock, with an exercise price of $77.42, because this exercise price was greater than the average market price for the applicable period. For the twelve and thirty-six week period ending September 11, 2015, we have not excluded from our calculation of diluted earnings per share any shares underlying SARs that may be settled in shares of common stock, as no exercise prices were greater than the average market prices for the applicable period.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125" w:right="29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INVENTORY</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shows the composition of our inventory balances: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8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At September 9, 2016</w:t>
            </w:r>
          </w:p>
        </w:tc>
        <w:tc>
          <w:tcPr>
            <w:tcW w:w="180" w:type="dxa"/>
            <w:vAlign w:val="bottom"/>
          </w:tcPr>
          <w:p>
            <w:pPr>
              <w:spacing w:after="0"/>
              <w:rPr>
                <w:sz w:val="16"/>
                <w:szCs w:val="16"/>
                <w:color w:val="auto"/>
              </w:rPr>
            </w:pPr>
          </w:p>
        </w:tc>
        <w:tc>
          <w:tcPr>
            <w:tcW w:w="1500" w:type="dxa"/>
            <w:vAlign w:val="bottom"/>
          </w:tcPr>
          <w:p>
            <w:pPr>
              <w:jc w:val="right"/>
              <w:ind w:right="173"/>
              <w:spacing w:after="0"/>
              <w:rPr>
                <w:sz w:val="20"/>
                <w:szCs w:val="20"/>
                <w:color w:val="auto"/>
              </w:rPr>
            </w:pPr>
            <w:r>
              <w:rPr>
                <w:rFonts w:ascii="Arial" w:cs="Arial" w:eastAsia="Arial" w:hAnsi="Arial"/>
                <w:sz w:val="14"/>
                <w:szCs w:val="14"/>
                <w:b w:val="1"/>
                <w:bCs w:val="1"/>
                <w:color w:val="auto"/>
                <w:w w:val="99"/>
              </w:rPr>
              <w:t>At January 1, 2016</w:t>
            </w:r>
          </w:p>
        </w:tc>
        <w:tc>
          <w:tcPr>
            <w:tcW w:w="0" w:type="dxa"/>
            <w:vAlign w:val="bottom"/>
          </w:tcPr>
          <w:p>
            <w:pPr>
              <w:spacing w:after="0"/>
              <w:rPr>
                <w:sz w:val="1"/>
                <w:szCs w:val="1"/>
                <w:color w:val="auto"/>
              </w:rPr>
            </w:pPr>
          </w:p>
        </w:tc>
      </w:tr>
      <w:tr>
        <w:trPr>
          <w:trHeight w:val="270"/>
        </w:trPr>
        <w:tc>
          <w:tcPr>
            <w:tcW w:w="7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319,661</w:t>
            </w: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332,888</w:t>
            </w:r>
          </w:p>
        </w:tc>
        <w:tc>
          <w:tcPr>
            <w:tcW w:w="0" w:type="dxa"/>
            <w:vAlign w:val="bottom"/>
          </w:tcPr>
          <w:p>
            <w:pPr>
              <w:spacing w:after="0"/>
              <w:rPr>
                <w:sz w:val="1"/>
                <w:szCs w:val="1"/>
                <w:color w:val="auto"/>
              </w:rPr>
            </w:pPr>
          </w:p>
        </w:tc>
      </w:tr>
      <w:tr>
        <w:trPr>
          <w:trHeight w:val="243"/>
        </w:trPr>
        <w:tc>
          <w:tcPr>
            <w:tcW w:w="7700" w:type="dxa"/>
            <w:vAlign w:val="bottom"/>
          </w:tcPr>
          <w:p>
            <w:pPr>
              <w:ind w:left="40"/>
              <w:spacing w:after="0"/>
              <w:rPr>
                <w:sz w:val="20"/>
                <w:szCs w:val="20"/>
                <w:color w:val="auto"/>
              </w:rPr>
            </w:pPr>
            <w:r>
              <w:rPr>
                <w:rFonts w:ascii="Arial" w:cs="Arial" w:eastAsia="Arial" w:hAnsi="Arial"/>
                <w:sz w:val="18"/>
                <w:szCs w:val="18"/>
                <w:color w:val="auto"/>
              </w:rPr>
              <w:t>Work-in-progress</w:t>
            </w:r>
          </w:p>
        </w:tc>
        <w:tc>
          <w:tcPr>
            <w:tcW w:w="180" w:type="dxa"/>
            <w:vAlign w:val="bottom"/>
          </w:tcPr>
          <w:p>
            <w:pPr>
              <w:spacing w:after="0"/>
              <w:rPr>
                <w:sz w:val="21"/>
                <w:szCs w:val="21"/>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66,545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 and infrastructure</w:t>
            </w:r>
            <w:r>
              <w:rPr>
                <w:rFonts w:ascii="Arial" w:cs="Arial" w:eastAsia="Arial" w:hAnsi="Arial"/>
                <w:sz w:val="21"/>
                <w:szCs w:val="21"/>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323,659</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331,042</w:t>
            </w:r>
          </w:p>
        </w:tc>
        <w:tc>
          <w:tcPr>
            <w:tcW w:w="0" w:type="dxa"/>
            <w:vAlign w:val="bottom"/>
          </w:tcPr>
          <w:p>
            <w:pPr>
              <w:spacing w:after="0"/>
              <w:rPr>
                <w:sz w:val="1"/>
                <w:szCs w:val="1"/>
                <w:color w:val="auto"/>
              </w:rPr>
            </w:pPr>
          </w:p>
        </w:tc>
      </w:tr>
      <w:tr>
        <w:trPr>
          <w:trHeight w:val="237"/>
        </w:trPr>
        <w:tc>
          <w:tcPr>
            <w:tcW w:w="7700" w:type="dxa"/>
            <w:vAlign w:val="bottom"/>
          </w:tcPr>
          <w:p>
            <w:pPr>
              <w:ind w:left="1140"/>
              <w:spacing w:after="0"/>
              <w:rPr>
                <w:sz w:val="20"/>
                <w:szCs w:val="20"/>
                <w:color w:val="auto"/>
              </w:rPr>
            </w:pPr>
            <w:r>
              <w:rPr>
                <w:rFonts w:ascii="Arial" w:cs="Arial" w:eastAsia="Arial" w:hAnsi="Arial"/>
                <w:sz w:val="18"/>
                <w:szCs w:val="18"/>
                <w:color w:val="auto"/>
              </w:rPr>
              <w:t>Real estate inventory</w:t>
            </w:r>
          </w:p>
        </w:tc>
        <w:tc>
          <w:tcPr>
            <w:tcW w:w="180" w:type="dxa"/>
            <w:vAlign w:val="bottom"/>
          </w:tcPr>
          <w:p>
            <w:pPr>
              <w:spacing w:after="0"/>
              <w:rPr>
                <w:sz w:val="20"/>
                <w:szCs w:val="20"/>
                <w:color w:val="auto"/>
              </w:rPr>
            </w:pPr>
          </w:p>
        </w:tc>
        <w:tc>
          <w:tcPr>
            <w:tcW w:w="1620" w:type="dxa"/>
            <w:vAlign w:val="bottom"/>
          </w:tcPr>
          <w:p>
            <w:pPr>
              <w:jc w:val="right"/>
              <w:ind w:right="13"/>
              <w:spacing w:after="0"/>
              <w:rPr>
                <w:sz w:val="20"/>
                <w:szCs w:val="20"/>
                <w:color w:val="auto"/>
              </w:rPr>
            </w:pPr>
            <w:r>
              <w:rPr>
                <w:rFonts w:ascii="Arial" w:cs="Arial" w:eastAsia="Arial" w:hAnsi="Arial"/>
                <w:sz w:val="18"/>
                <w:szCs w:val="18"/>
                <w:color w:val="auto"/>
              </w:rPr>
              <w:t>709,865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663,930</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supplies and retail inventory</w:t>
            </w:r>
          </w:p>
        </w:tc>
        <w:tc>
          <w:tcPr>
            <w:tcW w:w="18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5,313</w:t>
            </w:r>
          </w:p>
        </w:tc>
        <w:tc>
          <w:tcPr>
            <w:tcW w:w="0" w:type="dxa"/>
            <w:vAlign w:val="bottom"/>
          </w:tcPr>
          <w:p>
            <w:pPr>
              <w:spacing w:after="0"/>
              <w:rPr>
                <w:sz w:val="1"/>
                <w:szCs w:val="1"/>
                <w:color w:val="auto"/>
              </w:rPr>
            </w:pPr>
          </w:p>
        </w:tc>
      </w:tr>
      <w:tr>
        <w:trPr>
          <w:trHeight w:val="237"/>
        </w:trPr>
        <w:tc>
          <w:tcPr>
            <w:tcW w:w="77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714,404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669,243</w:t>
            </w:r>
          </w:p>
        </w:tc>
        <w:tc>
          <w:tcPr>
            <w:tcW w:w="0" w:type="dxa"/>
            <w:vAlign w:val="bottom"/>
          </w:tcPr>
          <w:p>
            <w:pPr>
              <w:spacing w:after="0"/>
              <w:rPr>
                <w:sz w:val="1"/>
                <w:szCs w:val="1"/>
                <w:color w:val="auto"/>
              </w:rPr>
            </w:pPr>
          </w:p>
        </w:tc>
      </w:tr>
      <w:tr>
        <w:trPr>
          <w:trHeight w:val="27"/>
        </w:trPr>
        <w:tc>
          <w:tcPr>
            <w:tcW w:w="77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0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208" w:lineRule="auto"/>
        <w:tabs>
          <w:tab w:leader="none" w:pos="34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Represents completed inventory that is either registered for sale as vacation ownership interests, or unregistered and available for sale in its current form.</w:t>
      </w:r>
    </w:p>
    <w:p>
      <w:pPr>
        <w:spacing w:after="0" w:line="2" w:lineRule="exact"/>
        <w:rPr>
          <w:rFonts w:ascii="Arial" w:cs="Arial" w:eastAsia="Arial" w:hAnsi="Arial"/>
          <w:sz w:val="22"/>
          <w:szCs w:val="22"/>
          <w:color w:val="auto"/>
          <w:vertAlign w:val="superscript"/>
        </w:rPr>
      </w:pPr>
    </w:p>
    <w:p>
      <w:pPr>
        <w:ind w:left="340" w:hanging="332"/>
        <w:spacing w:after="0" w:line="186" w:lineRule="auto"/>
        <w:tabs>
          <w:tab w:leader="none" w:pos="34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Includes $67.6 million of inventory related to estimated future foreclosures at September 9, 2016.</w:t>
      </w:r>
    </w:p>
    <w:p>
      <w:pPr>
        <w:spacing w:after="0" w:line="202" w:lineRule="exact"/>
        <w:rPr>
          <w:sz w:val="20"/>
          <w:szCs w:val="20"/>
          <w:color w:val="auto"/>
        </w:rPr>
      </w:pPr>
    </w:p>
    <w:p>
      <w:pPr>
        <w:ind w:right="300" w:firstLine="878"/>
        <w:spacing w:after="0" w:line="259" w:lineRule="auto"/>
        <w:rPr>
          <w:sz w:val="20"/>
          <w:szCs w:val="20"/>
          <w:color w:val="auto"/>
        </w:rPr>
      </w:pPr>
      <w:r>
        <w:rPr>
          <w:rFonts w:ascii="Arial" w:cs="Arial" w:eastAsia="Arial" w:hAnsi="Arial"/>
          <w:sz w:val="18"/>
          <w:szCs w:val="18"/>
          <w:color w:val="auto"/>
        </w:rPr>
        <w:t>We value vacation ownership and residential products at the lower of cost or fair market value less costs to sell, in accordance with applicable accounting guidance, and we record operating supplies at the lower of cost (using the first-in, first-out method) or net realizable value. For the thirty-six weeks ended September 9, 2016 and September 11, 2015, product cost true-ups relating to vacation ownership products increased carrying values of inventory by $12.2 million and $3.6 million, respectively.</w:t>
      </w:r>
    </w:p>
    <w:p>
      <w:pPr>
        <w:spacing w:after="0" w:line="187" w:lineRule="exact"/>
        <w:rPr>
          <w:sz w:val="20"/>
          <w:szCs w:val="20"/>
          <w:color w:val="auto"/>
        </w:rPr>
      </w:pPr>
    </w:p>
    <w:p>
      <w:pPr>
        <w:ind w:firstLine="878"/>
        <w:spacing w:after="0" w:line="259" w:lineRule="auto"/>
        <w:rPr>
          <w:sz w:val="20"/>
          <w:szCs w:val="20"/>
          <w:color w:val="auto"/>
        </w:rPr>
      </w:pPr>
      <w:r>
        <w:rPr>
          <w:rFonts w:ascii="Arial" w:cs="Arial" w:eastAsia="Arial" w:hAnsi="Arial"/>
          <w:sz w:val="18"/>
          <w:szCs w:val="18"/>
          <w:color w:val="auto"/>
        </w:rPr>
        <w:t>During the thirty-six weeks ended September 9, 2016, $45.7 million was transferred from Property and equipment to Inventory as we commenced the conversion of portions of the operating properties in Surfers Paradise, Australia and San Diego, California to vacation ownership inventory. The acquisition of these properties was previously included within Operating Activities on our Cash Flows and presented as Purchase of operating properties for future conversion to inventory within Operating Activities.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CONTINGENCIES AND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ind w:right="20" w:firstLine="878"/>
        <w:spacing w:after="0" w:line="255" w:lineRule="auto"/>
        <w:rPr>
          <w:sz w:val="20"/>
          <w:szCs w:val="20"/>
          <w:color w:val="auto"/>
        </w:rPr>
      </w:pPr>
      <w:r>
        <w:rPr>
          <w:rFonts w:ascii="Arial" w:cs="Arial" w:eastAsia="Arial" w:hAnsi="Arial"/>
          <w:sz w:val="18"/>
          <w:szCs w:val="18"/>
          <w:color w:val="auto"/>
        </w:rPr>
        <w:t>We have historically issued guarantees to certain lenders in connection with the provision of third-party financing for our sale of vacation ownership products for the North America and Asia Pacific segments. The terms of these guarantees generally require us to fund if the purchaser fails to pay under the term of its note payable. We are entitled to recover any payments we make to third-party lenders under these guarantees through reacquisition and resale of the financed vacation ownership product. Our commitments under these guarantees expire as the underlying notes mature or are repaid. The terms of the underlying notes extend to 2022. At September 9, 2016, the maximum potential amount of future fundings for financing guarantees where we are the primary obligor was $6.6 million and the carrying amount of the liability for expected future fundings, which is included in our Balance Sheet in the Other caption within Liabilities, was $0.2 million.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Letters of Credit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addition to the guarantees we describe in the preceding paragraphs, as of September 9, 2016, we had the following commitments outstanding:</w:t>
      </w:r>
    </w:p>
    <w:p>
      <w:pPr>
        <w:spacing w:after="0" w:line="248" w:lineRule="exact"/>
        <w:rPr>
          <w:sz w:val="20"/>
          <w:szCs w:val="20"/>
          <w:color w:val="auto"/>
        </w:rPr>
      </w:pPr>
    </w:p>
    <w:p>
      <w:pPr>
        <w:ind w:left="1460" w:right="20" w:hanging="318"/>
        <w:spacing w:after="0" w:line="286" w:lineRule="auto"/>
        <w:tabs>
          <w:tab w:leader="none" w:pos="1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various contracts for the use of information technology hardware and software that we use in the normal course of business. Our aggregate commitments under these contracts were $27.7 million, of which we expect $5.3 million, $10.3 million, $6.7 million, $1.7 million, $1.5 million and $2.2 million will be paid in 2016, 2017, 2018, 2019, 2020 and thereafter, respectively.</w:t>
      </w:r>
    </w:p>
    <w:p>
      <w:pPr>
        <w:spacing w:after="0" w:line="165" w:lineRule="exact"/>
        <w:rPr>
          <w:rFonts w:ascii="Arial" w:cs="Arial" w:eastAsia="Arial" w:hAnsi="Arial"/>
          <w:sz w:val="17"/>
          <w:szCs w:val="17"/>
          <w:color w:val="auto"/>
        </w:rPr>
      </w:pPr>
    </w:p>
    <w:p>
      <w:pPr>
        <w:ind w:left="1460" w:hanging="318"/>
        <w:spacing w:after="0"/>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commitments of $1.4 million to subsidize vacation ownership associations, which we expect to pay in 2016.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1460" w:right="80" w:hanging="318"/>
        <w:spacing w:after="0" w:line="276" w:lineRule="auto"/>
        <w:tabs>
          <w:tab w:leader="none" w:pos="1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a commitment to purchase an operating property located in New York, New York for $158.5 million. We expect to acquire the units in the property, in their current form, over time, and we expect to make payments for these units of $96.8 million and $61.7 million in 2018 and 2019, respectively. We currently manage this property, which we have rebranded as Marriott Vacation Club Pulse, New York City. In connection with this commitment, we entered into a capital lease arrangement for ancillary and operations space. See Footnote No. 13, “Variable Interest Entities,” for additional information on this transaction.</w:t>
      </w:r>
    </w:p>
    <w:p>
      <w:pPr>
        <w:spacing w:after="0" w:line="172" w:lineRule="exact"/>
        <w:rPr>
          <w:rFonts w:ascii="Arial" w:cs="Arial" w:eastAsia="Arial" w:hAnsi="Arial"/>
          <w:sz w:val="17"/>
          <w:szCs w:val="17"/>
          <w:color w:val="auto"/>
        </w:rPr>
      </w:pPr>
    </w:p>
    <w:p>
      <w:pPr>
        <w:ind w:left="1460" w:right="240" w:hanging="318"/>
        <w:spacing w:after="0" w:line="291" w:lineRule="auto"/>
        <w:tabs>
          <w:tab w:leader="none" w:pos="1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have commitments to purchase vacation ownership units located in two resorts in Bali, Indonesia in two separate transactions, contingent upon completion of construction to agreed upon standards within specified timeframes, for use in our Asia Pacific segment. We expect to complete the acquisition of 51 vacation ownership units in 2017 pursuant to one of the commitments, and to make remaining payments with respect to these units, when specific construction milestones are completed, as follows: $2.3 million in 2016 and $19.0 million in 2017. We expect to complete the acquisition of 88 vacation ownership units in 2019 pursuant to the other commitment, and to make payments with respect to these units, when specific construction milestones are completed, as follows: $3.9 million in 2016, $3.9 million in 2017, $5.9 million in 2018 and $25.4 million in 2019.</w:t>
      </w:r>
    </w:p>
    <w:p>
      <w:pPr>
        <w:spacing w:after="0" w:line="167" w:lineRule="exact"/>
        <w:rPr>
          <w:rFonts w:ascii="Arial" w:cs="Arial" w:eastAsia="Arial" w:hAnsi="Arial"/>
          <w:sz w:val="16"/>
          <w:szCs w:val="16"/>
          <w:color w:val="auto"/>
        </w:rPr>
      </w:pPr>
    </w:p>
    <w:p>
      <w:pPr>
        <w:ind w:left="1460" w:hanging="318"/>
        <w:spacing w:after="0"/>
        <w:tabs>
          <w:tab w:leader="none" w:pos="1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a commitment of $137.1 million to purchase vacation ownership units located in Marco Island, Florida, of which we expect</w:t>
      </w:r>
    </w:p>
    <w:p>
      <w:pPr>
        <w:spacing w:after="0" w:line="34" w:lineRule="exact"/>
        <w:rPr>
          <w:rFonts w:ascii="Arial" w:cs="Arial" w:eastAsia="Arial" w:hAnsi="Arial"/>
          <w:sz w:val="17"/>
          <w:szCs w:val="17"/>
          <w:color w:val="auto"/>
        </w:rPr>
      </w:pPr>
    </w:p>
    <w:p>
      <w:pPr>
        <w:ind w:left="1460" w:right="140"/>
        <w:spacing w:after="0" w:line="261" w:lineRule="auto"/>
        <w:rPr>
          <w:rFonts w:ascii="Arial" w:cs="Arial" w:eastAsia="Arial" w:hAnsi="Arial"/>
          <w:sz w:val="17"/>
          <w:szCs w:val="17"/>
          <w:color w:val="auto"/>
        </w:rPr>
      </w:pPr>
      <w:r>
        <w:rPr>
          <w:rFonts w:ascii="Arial" w:cs="Arial" w:eastAsia="Arial" w:hAnsi="Arial"/>
          <w:sz w:val="18"/>
          <w:szCs w:val="18"/>
          <w:color w:val="auto"/>
        </w:rPr>
        <w:t>$33.3 million, $50.0 million and $53.8 million will be paid in 2017, 2018 and 2019, respectively. See Footnote No. 5, “Acquisitions and Dispositions,” for additional information on this transaction.</w:t>
      </w:r>
    </w:p>
    <w:p>
      <w:pPr>
        <w:spacing w:after="0" w:line="183" w:lineRule="exact"/>
        <w:rPr>
          <w:rFonts w:ascii="Arial" w:cs="Arial" w:eastAsia="Arial" w:hAnsi="Arial"/>
          <w:sz w:val="17"/>
          <w:szCs w:val="17"/>
          <w:color w:val="auto"/>
        </w:rPr>
      </w:pPr>
    </w:p>
    <w:p>
      <w:pPr>
        <w:jc w:val="both"/>
        <w:ind w:left="1460" w:right="180" w:hanging="318"/>
        <w:spacing w:after="0" w:line="286" w:lineRule="auto"/>
        <w:tabs>
          <w:tab w:leader="none" w:pos="1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have a commitment of $91.1 million to purchase vacation ownership units located on the Big Island of Hawaii, contingent upon the completion of renovations to the vacation ownership units. We expect to acquire the completed vacation ownership units in 2017 and to pay the purchase price as follows: $27.5 million in 2017, $32.7 million in 2018 and $30.9 million in 2019.</w:t>
      </w:r>
    </w:p>
    <w:p>
      <w:pPr>
        <w:spacing w:after="0" w:line="165" w:lineRule="exact"/>
        <w:rPr>
          <w:rFonts w:ascii="Arial" w:cs="Arial" w:eastAsia="Arial" w:hAnsi="Arial"/>
          <w:sz w:val="17"/>
          <w:szCs w:val="17"/>
          <w:color w:val="auto"/>
        </w:rPr>
      </w:pPr>
    </w:p>
    <w:p>
      <w:pPr>
        <w:ind w:left="1460" w:right="320" w:hanging="318"/>
        <w:spacing w:after="0" w:line="264" w:lineRule="auto"/>
        <w:tabs>
          <w:tab w:leader="none" w:pos="1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new commitments under operating leases that expire at various dates through 2027. Our aggregate minimum lease payments under these contracts were $22.9 million, of which we expect $0.1 million, $1.6 million, $1.9 million, $2.1 million, $2.4 million and $14.8 million will be paid in 2016, 2017, 2018, 2019, 2020 and thereafter, respectively.</w:t>
      </w:r>
    </w:p>
    <w:p>
      <w:pPr>
        <w:spacing w:after="0" w:line="181" w:lineRule="exact"/>
        <w:rPr>
          <w:sz w:val="20"/>
          <w:szCs w:val="20"/>
          <w:color w:val="auto"/>
        </w:rPr>
      </w:pPr>
    </w:p>
    <w:p>
      <w:pPr>
        <w:ind w:right="40" w:firstLine="878"/>
        <w:spacing w:after="0" w:line="277" w:lineRule="auto"/>
        <w:rPr>
          <w:sz w:val="20"/>
          <w:szCs w:val="20"/>
          <w:color w:val="auto"/>
        </w:rPr>
      </w:pPr>
      <w:r>
        <w:rPr>
          <w:rFonts w:ascii="Arial" w:cs="Arial" w:eastAsia="Arial" w:hAnsi="Arial"/>
          <w:sz w:val="18"/>
          <w:szCs w:val="18"/>
          <w:color w:val="auto"/>
        </w:rPr>
        <w:t>Surety bonds issued as of September 9, 2016 totaled $47.2 million, the majority of which were requested by federal, state or local governments in connection with our operations.</w:t>
      </w:r>
    </w:p>
    <w:p>
      <w:pPr>
        <w:spacing w:after="0" w:line="170" w:lineRule="exact"/>
        <w:rPr>
          <w:sz w:val="20"/>
          <w:szCs w:val="20"/>
          <w:color w:val="auto"/>
        </w:rPr>
      </w:pPr>
    </w:p>
    <w:p>
      <w:pPr>
        <w:ind w:right="280" w:firstLine="878"/>
        <w:spacing w:after="0" w:line="277" w:lineRule="auto"/>
        <w:rPr>
          <w:sz w:val="20"/>
          <w:szCs w:val="20"/>
          <w:color w:val="auto"/>
        </w:rPr>
      </w:pPr>
      <w:r>
        <w:rPr>
          <w:rFonts w:ascii="Arial" w:cs="Arial" w:eastAsia="Arial" w:hAnsi="Arial"/>
          <w:sz w:val="18"/>
          <w:szCs w:val="18"/>
          <w:color w:val="auto"/>
        </w:rPr>
        <w:t>Additionally, as of September 9, 2016, we had $3.3 million of letters of credit outstanding under our $200 million revolving credit facility (the “Revolving Corporate Credit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Contingencies</w:t>
      </w:r>
    </w:p>
    <w:p>
      <w:pPr>
        <w:spacing w:after="0" w:line="225" w:lineRule="exact"/>
        <w:rPr>
          <w:sz w:val="20"/>
          <w:szCs w:val="20"/>
          <w:color w:val="auto"/>
        </w:rPr>
      </w:pPr>
    </w:p>
    <w:p>
      <w:pPr>
        <w:ind w:firstLine="432"/>
        <w:spacing w:after="0" w:line="268" w:lineRule="auto"/>
        <w:rPr>
          <w:sz w:val="20"/>
          <w:szCs w:val="20"/>
          <w:color w:val="auto"/>
        </w:rPr>
      </w:pPr>
      <w:r>
        <w:rPr>
          <w:rFonts w:ascii="Arial" w:cs="Arial" w:eastAsia="Arial" w:hAnsi="Arial"/>
          <w:sz w:val="17"/>
          <w:szCs w:val="17"/>
          <w:color w:val="auto"/>
        </w:rPr>
        <w:t>In April 2013, Krishna and Sherrie Narayan and other owners of 12 residential units (owners of two of which subsequently agreed to release their claims) at the resort formerly known as The Ritz-Carlton Residences, Kapalua Bay (“Kapalua Bay”) filed an amended complaint in Circuit Court for Maui County, Hawaii against us, certain of our subsidiaries, Marriott International, certain of its subsidiaries, and the joint venture in which we have an equity investment that developed and marketed vacation ownership and residential products at Kapalua Bay (the “Joint Venture”). In the original complaint, the plaintiffs alleged that defendants mismanaged funds of the residential owners association (the “Kapalua Bay Association”), created a conflict of interest by permitting their employees to serve on the Kapalua Bay Association’s board, and failed to disclose documents to which the plaintiffs were allegedly entitled. The amended complaint alleges breach of fiduciary duty, violations of the Hawaii Unfair and Deceptive Trade Practices Act and the Hawaii condominium statute, intentional misrepresentation and concealment, unjust enrichment and civil conspiracy. The relief sought in the amended complaint includes injunctive relief, repayment of all sums paid to us and our subsidiaries and Marriott International and its subsidiaries, compensatory and punitive damages, and treble damages under the Hawaii Unfair and Deceptive Trade Practices Act. We dispute the material allegations in the amended complaint and continue to defend against the action vigorously. We filed a motion in the Circuit Court to compel arbitration of plaintiffs’ claims. That motion was denied, but on appeal the Hawaii Intermediate Court of Appeals reversed. The Hawaii Supreme Court reversed the decision of the Intermediate Court of Appeals and reinstated the action in Circuit Court, which set the case for trial. We filed a petition with the United States Supreme Court seeking review of the Hawaii Supreme Court’s decision. On January 11, 2016, the U.S. Supreme Court issued an order vacating the Hawaii Supreme Court’s decision and remanding the case with instructions to reconsider its ruling in light of a recent U.S.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Supreme Court decision reiterating the obligation of courts to enforce arbitration agreements. The Circuit Court has stayed proceedings pending action by the Hawaii Supreme Court. Given the inherent uncertainties of litigation, we cannot estimate a range of the potential liability, if any, at this time.</w:t>
      </w:r>
    </w:p>
    <w:p>
      <w:pPr>
        <w:spacing w:after="0" w:line="147" w:lineRule="exact"/>
        <w:rPr>
          <w:sz w:val="20"/>
          <w:szCs w:val="20"/>
          <w:color w:val="auto"/>
        </w:rPr>
      </w:pPr>
    </w:p>
    <w:p>
      <w:pPr>
        <w:ind w:right="60" w:firstLine="432"/>
        <w:spacing w:after="0" w:line="286" w:lineRule="auto"/>
        <w:rPr>
          <w:sz w:val="20"/>
          <w:szCs w:val="20"/>
          <w:color w:val="auto"/>
        </w:rPr>
      </w:pPr>
      <w:r>
        <w:rPr>
          <w:rFonts w:ascii="Arial" w:cs="Arial" w:eastAsia="Arial" w:hAnsi="Arial"/>
          <w:sz w:val="16"/>
          <w:szCs w:val="16"/>
          <w:color w:val="auto"/>
        </w:rPr>
        <w:t>In June 2013, Earl C. and Patricia A. Charles, owners of a fractional interest at Kapalua Bay, together with owners of 38 other fractional interests (owners of two of which subsequently agreed to release their claims) at Kapalua Bay, filed an amended complaint in the Circuit Court of the Second Circuit for the State of Hawaii against us, certain of our subsidiaries, Marriott International, certain of its subsidiaries, the Joint Venture, and other entities that have equity investments in the Joint Venture. The plaintiffs allege that the defendants failed to disclose the financial condition of the Joint Venture and the commitment of the defendants to the Joint Venture, and that defendants’ actions constituted fraud and violated the Hawaii Unfair and Deceptive Trade Practices Act, the Hawaii Condominium Property Act and the Hawaii Time Sharing Plans statute. The relief sought includes compensatory and punitive damages, attorneys’ fees, pre-judgment interest, declaratory relief, rescission and treble damages under the Hawaii Unfair and Deceptive Trade Practices Act. The complaint was subsequently further amended to add owners of two additional fractional interests as plaintiffs. The Circuit Court granted our motion to compel arbitration of the claims asserted by the plaintiffs. Plaintiffs appealed that decision to the Hawaii Intermediate Court of Appeals and also initiated arbitration. On July 24, 2015, the Intermediate Court of Appeals reversed the decision of the Circuit Court and directed that the action be reinstated in the Circuit Court, based on the Hawaii Supreme Court’s decision in the Narayan case discussed above, which has since been vacated by the U.S. Supreme Court.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175"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On May 26, 2015, we and certain of our subsidiaries were named as defendants in an action filed in the Superior Court of San Francisco County, California, by William and Sharon Petrick and certain other present and former owners of 69 fractional interests at the RCC San Francisco. The plaintiffs allege that the affiliation of the RCC San Francisco with our points-based MVCD program, certain alleged sales practices, and other acts we and the other defendants allegedly took caused an actionable decrease in the value of their fractional interests. The relief sought includes, among other things, compensatory and punitive damages, rescission, and pre- and post-judgment interest. Plaintiffs filed an amended complaint on April 25, 2016. We filed a motion to dismiss. The Court held a hearing and the parties are awaiting a decision.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192" w:lineRule="exact"/>
        <w:rPr>
          <w:sz w:val="20"/>
          <w:szCs w:val="20"/>
          <w:color w:val="auto"/>
        </w:rPr>
      </w:pPr>
    </w:p>
    <w:p>
      <w:pPr>
        <w:ind w:right="120" w:firstLine="432"/>
        <w:spacing w:after="0" w:line="255" w:lineRule="auto"/>
        <w:rPr>
          <w:sz w:val="20"/>
          <w:szCs w:val="20"/>
          <w:color w:val="auto"/>
        </w:rPr>
      </w:pPr>
      <w:r>
        <w:rPr>
          <w:rFonts w:ascii="Arial" w:cs="Arial" w:eastAsia="Arial" w:hAnsi="Arial"/>
          <w:sz w:val="18"/>
          <w:szCs w:val="18"/>
          <w:color w:val="auto"/>
        </w:rPr>
        <w:t>On October 3, 2016, RCHFU, L.L.C. and other owners of 134 fractional interests at The Ritz-Carlton Club, Aspen Highlands (“RCC-Aspen Highlands”) served an amended complaint in an action pending in the U.S. District Court for the District of Colorado against us and certain of our subsidiaries. The amended complaint alleges that the plaintiffs’ fractional interests were devalued by the affiliation of RCC-Aspen Highlands and other Ritz-Carlton Clubs with our points-based MVCD program. The relief sought includes, among other things, unspecified damages, pre- and post-judgment interest, and attorneys’ fees. Our response to the amended complaint is due on October 17, 2016. We dispute the material allegations in the amended complaint and intend to defend against the action vigorously. Given the early stages of the action and the inherent uncertainties of litigation, we cannot estimate a range of the potential liability, if any, at this time.</w:t>
      </w:r>
    </w:p>
    <w:p>
      <w:pPr>
        <w:spacing w:after="0" w:line="189"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May 20, 2016, we and certain of our subsidiaries were named as defendants in an action filed in the United States District Court for the Middle District of Florida by Anthony and Beth Lennen. The case is filed as a putative class action; the plaintiffs seek to represent a class consisting of themselves and all other purchasers of MVCD points, from inception of the MVCD program in June 2010 to the present, as well as all individuals who own or have owned weeks in any resorts for which weeks have been added to the MVCD program. Plaintiffs challenge the characterization of the beneficial interests in the MVCD trust that are sold to customers as real estate interests under Florida law. They also challenge the structure of the trust and associated operational aspects of the trust product. The relief sought includes, among other things, declaratory relief, an unwinding of the MVCD product, and punitive damages. On September 15, 2016, we filed a motion to dismiss the complaint and a motion to stay the case pending referral of certain questions to Florida state regulators. We dispute the material allegations in the complaint and intend to defend against the action vigorously. Given the early stages of the action and the inherent uncertainties of litigation, we cannot estimate a range of the potential liability, if any, at this time.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20" w:firstLine="878"/>
        <w:spacing w:after="0" w:line="259" w:lineRule="auto"/>
        <w:rPr>
          <w:sz w:val="20"/>
          <w:szCs w:val="20"/>
          <w:color w:val="auto"/>
        </w:rPr>
      </w:pPr>
      <w:r>
        <w:rPr>
          <w:rFonts w:ascii="Arial" w:cs="Arial" w:eastAsia="Arial" w:hAnsi="Arial"/>
          <w:sz w:val="18"/>
          <w:szCs w:val="18"/>
          <w:color w:val="auto"/>
        </w:rPr>
        <w:t>We estimate the cash outflow associated with completing the phases of our existing portfolio of vacation ownership projects currently under development will be approximately $1.6 million, of which $1.4 million is included within liabilities on our Balance Sheet at September 9, 2016. This estimate is based on our current development plans, which remain subject to change, and we expect the phases currently under development will be completed by 2017.</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provides detail on our debt balances, net of unamortized debt issuance costs: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ind w:left="40"/>
              <w:spacing w:after="0"/>
              <w:rPr>
                <w:sz w:val="20"/>
                <w:szCs w:val="20"/>
                <w:color w:val="auto"/>
              </w:rPr>
            </w:pPr>
            <w:r>
              <w:rPr>
                <w:rFonts w:ascii="Arial" w:cs="Arial" w:eastAsia="Arial" w:hAnsi="Arial"/>
                <w:sz w:val="14"/>
                <w:szCs w:val="14"/>
                <w:i w:val="1"/>
                <w:iCs w:val="1"/>
                <w:color w:val="auto"/>
              </w:rPr>
              <w:t>($ in thousands)</w:t>
            </w:r>
          </w:p>
        </w:tc>
        <w:tc>
          <w:tcPr>
            <w:tcW w:w="180" w:type="dxa"/>
            <w:vAlign w:val="bottom"/>
          </w:tcPr>
          <w:p>
            <w:pPr>
              <w:spacing w:after="0"/>
              <w:rPr>
                <w:sz w:val="16"/>
                <w:szCs w:val="16"/>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At September 9, 2016</w:t>
            </w:r>
          </w:p>
        </w:tc>
        <w:tc>
          <w:tcPr>
            <w:tcW w:w="200" w:type="dxa"/>
            <w:vAlign w:val="bottom"/>
          </w:tcPr>
          <w:p>
            <w:pPr>
              <w:spacing w:after="0"/>
              <w:rPr>
                <w:sz w:val="16"/>
                <w:szCs w:val="16"/>
                <w:color w:val="auto"/>
              </w:rPr>
            </w:pPr>
          </w:p>
        </w:tc>
        <w:tc>
          <w:tcPr>
            <w:tcW w:w="1500" w:type="dxa"/>
            <w:vAlign w:val="bottom"/>
          </w:tcPr>
          <w:p>
            <w:pPr>
              <w:jc w:val="right"/>
              <w:ind w:right="172"/>
              <w:spacing w:after="0"/>
              <w:rPr>
                <w:sz w:val="20"/>
                <w:szCs w:val="20"/>
                <w:color w:val="auto"/>
              </w:rPr>
            </w:pPr>
            <w:r>
              <w:rPr>
                <w:rFonts w:ascii="Arial" w:cs="Arial" w:eastAsia="Arial" w:hAnsi="Arial"/>
                <w:sz w:val="14"/>
                <w:szCs w:val="14"/>
                <w:b w:val="1"/>
                <w:bCs w:val="1"/>
                <w:color w:val="auto"/>
                <w:w w:val="99"/>
              </w:rPr>
              <w:t>At January 1, 2016</w:t>
            </w:r>
          </w:p>
        </w:tc>
        <w:tc>
          <w:tcPr>
            <w:tcW w:w="0" w:type="dxa"/>
            <w:vAlign w:val="bottom"/>
          </w:tcPr>
          <w:p>
            <w:pPr>
              <w:spacing w:after="0"/>
              <w:rPr>
                <w:sz w:val="1"/>
                <w:szCs w:val="1"/>
                <w:color w:val="auto"/>
              </w:rPr>
            </w:pPr>
          </w:p>
        </w:tc>
      </w:tr>
      <w:tr>
        <w:trPr>
          <w:trHeight w:val="270"/>
        </w:trPr>
        <w:tc>
          <w:tcPr>
            <w:tcW w:w="7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securitizations, gross</w:t>
            </w:r>
            <w:r>
              <w:rPr>
                <w:rFonts w:ascii="Arial" w:cs="Arial" w:eastAsia="Arial" w:hAnsi="Arial"/>
                <w:sz w:val="18"/>
                <w:szCs w:val="18"/>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806,716</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684,604</w:t>
            </w:r>
          </w:p>
        </w:tc>
        <w:tc>
          <w:tcPr>
            <w:tcW w:w="0" w:type="dxa"/>
            <w:vAlign w:val="bottom"/>
          </w:tcPr>
          <w:p>
            <w:pPr>
              <w:spacing w:after="0"/>
              <w:rPr>
                <w:sz w:val="1"/>
                <w:szCs w:val="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(10,380)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(9,043)</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796,336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675,561</w:t>
            </w:r>
          </w:p>
        </w:tc>
        <w:tc>
          <w:tcPr>
            <w:tcW w:w="0" w:type="dxa"/>
            <w:vAlign w:val="bottom"/>
          </w:tcPr>
          <w:p>
            <w:pPr>
              <w:spacing w:after="0"/>
              <w:rPr>
                <w:sz w:val="1"/>
                <w:szCs w:val="1"/>
                <w:color w:val="auto"/>
              </w:rPr>
            </w:pPr>
          </w:p>
        </w:tc>
      </w:tr>
      <w:tr>
        <w:trPr>
          <w:trHeight w:val="243"/>
        </w:trPr>
        <w:tc>
          <w:tcPr>
            <w:tcW w:w="7740" w:type="dxa"/>
            <w:vAlign w:val="bottom"/>
          </w:tcPr>
          <w:p>
            <w:pPr>
              <w:ind w:left="40"/>
              <w:spacing w:after="0"/>
              <w:rPr>
                <w:sz w:val="20"/>
                <w:szCs w:val="20"/>
                <w:color w:val="auto"/>
              </w:rPr>
            </w:pPr>
            <w:r>
              <w:rPr>
                <w:rFonts w:ascii="Arial" w:cs="Arial" w:eastAsia="Arial" w:hAnsi="Arial"/>
                <w:sz w:val="18"/>
                <w:szCs w:val="18"/>
                <w:color w:val="auto"/>
              </w:rPr>
              <w:t>Other debt, gross</w:t>
            </w:r>
          </w:p>
        </w:tc>
        <w:tc>
          <w:tcPr>
            <w:tcW w:w="180" w:type="dxa"/>
            <w:vAlign w:val="bottom"/>
          </w:tcPr>
          <w:p>
            <w:pPr>
              <w:spacing w:after="0"/>
              <w:rPr>
                <w:sz w:val="21"/>
                <w:szCs w:val="21"/>
                <w:color w:val="auto"/>
              </w:rPr>
            </w:pPr>
          </w:p>
        </w:tc>
        <w:tc>
          <w:tcPr>
            <w:tcW w:w="1640" w:type="dxa"/>
            <w:vAlign w:val="bottom"/>
          </w:tcPr>
          <w:p>
            <w:pPr>
              <w:jc w:val="right"/>
              <w:ind w:right="32"/>
              <w:spacing w:after="0"/>
              <w:rPr>
                <w:sz w:val="20"/>
                <w:szCs w:val="20"/>
                <w:color w:val="auto"/>
              </w:rPr>
            </w:pPr>
            <w:r>
              <w:rPr>
                <w:rFonts w:ascii="Arial" w:cs="Arial" w:eastAsia="Arial" w:hAnsi="Arial"/>
                <w:sz w:val="18"/>
                <w:szCs w:val="18"/>
                <w:color w:val="auto"/>
              </w:rPr>
              <w:t>1,213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3,496</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37"/>
        </w:trPr>
        <w:tc>
          <w:tcPr>
            <w:tcW w:w="77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3,232</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7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804,721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678,793</w:t>
            </w:r>
          </w:p>
        </w:tc>
        <w:tc>
          <w:tcPr>
            <w:tcW w:w="0" w:type="dxa"/>
            <w:vAlign w:val="bottom"/>
          </w:tcPr>
          <w:p>
            <w:pPr>
              <w:spacing w:after="0"/>
              <w:rPr>
                <w:sz w:val="1"/>
                <w:szCs w:val="1"/>
                <w:color w:val="auto"/>
              </w:rPr>
            </w:pPr>
          </w:p>
        </w:tc>
      </w:tr>
      <w:tr>
        <w:trPr>
          <w:trHeight w:val="27"/>
        </w:trPr>
        <w:tc>
          <w:tcPr>
            <w:tcW w:w="77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7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8"/>
          <w:szCs w:val="18"/>
          <w:color w:val="auto"/>
        </w:rPr>
        <w:t>Interest rates as of September 9, 2016 range from 2.2% to 6.3% with a weighted average interest rate of 2.5%.</w:t>
      </w:r>
    </w:p>
    <w:p>
      <w:pPr>
        <w:spacing w:after="0" w:line="203" w:lineRule="exact"/>
        <w:rPr>
          <w:sz w:val="20"/>
          <w:szCs w:val="20"/>
          <w:color w:val="auto"/>
        </w:rPr>
      </w:pPr>
    </w:p>
    <w:p>
      <w:pPr>
        <w:ind w:firstLine="878"/>
        <w:spacing w:after="0" w:line="272" w:lineRule="auto"/>
        <w:rPr>
          <w:sz w:val="20"/>
          <w:szCs w:val="20"/>
          <w:color w:val="auto"/>
        </w:rPr>
      </w:pPr>
      <w:r>
        <w:rPr>
          <w:rFonts w:ascii="Arial" w:cs="Arial" w:eastAsia="Arial" w:hAnsi="Arial"/>
          <w:sz w:val="17"/>
          <w:szCs w:val="17"/>
          <w:color w:val="auto"/>
        </w:rPr>
        <w:t>See Footnote No. 13, “Variable Interest Entities,” for a discussion of the collateral for the non-recourse debt associated with the securitized vacation ownership notes receivable and the Warehouse Credit Facility. All of our other debt was, and to the extent currently outstanding is, recourse to us but unsecured. The Warehouse Credit Facility currently terminates on November 22, 2017 and if not renewed, any amounts outstanding thereunder would become due and payable 13 months after termination, at which time all principal and interest collected with respect to the vacation ownership notes receivable held in the Warehouse Credit Facility would be redirected to the lenders to pay down the outstanding debt under the facility. As of September 9, 2016, there were no cash borrowings outstanding under our Warehouse Credit Facility. We generally expect to securitize our vacation ownership notes receivable, including any vacation ownership notes receivable held in the Warehouse Credit Facility, in the ABS market once per year.</w:t>
      </w:r>
    </w:p>
    <w:p>
      <w:pPr>
        <w:spacing w:after="0" w:line="178" w:lineRule="exact"/>
        <w:rPr>
          <w:sz w:val="20"/>
          <w:szCs w:val="20"/>
          <w:color w:val="auto"/>
        </w:rPr>
      </w:pPr>
    </w:p>
    <w:p>
      <w:pPr>
        <w:ind w:right="200" w:firstLine="878"/>
        <w:spacing w:after="0" w:line="257" w:lineRule="auto"/>
        <w:rPr>
          <w:sz w:val="20"/>
          <w:szCs w:val="20"/>
          <w:color w:val="auto"/>
        </w:rPr>
      </w:pPr>
      <w:r>
        <w:rPr>
          <w:rFonts w:ascii="Arial" w:cs="Arial" w:eastAsia="Arial" w:hAnsi="Arial"/>
          <w:sz w:val="18"/>
          <w:szCs w:val="18"/>
          <w:color w:val="auto"/>
        </w:rPr>
        <w:t>Although no cash borrowings were outstanding as of September 9, 2016 under our Revolving Corporate Credit Facility, any amounts borrowed under that facility, as well as obligations with respect to letters of credit issued pursuant to that facility, are secured by a perfected first priority security interest in substantially all of the assets of the borrower under, and guarantors of, that facility (which include Marriott Vacations Worldwide and each of our direct and indirect, existing and future, domestic subsidiaries, excluding certain bankruptcy remote special purpose subsidiaries), in each case including inventory, subject to certain exceptions.</w:t>
      </w:r>
    </w:p>
    <w:p>
      <w:pPr>
        <w:spacing w:after="0" w:line="188" w:lineRule="exact"/>
        <w:rPr>
          <w:sz w:val="20"/>
          <w:szCs w:val="20"/>
          <w:color w:val="auto"/>
        </w:rPr>
      </w:pPr>
    </w:p>
    <w:p>
      <w:pPr>
        <w:ind w:right="160" w:firstLine="878"/>
        <w:spacing w:after="0" w:line="288" w:lineRule="auto"/>
        <w:rPr>
          <w:sz w:val="20"/>
          <w:szCs w:val="20"/>
          <w:color w:val="auto"/>
        </w:rPr>
      </w:pPr>
      <w:r>
        <w:rPr>
          <w:rFonts w:ascii="Arial" w:cs="Arial" w:eastAsia="Arial" w:hAnsi="Arial"/>
          <w:sz w:val="16"/>
          <w:szCs w:val="16"/>
          <w:color w:val="auto"/>
        </w:rPr>
        <w:t>On August 11, 2016, we completed the securitization of a pool of $259.1 million of vacation ownership notes receivable, generating $250.0 million in gross cash proceeds. Approximately $207.3 million of the vacation ownership notes receivable were purchased on August 11, 2016 by the 2016-1 Trust, and we received $200.0 million of the proceeds. When the remaining $51.8 million of vacation ownership notes receivable were purchased by the</w:t>
      </w:r>
    </w:p>
    <w:p>
      <w:pPr>
        <w:jc w:val="both"/>
        <w:ind w:right="80"/>
        <w:spacing w:after="0" w:line="281" w:lineRule="auto"/>
        <w:rPr>
          <w:sz w:val="20"/>
          <w:szCs w:val="20"/>
          <w:color w:val="auto"/>
        </w:rPr>
      </w:pPr>
      <w:r>
        <w:rPr>
          <w:rFonts w:ascii="Arial" w:cs="Arial" w:eastAsia="Arial" w:hAnsi="Arial"/>
          <w:sz w:val="16"/>
          <w:szCs w:val="16"/>
          <w:color w:val="auto"/>
        </w:rPr>
        <w:t>2016-1 Trust subsequent to the end of the third quarter, the remaining $50.0 million of the proceeds, which had been held in restricted cash, were released. In connection with the securitization, investors purchased in a private placement $250.0 million in vacation ownership loan backed notes from the 2016-1 Trust. Two classes of vacation ownership loan backed notes were issued by the 2016-1 Trust: $230.6 million of Class A Notes and $19.4 million of Class B Notes.</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The Class A Notes have an interest rate of 2.25 percent and the Class B Notes have an interest rate of 2.64 percent, for an overall weighted average interest rate of 2.28 percent.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shows scheduled future principal payments for our debt: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Vacation Ownership Notes</w:t>
            </w:r>
          </w:p>
        </w:tc>
        <w:tc>
          <w:tcPr>
            <w:tcW w:w="340" w:type="dxa"/>
            <w:vAlign w:val="bottom"/>
          </w:tcPr>
          <w:p>
            <w:pPr>
              <w:spacing w:after="0"/>
              <w:rPr>
                <w:sz w:val="14"/>
                <w:szCs w:val="14"/>
                <w:color w:val="auto"/>
              </w:rPr>
            </w:pPr>
          </w:p>
        </w:tc>
        <w:tc>
          <w:tcPr>
            <w:tcW w:w="16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Other Debt</w:t>
            </w:r>
          </w:p>
        </w:tc>
        <w:tc>
          <w:tcPr>
            <w:tcW w:w="280" w:type="dxa"/>
            <w:vAlign w:val="bottom"/>
          </w:tcPr>
          <w:p>
            <w:pPr>
              <w:spacing w:after="0"/>
              <w:rPr>
                <w:sz w:val="14"/>
                <w:szCs w:val="14"/>
                <w:color w:val="auto"/>
              </w:rPr>
            </w:pPr>
          </w:p>
        </w:tc>
        <w:tc>
          <w:tcPr>
            <w:tcW w:w="16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Capital Leases</w:t>
            </w:r>
          </w:p>
        </w:tc>
        <w:tc>
          <w:tcPr>
            <w:tcW w:w="440" w:type="dxa"/>
            <w:vAlign w:val="bottom"/>
          </w:tcPr>
          <w:p>
            <w:pPr>
              <w:spacing w:after="0"/>
              <w:rPr>
                <w:sz w:val="14"/>
                <w:szCs w:val="14"/>
                <w:color w:val="auto"/>
              </w:rPr>
            </w:pPr>
          </w:p>
        </w:tc>
        <w:tc>
          <w:tcPr>
            <w:tcW w:w="1400" w:type="dxa"/>
            <w:vAlign w:val="bottom"/>
            <w:vMerge w:val="restart"/>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1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Receivable Securitizations</w:t>
            </w:r>
            <w:r>
              <w:rPr>
                <w:rFonts w:ascii="Arial" w:cs="Arial" w:eastAsia="Arial" w:hAnsi="Arial"/>
                <w:sz w:val="8"/>
                <w:szCs w:val="8"/>
                <w:b w:val="1"/>
                <w:bCs w:val="1"/>
                <w:color w:val="auto"/>
                <w:w w:val="92"/>
              </w:rPr>
              <w:t>(1)</w:t>
            </w:r>
          </w:p>
        </w:tc>
        <w:tc>
          <w:tcPr>
            <w:tcW w:w="3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Debt Principal Payments Year</w:t>
            </w: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2016</w:t>
            </w:r>
          </w:p>
        </w:tc>
        <w:tc>
          <w:tcPr>
            <w:tcW w:w="640" w:type="dxa"/>
            <w:vAlign w:val="bottom"/>
          </w:tcPr>
          <w:p>
            <w:pPr>
              <w:jc w:val="right"/>
              <w:ind w:right="439"/>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35,047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35,057</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106,804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114,636</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2018</w:t>
            </w:r>
          </w:p>
        </w:tc>
        <w:tc>
          <w:tcPr>
            <w:tcW w:w="6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95,972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95,984</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6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88,446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88,459</w:t>
            </w:r>
          </w:p>
        </w:tc>
        <w:tc>
          <w:tcPr>
            <w:tcW w:w="0" w:type="dxa"/>
            <w:vAlign w:val="bottom"/>
          </w:tcPr>
          <w:p>
            <w:pPr>
              <w:spacing w:after="0"/>
              <w:rPr>
                <w:sz w:val="1"/>
                <w:szCs w:val="1"/>
                <w:color w:val="auto"/>
              </w:rPr>
            </w:pPr>
          </w:p>
        </w:tc>
      </w:tr>
      <w:tr>
        <w:trPr>
          <w:trHeight w:val="243"/>
        </w:trPr>
        <w:tc>
          <w:tcPr>
            <w:tcW w:w="3140" w:type="dxa"/>
            <w:vAlign w:val="bottom"/>
          </w:tcPr>
          <w:p>
            <w:pPr>
              <w:ind w:left="40"/>
              <w:spacing w:after="0"/>
              <w:rPr>
                <w:sz w:val="20"/>
                <w:szCs w:val="20"/>
                <w:color w:val="auto"/>
              </w:rPr>
            </w:pPr>
            <w:r>
              <w:rPr>
                <w:rFonts w:ascii="Arial" w:cs="Arial" w:eastAsia="Arial" w:hAnsi="Arial"/>
                <w:sz w:val="18"/>
                <w:szCs w:val="18"/>
                <w:color w:val="auto"/>
              </w:rPr>
              <w:t>2020</w:t>
            </w:r>
          </w:p>
        </w:tc>
        <w:tc>
          <w:tcPr>
            <w:tcW w:w="6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87,223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87,237</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6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393,224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393,777</w:t>
            </w:r>
          </w:p>
        </w:tc>
        <w:tc>
          <w:tcPr>
            <w:tcW w:w="0" w:type="dxa"/>
            <w:vAlign w:val="bottom"/>
          </w:tcPr>
          <w:p>
            <w:pPr>
              <w:spacing w:after="0"/>
              <w:rPr>
                <w:sz w:val="1"/>
                <w:szCs w:val="1"/>
                <w:color w:val="auto"/>
              </w:rPr>
            </w:pPr>
          </w:p>
        </w:tc>
      </w:tr>
      <w:tr>
        <w:trPr>
          <w:trHeight w:val="237"/>
        </w:trPr>
        <w:tc>
          <w:tcPr>
            <w:tcW w:w="3140" w:type="dxa"/>
            <w:vAlign w:val="bottom"/>
          </w:tcPr>
          <w:p>
            <w:pPr>
              <w:ind w:left="280"/>
              <w:spacing w:after="0"/>
              <w:rPr>
                <w:sz w:val="20"/>
                <w:szCs w:val="20"/>
                <w:color w:val="auto"/>
              </w:rPr>
            </w:pPr>
            <w:r>
              <w:rPr>
                <w:rFonts w:ascii="Arial" w:cs="Arial" w:eastAsia="Arial" w:hAnsi="Arial"/>
                <w:sz w:val="18"/>
                <w:szCs w:val="18"/>
                <w:color w:val="auto"/>
              </w:rPr>
              <w:t>Balance at September 9, 2016</w:t>
            </w:r>
          </w:p>
        </w:tc>
        <w:tc>
          <w:tcPr>
            <w:tcW w:w="640" w:type="dxa"/>
            <w:vAlign w:val="bottom"/>
            <w:tcBorders>
              <w:top w:val="single" w:sz="8" w:color="auto"/>
            </w:tcBorders>
          </w:tcPr>
          <w:p>
            <w:pPr>
              <w:jc w:val="right"/>
              <w:ind w:right="439"/>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806,716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7,221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815,150</w:t>
            </w:r>
          </w:p>
        </w:tc>
        <w:tc>
          <w:tcPr>
            <w:tcW w:w="0" w:type="dxa"/>
            <w:vAlign w:val="bottom"/>
          </w:tcPr>
          <w:p>
            <w:pPr>
              <w:spacing w:after="0"/>
              <w:rPr>
                <w:sz w:val="1"/>
                <w:szCs w:val="1"/>
                <w:color w:val="auto"/>
              </w:rPr>
            </w:pPr>
          </w:p>
        </w:tc>
      </w:tr>
      <w:tr>
        <w:trPr>
          <w:trHeight w:val="27"/>
        </w:trPr>
        <w:tc>
          <w:tcPr>
            <w:tcW w:w="31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40" w:type="dxa"/>
            <w:vAlign w:val="bottom"/>
            <w:vMerge w:val="continue"/>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14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500" w:hanging="332"/>
        <w:spacing w:after="0" w:line="239"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The debt associated with our vacation ownership notes receivable securitizations is non-recourse to us and represents estimated principal payments assuming purchase of the remaining vacation ownership notes receivable by the 2016-1 Trust in the fourth quarter of 2016 as discussed above.</w:t>
      </w:r>
    </w:p>
    <w:p>
      <w:pPr>
        <w:spacing w:after="0" w:line="203" w:lineRule="exact"/>
        <w:rPr>
          <w:sz w:val="20"/>
          <w:szCs w:val="20"/>
          <w:color w:val="auto"/>
        </w:rPr>
      </w:pPr>
    </w:p>
    <w:p>
      <w:pPr>
        <w:ind w:right="420" w:firstLine="878"/>
        <w:spacing w:after="0" w:line="342" w:lineRule="auto"/>
        <w:rPr>
          <w:sz w:val="20"/>
          <w:szCs w:val="20"/>
          <w:color w:val="auto"/>
        </w:rPr>
      </w:pPr>
      <w:r>
        <w:rPr>
          <w:rFonts w:ascii="Arial" w:cs="Arial" w:eastAsia="Arial" w:hAnsi="Arial"/>
          <w:sz w:val="16"/>
          <w:szCs w:val="16"/>
          <w:color w:val="auto"/>
        </w:rPr>
        <w:t>As the contractual terms of the underlying securitized vacation ownership notes receivable determine the maturities of the non-recourse debt associated with them, actual maturities may occur earlier than shown above due to prepayments by the vacation ownership notes receivable obligors.</w:t>
      </w:r>
    </w:p>
    <w:p>
      <w:pPr>
        <w:spacing w:after="0" w:line="124" w:lineRule="exact"/>
        <w:rPr>
          <w:sz w:val="20"/>
          <w:szCs w:val="20"/>
          <w:color w:val="auto"/>
        </w:rPr>
      </w:pPr>
    </w:p>
    <w:p>
      <w:pPr>
        <w:ind w:right="360" w:firstLine="878"/>
        <w:spacing w:after="0" w:line="277" w:lineRule="auto"/>
        <w:rPr>
          <w:sz w:val="20"/>
          <w:szCs w:val="20"/>
          <w:color w:val="auto"/>
        </w:rPr>
      </w:pPr>
      <w:r>
        <w:rPr>
          <w:rFonts w:ascii="Arial" w:cs="Arial" w:eastAsia="Arial" w:hAnsi="Arial"/>
          <w:sz w:val="18"/>
          <w:szCs w:val="18"/>
          <w:color w:val="auto"/>
        </w:rPr>
        <w:t>We paid cash for interest, net of amounts capitalized, of $14.6 million and $18.5 million in the thirty-six weeks ended September 9, 2016 and September 11, 2015,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Associated with Vacation Ownership Notes Receivable Securitizations</w:t>
      </w:r>
    </w:p>
    <w:p>
      <w:pPr>
        <w:spacing w:after="0" w:line="225" w:lineRule="exact"/>
        <w:rPr>
          <w:sz w:val="20"/>
          <w:szCs w:val="20"/>
          <w:color w:val="auto"/>
        </w:rPr>
      </w:pPr>
    </w:p>
    <w:p>
      <w:pPr>
        <w:ind w:firstLine="878"/>
        <w:spacing w:after="0" w:line="272" w:lineRule="auto"/>
        <w:rPr>
          <w:sz w:val="20"/>
          <w:szCs w:val="20"/>
          <w:color w:val="auto"/>
        </w:rPr>
      </w:pPr>
      <w:r>
        <w:rPr>
          <w:rFonts w:ascii="Arial" w:cs="Arial" w:eastAsia="Arial" w:hAnsi="Arial"/>
          <w:sz w:val="17"/>
          <w:szCs w:val="17"/>
          <w:color w:val="auto"/>
        </w:rPr>
        <w:t>Each of the transactions in which we have securitized vacation ownership notes receivable contains various triggers relating to the performance of the underlying vacation ownership notes receivable. If a pool of securitized vacation ownership notes receivable fails to perform within the pool’s established parameters (default or delinquency thresholds vary by transaction), transaction provisions effectively redirect the monthly excess spread we would otherwise receive from that pool (attributable to the interests we retained) to accelerate the principal payments to investors (taking into account the subordination of the different tranches to the extent there are multiple tranches) until the performance trigger is cured. During the thirty-six weeks ended September 9, 2016 and as of September 9, 2016, no securitized vacation ownership notes receivable pools were out of compliance with their respective established parameters. As of September 9, 2016, we had 7 securitized vacation ownership notes receivable pools outstanding.</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the Revolving Corporate Credit Facility</w:t>
      </w:r>
    </w:p>
    <w:p>
      <w:pPr>
        <w:spacing w:after="0" w:line="225" w:lineRule="exact"/>
        <w:rPr>
          <w:sz w:val="20"/>
          <w:szCs w:val="20"/>
          <w:color w:val="auto"/>
        </w:rPr>
      </w:pPr>
    </w:p>
    <w:p>
      <w:pPr>
        <w:ind w:firstLine="878"/>
        <w:spacing w:after="0" w:line="289" w:lineRule="auto"/>
        <w:rPr>
          <w:sz w:val="20"/>
          <w:szCs w:val="20"/>
          <w:color w:val="auto"/>
        </w:rPr>
      </w:pPr>
      <w:r>
        <w:rPr>
          <w:rFonts w:ascii="Arial" w:cs="Arial" w:eastAsia="Arial" w:hAnsi="Arial"/>
          <w:sz w:val="16"/>
          <w:szCs w:val="16"/>
          <w:color w:val="auto"/>
        </w:rPr>
        <w:t>During the second quarter of 2016, we entered into an amendment to the Revolving Corporate Credit Facility. Among other things, the amendment modifies certain of the financial covenants contained in the Revolving Corporate Credit Facility in a manner more favorable to us. The minimum consolidated tangible net worth covenant has been amended to require us to maintain a minimum consolidated tangible net worth (as defined in the Revolving Corporate Credit Facility) equal to the sum of (1) 70 percent, rather than 75 percent, of our relevant baseline net worth and (2) 70 percent, rather than 80 percent, of increases in such net worth resulting from certain equity offerings. In addition, we are required to maintain a ratio of our borrowing base amount (as defined in the Revolving Corporate Credit Facility) to the sum of (1) total extensions of credit under the Revolving Corporate Credit Facility and (2) the excess (if any) of all unrealized losses over all unrealized profits of certain swap agreements, of at least 1 to 1, rather than 1:25 to 1. The amendment also adds certain technical provisions with respect to the impact of European Union bail-in banking legislation on liabilities of certain non-U.S. financial institutions. The other terms of the Revolving Corporate Credit Facility are substantially similar to those in effect prior to the execution of the amendment.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Leases</w:t>
      </w:r>
    </w:p>
    <w:p>
      <w:pPr>
        <w:spacing w:after="0" w:line="225" w:lineRule="exact"/>
        <w:rPr>
          <w:sz w:val="20"/>
          <w:szCs w:val="20"/>
          <w:color w:val="auto"/>
        </w:rPr>
      </w:pPr>
    </w:p>
    <w:p>
      <w:pPr>
        <w:ind w:right="480" w:firstLine="878"/>
        <w:spacing w:after="0" w:line="264" w:lineRule="auto"/>
        <w:rPr>
          <w:sz w:val="20"/>
          <w:szCs w:val="20"/>
          <w:color w:val="auto"/>
        </w:rPr>
      </w:pPr>
      <w:r>
        <w:rPr>
          <w:rFonts w:ascii="Arial" w:cs="Arial" w:eastAsia="Arial" w:hAnsi="Arial"/>
          <w:sz w:val="18"/>
          <w:szCs w:val="18"/>
          <w:color w:val="auto"/>
        </w:rPr>
        <w:t>During the first quarter of 2016, we entered into a capital lease arrangement for ancillary and operations space in connection with the commitment to purchase an operating property located in New York, New York. See Footnote No. 8, “Contingencies and Commitments,” for additional information on this transaction.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MANDATORILY REDEEMABLE PREFERRED STOCK OF CONSOLIDATED SUBSIDIARY</w:t>
      </w:r>
    </w:p>
    <w:p>
      <w:pPr>
        <w:spacing w:after="0" w:line="229" w:lineRule="exact"/>
        <w:rPr>
          <w:sz w:val="20"/>
          <w:szCs w:val="20"/>
          <w:color w:val="auto"/>
        </w:rPr>
      </w:pPr>
    </w:p>
    <w:p>
      <w:pPr>
        <w:ind w:firstLine="878"/>
        <w:spacing w:after="0" w:line="287" w:lineRule="auto"/>
        <w:rPr>
          <w:sz w:val="20"/>
          <w:szCs w:val="20"/>
          <w:color w:val="auto"/>
        </w:rPr>
      </w:pPr>
      <w:r>
        <w:rPr>
          <w:rFonts w:ascii="Arial" w:cs="Arial" w:eastAsia="Arial" w:hAnsi="Arial"/>
          <w:sz w:val="16"/>
          <w:szCs w:val="16"/>
          <w:color w:val="auto"/>
        </w:rPr>
        <w:t>Until October 26, 2016, the $40.0 million of mandatorily redeemable Series A (non-voting) preferred stock of our subsidiary MVW US Holdings, Inc. (“MVW US Holdings”) held by third-party investors will pay an annual cash dividend equal to the five-year U.S. Treasury Rate as of October 19, 2011, plus a spread of 10.958 percent, for a total annual cash dividend rate of 12 percent. After October 26, 2016, if we have not elected to redeem the preferred stock, the annual cash dividend rate will be reset to the five-year U.S. Treasury Rate in effect on such date plus the same 10.958 percent spread. The Series A preferred stock is mandatorily redeemable by MVW US Holdings upon the tenth anniversary of its October 2011 date of issuance but can be redeemed at our option after five years at par. The Series A preferred stock has an aggregate liquidation preference of $40.0 million plus any accrued and unpaid dividends and an additional premium if liquidation occurs during the first five years after the issuance of the preferred stock. As of September 9, 2016, 1,000 shares of Series A preferred stock were authorized, of which 40 shares were issued and outstanding. The dividends are recorded as a component of Interest expense as the Series A preferred stock is treated as a liability for accounting purposes. Subsequent to the end of the third quarter of 2016, we notified the holders of the mandatorily redeemable preferred stock of our election to exercise our option to redeem the preferred stock on October 26, 2016 at par plus any accrued and unpaid dividends. We intend to use cash on hand to pay the redemption price.</w:t>
      </w:r>
    </w:p>
    <w:p>
      <w:pPr>
        <w:spacing w:after="0" w:line="173" w:lineRule="exact"/>
        <w:rPr>
          <w:sz w:val="20"/>
          <w:szCs w:val="20"/>
          <w:color w:val="auto"/>
        </w:rPr>
      </w:pPr>
    </w:p>
    <w:p>
      <w:pPr>
        <w:ind w:right="240" w:firstLine="878"/>
        <w:spacing w:after="0" w:line="277" w:lineRule="auto"/>
        <w:rPr>
          <w:sz w:val="20"/>
          <w:szCs w:val="20"/>
          <w:color w:val="auto"/>
        </w:rPr>
      </w:pPr>
      <w:r>
        <w:rPr>
          <w:rFonts w:ascii="Arial" w:cs="Arial" w:eastAsia="Arial" w:hAnsi="Arial"/>
          <w:sz w:val="18"/>
          <w:szCs w:val="18"/>
          <w:color w:val="auto"/>
        </w:rPr>
        <w:t>The following table provides detail on our mandatorily redeemable preferred stock of consolidated subsidiary balance, net of unamortized debt issuance costs: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6"/>
              </w:rPr>
              <w:t>At September 9, 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7"/>
              </w:rPr>
              <w:t>At January 1, 2016</w:t>
            </w:r>
          </w:p>
        </w:tc>
        <w:tc>
          <w:tcPr>
            <w:tcW w:w="0" w:type="dxa"/>
            <w:vAlign w:val="bottom"/>
          </w:tcPr>
          <w:p>
            <w:pPr>
              <w:spacing w:after="0"/>
              <w:rPr>
                <w:sz w:val="1"/>
                <w:szCs w:val="1"/>
                <w:color w:val="auto"/>
              </w:rPr>
            </w:pPr>
          </w:p>
        </w:tc>
      </w:tr>
      <w:tr>
        <w:trPr>
          <w:trHeight w:val="25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Mandatorily redeemable preferred stock of consolidated subsidiary, gross</w:t>
            </w:r>
          </w:p>
        </w:tc>
        <w:tc>
          <w:tcPr>
            <w:tcW w:w="2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Unamortized debt issuance costs</w:t>
            </w:r>
          </w:p>
        </w:tc>
        <w:tc>
          <w:tcPr>
            <w:tcW w:w="2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(892)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80" w:type="dxa"/>
            <w:vAlign w:val="bottom"/>
            <w:tcBorders>
              <w:bottom w:val="single" w:sz="8" w:color="CCEEFF"/>
            </w:tcBorders>
            <w:shd w:val="clear" w:color="auto" w:fill="CCEEFF"/>
          </w:tcPr>
          <w:p>
            <w:pPr>
              <w:spacing w:after="0"/>
              <w:rPr>
                <w:sz w:val="22"/>
                <w:szCs w:val="22"/>
                <w:color w:val="auto"/>
              </w:rPr>
            </w:pPr>
          </w:p>
        </w:tc>
        <w:tc>
          <w:tcPr>
            <w:tcW w:w="2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39,108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38,989</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1670"/>
              <w:spacing w:after="0"/>
              <w:rPr>
                <w:sz w:val="20"/>
                <w:szCs w:val="20"/>
                <w:color w:val="auto"/>
              </w:rPr>
            </w:pPr>
            <w:r>
              <w:rPr>
                <w:rFonts w:ascii="Arial" w:cs="Arial" w:eastAsia="Arial" w:hAnsi="Arial"/>
                <w:sz w:val="18"/>
                <w:szCs w:val="18"/>
                <w:color w:val="auto"/>
              </w:rPr>
              <w:t>20</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SHAREHOLDERS’ EQUITY</w:t>
      </w:r>
    </w:p>
    <w:p>
      <w:pPr>
        <w:spacing w:after="0" w:line="229" w:lineRule="exact"/>
        <w:rPr>
          <w:sz w:val="20"/>
          <w:szCs w:val="20"/>
          <w:color w:val="auto"/>
        </w:rPr>
      </w:pPr>
    </w:p>
    <w:p>
      <w:pPr>
        <w:ind w:firstLine="878"/>
        <w:spacing w:after="0" w:line="276" w:lineRule="auto"/>
        <w:rPr>
          <w:sz w:val="20"/>
          <w:szCs w:val="20"/>
          <w:color w:val="auto"/>
        </w:rPr>
      </w:pPr>
      <w:r>
        <w:rPr>
          <w:rFonts w:ascii="Arial" w:cs="Arial" w:eastAsia="Arial" w:hAnsi="Arial"/>
          <w:sz w:val="17"/>
          <w:szCs w:val="17"/>
          <w:color w:val="auto"/>
        </w:rPr>
        <w:t>Marriott Vacations Worldwide has 100,000,000 authorized shares of common stock, par value of $0.01 per share. At September 9, 2016, there were 36,626,327 shares of Marriott Vacations Worldwide common stock issued, of which 26,991,592 shares were outstanding and 9,634,735 shares were held as treasury stock. At January 1, 2016, there were 36,393,800 shares of Marriott Vacations Worldwide common stock issued, of which 29,549,544 shares were outstanding and 6,844,256 shares were held as treasury stock. Marriott Vacations Worldwide has 2,000,000 authorized shares of preferred stock, par value of $0.01 per share, none of which were issued or outstanding as of September 9, 2016 or January 1, 2016.</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following table details changes in shareholders’ equity during the thirty-six weeks ended September 9, 2016:</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Additional Paid-In</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Accumulated Other</w:t>
            </w:r>
          </w:p>
        </w:tc>
        <w:tc>
          <w:tcPr>
            <w:tcW w:w="18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92"/>
        </w:trPr>
        <w:tc>
          <w:tcPr>
            <w:tcW w:w="35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160" w:type="dxa"/>
            <w:vAlign w:val="bottom"/>
            <w:gridSpan w:val="3"/>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1,150,731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243,781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976,267</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87,524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87,524</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Derivative instrument adjustment</w:t>
            </w:r>
          </w:p>
        </w:tc>
        <w:tc>
          <w:tcPr>
            <w:tcW w:w="4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Amounts related to share-based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6,221</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Repurchase of common stock</w:t>
            </w:r>
          </w:p>
        </w:tc>
        <w:tc>
          <w:tcPr>
            <w:tcW w:w="4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(163,359)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(163,359)</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Accelerated stock repurchase forward contract</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(14,470)</w:t>
            </w:r>
          </w:p>
        </w:tc>
        <w:tc>
          <w:tcPr>
            <w:tcW w:w="0" w:type="dxa"/>
            <w:vAlign w:val="bottom"/>
          </w:tcPr>
          <w:p>
            <w:pPr>
              <w:spacing w:after="0"/>
              <w:rPr>
                <w:sz w:val="1"/>
                <w:szCs w:val="1"/>
                <w:color w:val="auto"/>
              </w:rPr>
            </w:pPr>
          </w:p>
        </w:tc>
      </w:tr>
      <w:tr>
        <w:trPr>
          <w:trHeight w:val="243"/>
        </w:trPr>
        <w:tc>
          <w:tcPr>
            <w:tcW w:w="3500" w:type="dxa"/>
            <w:vAlign w:val="bottom"/>
          </w:tcPr>
          <w:p>
            <w:pPr>
              <w:ind w:left="40"/>
              <w:spacing w:after="0"/>
              <w:rPr>
                <w:sz w:val="20"/>
                <w:szCs w:val="20"/>
                <w:color w:val="auto"/>
              </w:rPr>
            </w:pPr>
            <w:r>
              <w:rPr>
                <w:rFonts w:ascii="Arial" w:cs="Arial" w:eastAsia="Arial" w:hAnsi="Arial"/>
                <w:sz w:val="18"/>
                <w:szCs w:val="18"/>
                <w:color w:val="auto"/>
              </w:rPr>
              <w:t>Dividends</w:t>
            </w:r>
          </w:p>
        </w:tc>
        <w:tc>
          <w:tcPr>
            <w:tcW w:w="4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(25,305)</w:t>
            </w:r>
          </w:p>
        </w:tc>
        <w:tc>
          <w:tcPr>
            <w:tcW w:w="0" w:type="dxa"/>
            <w:vAlign w:val="bottom"/>
          </w:tcPr>
          <w:p>
            <w:pPr>
              <w:spacing w:after="0"/>
              <w:rPr>
                <w:sz w:val="1"/>
                <w:szCs w:val="1"/>
                <w:color w:val="auto"/>
              </w:rPr>
            </w:pPr>
          </w:p>
        </w:tc>
      </w:tr>
      <w:tr>
        <w:trPr>
          <w:trHeight w:val="27"/>
        </w:trPr>
        <w:tc>
          <w:tcPr>
            <w:tcW w:w="3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stock plan issuance</w:t>
            </w:r>
          </w:p>
        </w:tc>
        <w:tc>
          <w:tcPr>
            <w:tcW w:w="4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57"/>
        </w:trPr>
        <w:tc>
          <w:tcPr>
            <w:tcW w:w="3500" w:type="dxa"/>
            <w:vAlign w:val="bottom"/>
          </w:tcPr>
          <w:p>
            <w:pPr>
              <w:ind w:left="40"/>
              <w:spacing w:after="0"/>
              <w:rPr>
                <w:sz w:val="20"/>
                <w:szCs w:val="20"/>
                <w:color w:val="auto"/>
              </w:rPr>
            </w:pPr>
            <w:r>
              <w:rPr>
                <w:rFonts w:ascii="Arial" w:cs="Arial" w:eastAsia="Arial" w:hAnsi="Arial"/>
                <w:sz w:val="18"/>
                <w:szCs w:val="18"/>
                <w:color w:val="auto"/>
              </w:rPr>
              <w:t>Balance at September 9, 2016</w:t>
            </w: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(592,700)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1,142,480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12,104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306,024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868,274</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following table summarizes share repurchase activity under our current share repurchase program:</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Number of Shares</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Cost of Shares</w:t>
            </w: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Average Price Paid per</w:t>
            </w:r>
          </w:p>
        </w:tc>
      </w:tr>
      <w:tr>
        <w:trPr>
          <w:trHeight w:val="192"/>
        </w:trPr>
        <w:tc>
          <w:tcPr>
            <w:tcW w:w="6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 except per share amounts)</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Repurchased</w:t>
            </w:r>
          </w:p>
        </w:tc>
        <w:tc>
          <w:tcPr>
            <w:tcW w:w="200" w:type="dxa"/>
            <w:vAlign w:val="bottom"/>
          </w:tcPr>
          <w:p>
            <w:pPr>
              <w:spacing w:after="0"/>
              <w:rPr>
                <w:sz w:val="16"/>
                <w:szCs w:val="16"/>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Repurchased</w:t>
            </w:r>
          </w:p>
        </w:tc>
        <w:tc>
          <w:tcPr>
            <w:tcW w:w="340" w:type="dxa"/>
            <w:vAlign w:val="bottom"/>
          </w:tcPr>
          <w:p>
            <w:pPr>
              <w:spacing w:after="0"/>
              <w:rPr>
                <w:sz w:val="16"/>
                <w:szCs w:val="16"/>
                <w:color w:val="auto"/>
              </w:rPr>
            </w:pPr>
          </w:p>
        </w:tc>
        <w:tc>
          <w:tcPr>
            <w:tcW w:w="1120" w:type="dxa"/>
            <w:vAlign w:val="bottom"/>
          </w:tcPr>
          <w:p>
            <w:pPr>
              <w:jc w:val="right"/>
              <w:ind w:right="474"/>
              <w:spacing w:after="0"/>
              <w:rPr>
                <w:sz w:val="20"/>
                <w:szCs w:val="20"/>
                <w:color w:val="auto"/>
              </w:rPr>
            </w:pPr>
            <w:r>
              <w:rPr>
                <w:rFonts w:ascii="Arial" w:cs="Arial" w:eastAsia="Arial" w:hAnsi="Arial"/>
                <w:sz w:val="14"/>
                <w:szCs w:val="14"/>
                <w:b w:val="1"/>
                <w:bCs w:val="1"/>
                <w:color w:val="auto"/>
              </w:rPr>
              <w:t>Share</w:t>
            </w:r>
          </w:p>
        </w:tc>
      </w:tr>
      <w:tr>
        <w:trPr>
          <w:trHeight w:val="250"/>
        </w:trPr>
        <w:tc>
          <w:tcPr>
            <w:tcW w:w="6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January 1, 2016</w:t>
            </w:r>
          </w:p>
        </w:tc>
        <w:tc>
          <w:tcPr>
            <w:tcW w:w="14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6,854,083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430,609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62.83</w:t>
            </w:r>
          </w:p>
        </w:tc>
      </w:tr>
      <w:tr>
        <w:trPr>
          <w:trHeight w:val="243"/>
        </w:trPr>
        <w:tc>
          <w:tcPr>
            <w:tcW w:w="6700" w:type="dxa"/>
            <w:vAlign w:val="bottom"/>
          </w:tcPr>
          <w:p>
            <w:pPr>
              <w:ind w:left="40"/>
              <w:spacing w:after="0"/>
              <w:rPr>
                <w:sz w:val="20"/>
                <w:szCs w:val="20"/>
                <w:color w:val="auto"/>
              </w:rPr>
            </w:pPr>
            <w:r>
              <w:rPr>
                <w:rFonts w:ascii="Arial" w:cs="Arial" w:eastAsia="Arial" w:hAnsi="Arial"/>
                <w:sz w:val="18"/>
                <w:szCs w:val="18"/>
                <w:color w:val="auto"/>
              </w:rPr>
              <w:t>For the thirty-six weeks ended September 9, 2016</w:t>
            </w:r>
          </w:p>
        </w:tc>
        <w:tc>
          <w:tcPr>
            <w:tcW w:w="1460" w:type="dxa"/>
            <w:vAlign w:val="bottom"/>
          </w:tcPr>
          <w:p>
            <w:pPr>
              <w:jc w:val="right"/>
              <w:ind w:right="17"/>
              <w:spacing w:after="0"/>
              <w:rPr>
                <w:sz w:val="20"/>
                <w:szCs w:val="20"/>
                <w:color w:val="auto"/>
              </w:rPr>
            </w:pPr>
            <w:r>
              <w:rPr>
                <w:rFonts w:ascii="Arial" w:cs="Arial" w:eastAsia="Arial" w:hAnsi="Arial"/>
                <w:sz w:val="18"/>
                <w:szCs w:val="18"/>
                <w:color w:val="auto"/>
              </w:rPr>
              <w:t>2,801,035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7"/>
              <w:spacing w:after="0"/>
              <w:rPr>
                <w:sz w:val="20"/>
                <w:szCs w:val="20"/>
                <w:color w:val="auto"/>
              </w:rPr>
            </w:pPr>
            <w:r>
              <w:rPr>
                <w:rFonts w:ascii="Arial" w:cs="Arial" w:eastAsia="Arial" w:hAnsi="Arial"/>
                <w:sz w:val="18"/>
                <w:szCs w:val="18"/>
                <w:color w:val="auto"/>
              </w:rPr>
              <w:t>163,359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58.32</w:t>
            </w:r>
          </w:p>
        </w:tc>
      </w:tr>
      <w:tr>
        <w:trPr>
          <w:trHeight w:val="27"/>
        </w:trPr>
        <w:tc>
          <w:tcPr>
            <w:tcW w:w="67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 of September 9, 2016</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9,655,118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593,968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61.52</w:t>
            </w:r>
          </w:p>
        </w:tc>
      </w:tr>
      <w:tr>
        <w:trPr>
          <w:trHeight w:val="20"/>
        </w:trPr>
        <w:tc>
          <w:tcPr>
            <w:tcW w:w="67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firstLine="878"/>
        <w:spacing w:after="0" w:line="254" w:lineRule="auto"/>
        <w:rPr>
          <w:sz w:val="20"/>
          <w:szCs w:val="20"/>
          <w:color w:val="auto"/>
        </w:rPr>
      </w:pPr>
      <w:r>
        <w:rPr>
          <w:rFonts w:ascii="Arial" w:cs="Arial" w:eastAsia="Arial" w:hAnsi="Arial"/>
          <w:sz w:val="18"/>
          <w:szCs w:val="18"/>
          <w:color w:val="auto"/>
        </w:rPr>
        <w:t>On February 11, 2016, our Board of Directors approved the repurchase of up to an additional 2,000,000 shares of our common stock under our existing share repurchase program through March 24, 2017. Prior to that authorization, our Board of Directors had authorized the repurchase of an aggregate of up to 8,900,000 shares of our common stock under the share repurchase program since the initiation of the program in October 2013. Share repurchases may be made through open market purchases, privately negotiated transactions, block transactions, tender offers, accelerated share repurchase agreements or otherwise. The specific timing, amount and other terms of the repurchases will depend on market conditions, corporate and regulatory requirements and other factors. Acquired shares of our common stock are held as treasury shares carried at cost in our Financial Statements. In connection with the repurchase program, we are authorized to adopt one or more trading plans pursuant to the provisions of Rule 10b5-1 under the Securities Exchange Act of 1934, as amended.</w:t>
      </w:r>
    </w:p>
    <w:p>
      <w:pPr>
        <w:spacing w:after="0" w:line="192" w:lineRule="exact"/>
        <w:rPr>
          <w:sz w:val="20"/>
          <w:szCs w:val="20"/>
          <w:color w:val="auto"/>
        </w:rPr>
      </w:pPr>
    </w:p>
    <w:p>
      <w:pPr>
        <w:ind w:right="20" w:firstLine="878"/>
        <w:spacing w:after="0" w:line="297" w:lineRule="auto"/>
        <w:rPr>
          <w:sz w:val="20"/>
          <w:szCs w:val="20"/>
          <w:color w:val="auto"/>
        </w:rPr>
      </w:pPr>
      <w:r>
        <w:rPr>
          <w:rFonts w:ascii="Arial" w:cs="Arial" w:eastAsia="Arial" w:hAnsi="Arial"/>
          <w:sz w:val="16"/>
          <w:szCs w:val="16"/>
          <w:color w:val="auto"/>
        </w:rPr>
        <w:t>During the second quarter of 2016, pursuant to our existing share repurchase program, we entered into an accelerated share repurchase agreement (“ASR”) with a financial institution to repurchase shares of our common stock. Under the agreement, we paid $85.0 million to the financial institution and received an initial delivery of 1,168,917 shares of our common stock on June 16, 2016, which are included in treasury stock. We accounted for the ASR as two separate transactions: (i) a purchase of treasury stock and (ii) a forward contract indexed to our common stock. We recorded $70.5 million as treasury stock and $14.5 million, the implied value of the forward contract, in Additional paid-in capital on the Balance Sheet as of</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125"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20"/>
        <w:spacing w:after="0" w:line="276" w:lineRule="auto"/>
        <w:rPr>
          <w:sz w:val="20"/>
          <w:szCs w:val="20"/>
          <w:color w:val="auto"/>
        </w:rPr>
      </w:pPr>
      <w:r>
        <w:rPr>
          <w:rFonts w:ascii="Arial" w:cs="Arial" w:eastAsia="Arial" w:hAnsi="Arial"/>
          <w:sz w:val="17"/>
          <w:szCs w:val="17"/>
          <w:color w:val="auto"/>
        </w:rPr>
        <w:t>September 9, 2016. The total number of shares that we ultimately receive under the ASR is determined based on the average daily volume-weighted average share price of our common stock over the duration of the ASR, less an agreed discount, and may be subject to adjustments for certain events. A maximum of 834,940 additional shares could be delivered to us under the ASR. As the remainder of the shares are delivered to us, we will reclassify the implied value of the forward contract from additional paid-in capital to treasury stock. Upon completion of the program subsequent to the end of the third quarter of 2016, we received an additional delivery of 17,511 shares, for a total of 1,186,428 shares of common stock.</w:t>
      </w:r>
    </w:p>
    <w:p>
      <w:pPr>
        <w:spacing w:after="0" w:line="173" w:lineRule="exact"/>
        <w:rPr>
          <w:sz w:val="20"/>
          <w:szCs w:val="20"/>
          <w:color w:val="auto"/>
        </w:rPr>
      </w:pPr>
    </w:p>
    <w:p>
      <w:pPr>
        <w:ind w:right="180" w:firstLine="878"/>
        <w:spacing w:after="0" w:line="264" w:lineRule="auto"/>
        <w:rPr>
          <w:sz w:val="20"/>
          <w:szCs w:val="20"/>
          <w:color w:val="auto"/>
        </w:rPr>
      </w:pPr>
      <w:r>
        <w:rPr>
          <w:rFonts w:ascii="Arial" w:cs="Arial" w:eastAsia="Arial" w:hAnsi="Arial"/>
          <w:sz w:val="18"/>
          <w:szCs w:val="18"/>
          <w:color w:val="auto"/>
        </w:rPr>
        <w:t>As of September 9, 2016, 1.2 million shares remained available for repurchase under the authorization approved by our Board of Directors. The authorization for the share repurchase program may be suspended, terminated, increased or decreased by our Board of Directors at any time without prior notice.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declared cash dividends to holders of common stock during the thirty-six weeks ended September 9, 2016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Shareholder Record Date</w:t>
            </w:r>
          </w:p>
        </w:tc>
        <w:tc>
          <w:tcPr>
            <w:tcW w:w="12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Distribution Date</w:t>
            </w:r>
          </w:p>
        </w:tc>
        <w:tc>
          <w:tcPr>
            <w:tcW w:w="120" w:type="dxa"/>
            <w:vAlign w:val="bottom"/>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Dividend per Share</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11, 2016</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25, 2016</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10, 2016</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$0.30</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12, 2016</w:t>
            </w:r>
          </w:p>
        </w:tc>
        <w:tc>
          <w:tcPr>
            <w:tcW w:w="2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May 26, 2016</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June 9, 2016</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$0.30</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September 8, 2016</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September 22, 2016</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October 6, 2016</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$0.30</w:t>
            </w:r>
          </w:p>
        </w:tc>
      </w:tr>
    </w:tbl>
    <w:p>
      <w:pPr>
        <w:spacing w:after="0" w:line="229"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Any future dividend payments will be subject to Board approval, and there can be no assurance that we will pay dividends in the future.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229" w:lineRule="exact"/>
        <w:rPr>
          <w:sz w:val="20"/>
          <w:szCs w:val="20"/>
          <w:color w:val="auto"/>
        </w:rPr>
      </w:pPr>
    </w:p>
    <w:p>
      <w:pPr>
        <w:ind w:right="240" w:firstLine="878"/>
        <w:spacing w:after="0" w:line="277" w:lineRule="auto"/>
        <w:rPr>
          <w:sz w:val="20"/>
          <w:szCs w:val="20"/>
          <w:color w:val="auto"/>
        </w:rPr>
      </w:pPr>
      <w:r>
        <w:rPr>
          <w:rFonts w:ascii="Arial" w:cs="Arial" w:eastAsia="Arial" w:hAnsi="Arial"/>
          <w:sz w:val="18"/>
          <w:szCs w:val="18"/>
          <w:color w:val="auto"/>
        </w:rPr>
        <w:t>A total of 6 million shares are authorized for issuance under the Marriott Vacations Worldwide Corporation Stock and Cash Incentive Plan (the “Stock Plan”). As of September 9, 2016, 1.5 million shares were available for grants under the Stock Plan.</w:t>
      </w:r>
    </w:p>
    <w:p>
      <w:pPr>
        <w:spacing w:after="0" w:line="170" w:lineRule="exact"/>
        <w:rPr>
          <w:sz w:val="20"/>
          <w:szCs w:val="20"/>
          <w:color w:val="auto"/>
        </w:rPr>
      </w:pPr>
    </w:p>
    <w:p>
      <w:pPr>
        <w:ind w:right="20" w:firstLine="878"/>
        <w:spacing w:after="0" w:line="257" w:lineRule="auto"/>
        <w:rPr>
          <w:sz w:val="20"/>
          <w:szCs w:val="20"/>
          <w:color w:val="auto"/>
        </w:rPr>
      </w:pPr>
      <w:r>
        <w:rPr>
          <w:rFonts w:ascii="Arial" w:cs="Arial" w:eastAsia="Arial" w:hAnsi="Arial"/>
          <w:sz w:val="18"/>
          <w:szCs w:val="18"/>
          <w:color w:val="auto"/>
        </w:rPr>
        <w:t>For share-based awards with service-only vesting conditions, we measure compensation expense related to share-based payment transactions with our employees and non-employee directors at fair value on the grant date. With respect to our employees, we recognize this expense on our Statements of Income over the vesting period during which the employees provide service in exchange for the award; with respect to non-employee directors, we recognize this expense on the grant date. For share-based arrangements with performance vesting conditions, we recognize compensation expense once it is probable that the corresponding performance condition will be achieved.</w:t>
      </w:r>
    </w:p>
    <w:p>
      <w:pPr>
        <w:spacing w:after="0" w:line="188" w:lineRule="exact"/>
        <w:rPr>
          <w:sz w:val="20"/>
          <w:szCs w:val="20"/>
          <w:color w:val="auto"/>
        </w:rPr>
      </w:pPr>
    </w:p>
    <w:p>
      <w:pPr>
        <w:ind w:right="40" w:firstLine="878"/>
        <w:spacing w:after="0" w:line="259" w:lineRule="auto"/>
        <w:rPr>
          <w:sz w:val="20"/>
          <w:szCs w:val="20"/>
          <w:color w:val="auto"/>
        </w:rPr>
      </w:pPr>
      <w:r>
        <w:rPr>
          <w:rFonts w:ascii="Arial" w:cs="Arial" w:eastAsia="Arial" w:hAnsi="Arial"/>
          <w:sz w:val="18"/>
          <w:szCs w:val="18"/>
          <w:color w:val="auto"/>
        </w:rPr>
        <w:t>We recorded share-based compensation expense related to award grants to our officers, directors and employees of $3.1 million and $3.0 million for the twelve weeks ended September 9, 2016 and September 11, 2015, respectively, and $10.0 million and $9.6 million for the thirty-six weeks ended September 9, 2016 and September 11, 2015, respectively. Our deferred compensation liability related to unvested awards held by our employees totaled $18.8 million and $13.3 million at September 9, 2016 and January 1, 2016,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 (“RSUs”)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granted 168,617 RSUs, exclusive of RSUs with performance vesting conditions, to our employees and non-employee directors during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thirty-six weeks ended September 9, 2016. RSUs granted in the thirty-six weeks ended September 9, 2016 had a weighted average grant-date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$58.81. RSUs issued to our employees generally vest over four years in annual installments commencing one year after the date of grant. RSUs issued to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non-employee directors vest in full on the date of grant.</w:t>
      </w:r>
    </w:p>
    <w:p>
      <w:pPr>
        <w:spacing w:after="0" w:line="211" w:lineRule="exact"/>
        <w:rPr>
          <w:sz w:val="20"/>
          <w:szCs w:val="20"/>
          <w:color w:val="auto"/>
        </w:rPr>
      </w:pPr>
    </w:p>
    <w:p>
      <w:pPr>
        <w:ind w:right="20" w:firstLine="878"/>
        <w:spacing w:after="0" w:line="257" w:lineRule="auto"/>
        <w:rPr>
          <w:sz w:val="20"/>
          <w:szCs w:val="20"/>
          <w:color w:val="auto"/>
        </w:rPr>
      </w:pPr>
      <w:r>
        <w:rPr>
          <w:rFonts w:ascii="Arial" w:cs="Arial" w:eastAsia="Arial" w:hAnsi="Arial"/>
          <w:sz w:val="18"/>
          <w:szCs w:val="18"/>
          <w:color w:val="auto"/>
        </w:rPr>
        <w:t>During the thirty-six weeks ended September 9, 2016 and September 11, 2015, we granted RSUs with performance vesting conditions to members of management. The number of RSUs earned, if any, is determined following the end of a three-year performance period based upon our cumulative achievement over that period of specific quantitative operating financial measures. The maximum number of RSUs that may be earned under the RSUs with performance-based vesting criteria granted during the thirty-six weeks ended September 9, 2016 and September 11, 2015 was approximately 144,000 and 74,000,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Appreciation Rights</w:t>
      </w:r>
    </w:p>
    <w:p>
      <w:pPr>
        <w:spacing w:after="0" w:line="225" w:lineRule="exact"/>
        <w:rPr>
          <w:sz w:val="20"/>
          <w:szCs w:val="20"/>
          <w:color w:val="auto"/>
        </w:rPr>
      </w:pPr>
    </w:p>
    <w:p>
      <w:pPr>
        <w:ind w:right="60" w:firstLine="878"/>
        <w:spacing w:after="0" w:line="312" w:lineRule="auto"/>
        <w:rPr>
          <w:sz w:val="20"/>
          <w:szCs w:val="20"/>
          <w:color w:val="auto"/>
        </w:rPr>
      </w:pPr>
      <w:r>
        <w:rPr>
          <w:rFonts w:ascii="Arial" w:cs="Arial" w:eastAsia="Arial" w:hAnsi="Arial"/>
          <w:sz w:val="16"/>
          <w:szCs w:val="16"/>
          <w:color w:val="auto"/>
        </w:rPr>
        <w:t>We granted 132,597 SARs to members of management during the thirty-six weeks ended September 9, 2016. These SARs had a weighted average grant-date fair value of $16.12 and a weighted average exercise price of $61.71. SARs generally expire ten years after the date of grant and both vest and become exercisable in cumulative installments of one quarter of the grant at the end of each of the first four years following the date of grant.</w:t>
      </w:r>
    </w:p>
    <w:p>
      <w:pPr>
        <w:spacing w:after="0" w:line="147" w:lineRule="exact"/>
        <w:rPr>
          <w:sz w:val="20"/>
          <w:szCs w:val="20"/>
          <w:color w:val="auto"/>
        </w:rPr>
      </w:pPr>
    </w:p>
    <w:p>
      <w:pPr>
        <w:ind w:firstLine="878"/>
        <w:spacing w:after="0" w:line="257" w:lineRule="auto"/>
        <w:rPr>
          <w:sz w:val="20"/>
          <w:szCs w:val="20"/>
          <w:color w:val="auto"/>
        </w:rPr>
      </w:pPr>
      <w:r>
        <w:rPr>
          <w:rFonts w:ascii="Arial" w:cs="Arial" w:eastAsia="Arial" w:hAnsi="Arial"/>
          <w:sz w:val="18"/>
          <w:szCs w:val="18"/>
          <w:color w:val="auto"/>
        </w:rPr>
        <w:t>We use the Black-Scholes model to estimate the fair value of the SARs granted. For SARs granted under the Stock Plan in the thirty-six weeks ended September 9, 2016, the expected stock price volatility was calculated based on the historical volatility from the stock prices of a group of identified peer companies. The average expected life was calculated using the simplified method. The risk-free interest rate was calculated based on U.S. Treasury zero-coupon issues with a remaining term equal to the expected life assumed at the date of grant. The dividend yield assumption listed below is based on the expectation of future payouts.</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outlines the assumptions used to estimate the fair value of grants during the thirty-six weeks ended September 9, 2016:</w:t>
      </w:r>
    </w:p>
    <w:p>
      <w:pPr>
        <w:spacing w:after="0" w:line="386" w:lineRule="exact"/>
        <w:rPr>
          <w:sz w:val="20"/>
          <w:szCs w:val="20"/>
          <w:color w:val="auto"/>
        </w:rPr>
      </w:pPr>
    </w:p>
    <w:tbl>
      <w:tblPr>
        <w:tblLayout w:type="fixed"/>
        <w:tblInd w:w="2700" w:type="dxa"/>
        <w:tblCellMar>
          <w:top w:w="0" w:type="dxa"/>
          <w:left w:w="0" w:type="dxa"/>
          <w:bottom w:w="0" w:type="dxa"/>
          <w:right w:w="0" w:type="dxa"/>
        </w:tblCellMar>
      </w:tblPr>
      <w:tr>
        <w:trPr>
          <w:trHeight w:val="270"/>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276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1"/>
              </w:rPr>
              <w:t>31.60%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760" w:type="dxa"/>
            <w:vAlign w:val="bottom"/>
          </w:tcPr>
          <w:p>
            <w:pPr>
              <w:jc w:val="center"/>
              <w:ind w:left="690"/>
              <w:spacing w:after="0"/>
              <w:rPr>
                <w:sz w:val="20"/>
                <w:szCs w:val="20"/>
                <w:color w:val="auto"/>
              </w:rPr>
            </w:pPr>
            <w:r>
              <w:rPr>
                <w:rFonts w:ascii="Arial" w:cs="Arial" w:eastAsia="Arial" w:hAnsi="Arial"/>
                <w:sz w:val="18"/>
                <w:szCs w:val="18"/>
                <w:color w:val="auto"/>
                <w:w w:val="90"/>
              </w:rPr>
              <w:t>1.96%</w:t>
            </w:r>
          </w:p>
        </w:tc>
      </w:tr>
      <w:tr>
        <w:trPr>
          <w:trHeight w:val="27"/>
        </w:trPr>
        <w:tc>
          <w:tcPr>
            <w:tcW w:w="3280" w:type="dxa"/>
            <w:vAlign w:val="bottom"/>
          </w:tcPr>
          <w:p>
            <w:pPr>
              <w:spacing w:after="0"/>
              <w:rPr>
                <w:sz w:val="2"/>
                <w:szCs w:val="2"/>
                <w:color w:val="auto"/>
              </w:rPr>
            </w:pPr>
          </w:p>
        </w:tc>
        <w:tc>
          <w:tcPr>
            <w:tcW w:w="276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2760" w:type="dxa"/>
            <w:vAlign w:val="bottom"/>
            <w:tcBorders>
              <w:bottom w:val="single" w:sz="8" w:color="CCEEFF"/>
            </w:tcBorders>
            <w:shd w:val="clear" w:color="auto" w:fill="CCEEFF"/>
          </w:tcPr>
          <w:p>
            <w:pPr>
              <w:jc w:val="center"/>
              <w:ind w:left="690"/>
              <w:spacing w:after="0"/>
              <w:rPr>
                <w:sz w:val="20"/>
                <w:szCs w:val="20"/>
                <w:color w:val="auto"/>
              </w:rPr>
            </w:pPr>
            <w:r>
              <w:rPr>
                <w:rFonts w:ascii="Arial" w:cs="Arial" w:eastAsia="Arial" w:hAnsi="Arial"/>
                <w:sz w:val="18"/>
                <w:szCs w:val="18"/>
                <w:color w:val="auto"/>
                <w:w w:val="90"/>
              </w:rPr>
              <w:t>1.41%</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2760" w:type="dxa"/>
            <w:vAlign w:val="bottom"/>
          </w:tcPr>
          <w:p>
            <w:pPr>
              <w:jc w:val="center"/>
              <w:ind w:left="670"/>
              <w:spacing w:after="0"/>
              <w:rPr>
                <w:sz w:val="20"/>
                <w:szCs w:val="20"/>
                <w:color w:val="auto"/>
              </w:rPr>
            </w:pPr>
            <w:r>
              <w:rPr>
                <w:rFonts w:ascii="Arial" w:cs="Arial" w:eastAsia="Arial" w:hAnsi="Arial"/>
                <w:sz w:val="18"/>
                <w:szCs w:val="18"/>
                <w:color w:val="auto"/>
                <w:w w:val="91"/>
              </w:rPr>
              <w:t>6.25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229" w:lineRule="exact"/>
        <w:rPr>
          <w:sz w:val="20"/>
          <w:szCs w:val="20"/>
          <w:color w:val="auto"/>
        </w:rPr>
      </w:pPr>
    </w:p>
    <w:p>
      <w:pPr>
        <w:ind w:right="20" w:firstLine="878"/>
        <w:spacing w:after="0" w:line="276" w:lineRule="auto"/>
        <w:rPr>
          <w:sz w:val="20"/>
          <w:szCs w:val="20"/>
          <w:color w:val="auto"/>
        </w:rPr>
      </w:pPr>
      <w:r>
        <w:rPr>
          <w:rFonts w:ascii="Arial" w:cs="Arial" w:eastAsia="Arial" w:hAnsi="Arial"/>
          <w:sz w:val="17"/>
          <w:szCs w:val="17"/>
          <w:color w:val="auto"/>
        </w:rPr>
        <w:t>In accordance with the applicable accounting guidance for the consolidation of variable interest entities, we analyze our variable interests, including loans, guarantees and equity investments, to determine if an entity in which we have a variable interest is a variable interest entity. Our analysis includes both quantitative and qualitative reviews. We base our quantitative analysis on the forecasted cash flows of the entity, and our qualitative analysis on our review of the design of the entity, its organizational structure including decision-making ability, and relevant financial agreements. We also use our qualitative analyses to determine if we must consolidate a variable interest entity because we are its primary beneficiary.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 Related to Our Vacation Ownership Notes Receivable Securitizations</w:t>
      </w:r>
    </w:p>
    <w:p>
      <w:pPr>
        <w:spacing w:after="0" w:line="225" w:lineRule="exact"/>
        <w:rPr>
          <w:sz w:val="20"/>
          <w:szCs w:val="20"/>
          <w:color w:val="auto"/>
        </w:rPr>
      </w:pPr>
    </w:p>
    <w:p>
      <w:pPr>
        <w:ind w:firstLine="878"/>
        <w:spacing w:after="0" w:line="272" w:lineRule="auto"/>
        <w:rPr>
          <w:sz w:val="20"/>
          <w:szCs w:val="20"/>
          <w:color w:val="auto"/>
        </w:rPr>
      </w:pPr>
      <w:r>
        <w:rPr>
          <w:rFonts w:ascii="Arial" w:cs="Arial" w:eastAsia="Arial" w:hAnsi="Arial"/>
          <w:sz w:val="17"/>
          <w:szCs w:val="17"/>
          <w:color w:val="auto"/>
        </w:rPr>
        <w:t>We periodically securitize, without recourse, through bankruptcy remote special purpose entities, notes receivable originated in connection with the sale of vacation ownership products. These vacation ownership notes receivable securitizations provide funding for us and transfer the economic risks and substantially all the benefits of the consumer loans we originate to third parties. In a vacation ownership notes receivable securitization, various classes of debt securities issued by a special purpose entity are generally collateralized by a single tranche of transferred assets, which consist of vacation ownership notes receivable. We service the vacation ownership notes receivable. With each vacation ownership notes receivable securitization, we may retain a portion of the securities, subordinated tranches, interest-only strips, subordinated interests in accrued interest and fees on the securitized vacation ownership notes receivable or, in some cases, overcollateralization and cash reserve accounts.</w:t>
      </w:r>
    </w:p>
    <w:p>
      <w:pPr>
        <w:spacing w:after="0" w:line="178" w:lineRule="exact"/>
        <w:rPr>
          <w:sz w:val="20"/>
          <w:szCs w:val="20"/>
          <w:color w:val="auto"/>
        </w:rPr>
      </w:pPr>
    </w:p>
    <w:p>
      <w:pPr>
        <w:ind w:firstLine="878"/>
        <w:spacing w:after="0" w:line="259" w:lineRule="auto"/>
        <w:rPr>
          <w:sz w:val="20"/>
          <w:szCs w:val="20"/>
          <w:color w:val="auto"/>
        </w:rPr>
      </w:pPr>
      <w:r>
        <w:rPr>
          <w:rFonts w:ascii="Arial" w:cs="Arial" w:eastAsia="Arial" w:hAnsi="Arial"/>
          <w:sz w:val="18"/>
          <w:szCs w:val="18"/>
          <w:color w:val="auto"/>
        </w:rPr>
        <w:t>We created these entities to serve as a mechanism for holding assets and related liabilities, and the entities have no equity investment at risk, making them variable interest entities. We continue to service the vacation ownership notes receivable, transfer all proceeds collected to these special purpose entities, and retain rights to receive benefits that are potentially significant to the entities. Accordingly, we concluded that we are the entities’ primary beneficiary and, therefore, consolidate them.</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125" w:right="27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640" w:firstLine="878"/>
        <w:spacing w:after="0" w:line="277" w:lineRule="auto"/>
        <w:rPr>
          <w:sz w:val="20"/>
          <w:szCs w:val="20"/>
          <w:color w:val="auto"/>
        </w:rPr>
      </w:pPr>
      <w:r>
        <w:rPr>
          <w:rFonts w:ascii="Arial" w:cs="Arial" w:eastAsia="Arial" w:hAnsi="Arial"/>
          <w:sz w:val="18"/>
          <w:szCs w:val="18"/>
          <w:color w:val="auto"/>
        </w:rPr>
        <w:t>The following table shows consolidated assets, which are collateral for the obligations of these variable interest entities, and consolidated liabilities included on our Balance Sheet at September 9,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Vacation Ownership</w:t>
            </w:r>
          </w:p>
        </w:tc>
        <w:tc>
          <w:tcPr>
            <w:tcW w:w="18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Warehouse Credit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Securitizations</w:t>
            </w:r>
          </w:p>
        </w:tc>
        <w:tc>
          <w:tcPr>
            <w:tcW w:w="180" w:type="dxa"/>
            <w:vAlign w:val="bottom"/>
          </w:tcPr>
          <w:p>
            <w:pPr>
              <w:spacing w:after="0"/>
              <w:rPr>
                <w:sz w:val="16"/>
                <w:szCs w:val="16"/>
                <w:color w:val="auto"/>
              </w:rPr>
            </w:pPr>
          </w:p>
        </w:tc>
        <w:tc>
          <w:tcPr>
            <w:tcW w:w="1520" w:type="dxa"/>
            <w:vAlign w:val="bottom"/>
            <w:gridSpan w:val="2"/>
          </w:tcPr>
          <w:p>
            <w:pPr>
              <w:ind w:left="380"/>
              <w:spacing w:after="0"/>
              <w:rPr>
                <w:sz w:val="20"/>
                <w:szCs w:val="20"/>
                <w:color w:val="auto"/>
              </w:rPr>
            </w:pPr>
            <w:r>
              <w:rPr>
                <w:rFonts w:ascii="Arial" w:cs="Arial" w:eastAsia="Arial" w:hAnsi="Arial"/>
                <w:sz w:val="14"/>
                <w:szCs w:val="14"/>
                <w:b w:val="1"/>
                <w:bCs w:val="1"/>
                <w:color w:val="auto"/>
              </w:rPr>
              <w:t>Facility</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Vacation ownership notes receivable, net of reserves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730,076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730,076</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4,687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4,687</w:t>
            </w: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Restricted cash</w:t>
            </w:r>
            <w:r>
              <w:rPr>
                <w:rFonts w:ascii="Arial" w:cs="Arial" w:eastAsia="Arial" w:hAnsi="Arial"/>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88,559</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88,559</w:t>
            </w: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823,322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823,322</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Consolidated 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4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1"/>
                <w:szCs w:val="21"/>
                <w:color w:val="auto"/>
              </w:rPr>
            </w:pPr>
          </w:p>
        </w:tc>
        <w:tc>
          <w:tcPr>
            <w:tcW w:w="1460" w:type="dxa"/>
            <w:vAlign w:val="bottom"/>
          </w:tcPr>
          <w:p>
            <w:pPr>
              <w:jc w:val="right"/>
              <w:ind w:right="35"/>
              <w:spacing w:after="0"/>
              <w:rPr>
                <w:sz w:val="20"/>
                <w:szCs w:val="20"/>
                <w:color w:val="auto"/>
              </w:rPr>
            </w:pPr>
            <w:r>
              <w:rPr>
                <w:rFonts w:ascii="Arial" w:cs="Arial" w:eastAsia="Arial" w:hAnsi="Arial"/>
                <w:sz w:val="18"/>
                <w:szCs w:val="18"/>
                <w:color w:val="auto"/>
              </w:rPr>
              <w:t>806,716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806,716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4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808,004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808,077</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100" w:hanging="332"/>
        <w:spacing w:after="0" w:line="229"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Includes $50.0 million of the proceeds from the securitization transaction completed during the third quarter of 2016, which were released when the remaining vacation ownership notes receivable were purchased by the 2016-1 Trust subsequent to the end of the third quarter of 2016. Refer to Footnote No. 9, “Debt,” for discussion of the terms of this securitization transaction and the purchase of additional vacation ownership notes receivable by the 2016-1 Trust.</w:t>
      </w:r>
    </w:p>
    <w:p>
      <w:pPr>
        <w:spacing w:after="0" w:line="20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noncontrolling interest balance was zero. The creditors of these entities do not have general recourse to us.</w:t>
      </w:r>
    </w:p>
    <w:p>
      <w:pPr>
        <w:spacing w:after="0" w:line="225" w:lineRule="exact"/>
        <w:rPr>
          <w:sz w:val="20"/>
          <w:szCs w:val="20"/>
          <w:color w:val="auto"/>
        </w:rPr>
      </w:pPr>
    </w:p>
    <w:p>
      <w:pPr>
        <w:ind w:right="200" w:firstLine="878"/>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twelve weeks ended September 9,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Vacation Ownership</w:t>
            </w: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Warehouse Credit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Securitizations</w:t>
            </w:r>
          </w:p>
        </w:tc>
        <w:tc>
          <w:tcPr>
            <w:tcW w:w="18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Facility</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20,980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22,908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firstLine="878"/>
        <w:spacing w:after="0" w:line="277" w:lineRule="auto"/>
        <w:rPr>
          <w:sz w:val="20"/>
          <w:szCs w:val="20"/>
          <w:color w:val="auto"/>
        </w:rPr>
      </w:pPr>
      <w:r>
        <w:rPr>
          <w:rFonts w:ascii="Arial" w:cs="Arial" w:eastAsia="Arial" w:hAnsi="Arial"/>
          <w:sz w:val="18"/>
          <w:szCs w:val="18"/>
          <w:color w:val="auto"/>
        </w:rPr>
        <w:t>The following table shows the interest income and expense recognized as a result of our involvement with these variable interest entities during the thirty-six weeks ended September 9,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Vacation Ownership</w:t>
            </w:r>
          </w:p>
        </w:tc>
        <w:tc>
          <w:tcPr>
            <w:tcW w:w="18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Warehouse Credit</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Notes Receivable</w:t>
            </w: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4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0"/>
              </w:rPr>
              <w:t>Securitizations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Facility</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59,798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65,300</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Interest expense to investors</w:t>
            </w:r>
          </w:p>
        </w:tc>
        <w:tc>
          <w:tcPr>
            <w:tcW w:w="2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11,536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1,362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12,898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 amortization</w:t>
            </w:r>
          </w:p>
        </w:tc>
        <w:tc>
          <w:tcPr>
            <w:tcW w:w="25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2,278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2,942</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2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6"/>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486"/>
        </w:trPr>
        <w:tc>
          <w:tcPr>
            <w:tcW w:w="3980" w:type="dxa"/>
            <w:vAlign w:val="bottom"/>
          </w:tcPr>
          <w:p>
            <w:pPr>
              <w:spacing w:after="0"/>
              <w:rPr>
                <w:sz w:val="24"/>
                <w:szCs w:val="24"/>
                <w:color w:val="auto"/>
              </w:rPr>
            </w:pPr>
          </w:p>
        </w:tc>
        <w:tc>
          <w:tcPr>
            <w:tcW w:w="2420" w:type="dxa"/>
            <w:vAlign w:val="bottom"/>
          </w:tcPr>
          <w:p>
            <w:pPr>
              <w:jc w:val="right"/>
              <w:ind w:right="51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80" w:firstLine="878"/>
        <w:spacing w:after="0" w:line="277" w:lineRule="auto"/>
        <w:rPr>
          <w:sz w:val="20"/>
          <w:szCs w:val="20"/>
          <w:color w:val="auto"/>
        </w:rPr>
      </w:pPr>
      <w:r>
        <w:rPr>
          <w:rFonts w:ascii="Arial" w:cs="Arial" w:eastAsia="Arial" w:hAnsi="Arial"/>
          <w:sz w:val="18"/>
          <w:szCs w:val="18"/>
          <w:color w:val="auto"/>
        </w:rPr>
        <w:t>The following table shows cash flows between us and the vacation ownership notes receivable securitization variable interest entities during the thirty-six weeks ended September 9, 2016 and September 11,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9, 2016</w:t>
            </w:r>
          </w:p>
        </w:tc>
        <w:tc>
          <w:tcPr>
            <w:tcW w:w="160" w:type="dxa"/>
            <w:vAlign w:val="bottom"/>
          </w:tcPr>
          <w:p>
            <w:pPr>
              <w:spacing w:after="0"/>
              <w:rPr>
                <w:sz w:val="22"/>
                <w:szCs w:val="22"/>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b w:val="1"/>
                <w:bCs w:val="1"/>
                <w:color w:val="auto"/>
                <w:w w:val="93"/>
              </w:rPr>
              <w:t>September 11, 2015</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proceeds from vacation ownership notes receivable securitizations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247,453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252,361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receipts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118,015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127,571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Interest receipts</w:t>
            </w: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60,863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62,324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release</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37"/>
        </w:trPr>
        <w:tc>
          <w:tcPr>
            <w:tcW w:w="8120" w:type="dxa"/>
            <w:vAlign w:val="bottom"/>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426,736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444,734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Principal to investors</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(105,863)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(114,561)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Voluntary repurchases of defaulted vacation ownership notes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(17,802)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Voluntary clean-up call</w:t>
            </w: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(54,020)</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to investors</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Funding of restricted cash</w:t>
            </w:r>
            <w:r>
              <w:rPr>
                <w:rFonts w:ascii="Arial" w:cs="Arial" w:eastAsia="Arial" w:hAnsi="Arial"/>
                <w:sz w:val="25"/>
                <w:szCs w:val="25"/>
                <w:color w:val="auto"/>
                <w:vertAlign w:val="superscript"/>
              </w:rPr>
              <w:t>(1)(2)</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(52,756)</w:t>
            </w: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(190,481)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(251,299)</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Net Cash Flows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236,255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193,435</w:t>
            </w:r>
          </w:p>
        </w:tc>
        <w:tc>
          <w:tcPr>
            <w:tcW w:w="0" w:type="dxa"/>
            <w:vAlign w:val="bottom"/>
          </w:tcPr>
          <w:p>
            <w:pPr>
              <w:spacing w:after="0"/>
              <w:rPr>
                <w:sz w:val="1"/>
                <w:szCs w:val="1"/>
                <w:color w:val="auto"/>
              </w:rPr>
            </w:pPr>
          </w:p>
        </w:tc>
      </w:tr>
      <w:tr>
        <w:trPr>
          <w:trHeight w:val="27"/>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12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1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right="100" w:hanging="332"/>
        <w:spacing w:after="0" w:line="229"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Includes $50.0 million of the proceeds from the securitization transaction completed during the third quarter of 2016, which were released when the remaining vacation ownership notes receivable were purchased by the 2016-1 Trust subsequent to the end of the third quarter of 2016. Refer to Footnote No. 9, “Debt,” for discussion of the terms of this securitization transaction and the purchase of additional vacation ownership notes receivable by the 2016-1 Trust.</w:t>
      </w:r>
    </w:p>
    <w:p>
      <w:pPr>
        <w:spacing w:after="0" w:line="41" w:lineRule="exact"/>
        <w:rPr>
          <w:rFonts w:ascii="Arial" w:cs="Arial" w:eastAsia="Arial" w:hAnsi="Arial"/>
          <w:sz w:val="25"/>
          <w:szCs w:val="25"/>
          <w:color w:val="auto"/>
          <w:vertAlign w:val="superscript"/>
        </w:rPr>
      </w:pPr>
    </w:p>
    <w:p>
      <w:pPr>
        <w:ind w:left="340" w:right="680" w:hanging="332"/>
        <w:spacing w:after="0" w:line="216"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Includes $51.4 million of the proceeds from the securitization transaction completed during the third quarter of 2015, which were released as the remaining vacation ownership notes receivable were purchased by the MVW Owner Trust 2015-1.</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following table shows cash flows between us and the Warehouse Credit Facility variable interest entity during the thirty-six weeks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9, 2016 and September 11, 2015:</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264"/>
        </w:trPr>
        <w:tc>
          <w:tcPr>
            <w:tcW w:w="54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7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9, 2016</w:t>
            </w:r>
          </w:p>
        </w:tc>
        <w:tc>
          <w:tcPr>
            <w:tcW w:w="160" w:type="dxa"/>
            <w:vAlign w:val="bottom"/>
          </w:tcPr>
          <w:p>
            <w:pPr>
              <w:spacing w:after="0"/>
              <w:rPr>
                <w:sz w:val="22"/>
                <w:szCs w:val="22"/>
                <w:color w:val="auto"/>
              </w:rPr>
            </w:pPr>
          </w:p>
        </w:tc>
        <w:tc>
          <w:tcPr>
            <w:tcW w:w="1440" w:type="dxa"/>
            <w:vAlign w:val="bottom"/>
          </w:tcPr>
          <w:p>
            <w:pPr>
              <w:jc w:val="right"/>
              <w:ind w:right="111"/>
              <w:spacing w:after="0"/>
              <w:rPr>
                <w:sz w:val="20"/>
                <w:szCs w:val="20"/>
                <w:color w:val="auto"/>
              </w:rPr>
            </w:pPr>
            <w:r>
              <w:rPr>
                <w:rFonts w:ascii="Arial" w:cs="Arial" w:eastAsia="Arial" w:hAnsi="Arial"/>
                <w:sz w:val="14"/>
                <w:szCs w:val="14"/>
                <w:b w:val="1"/>
                <w:bCs w:val="1"/>
                <w:color w:val="auto"/>
                <w:w w:val="93"/>
              </w:rPr>
              <w:t>September 11, 2015</w:t>
            </w:r>
          </w:p>
        </w:tc>
        <w:tc>
          <w:tcPr>
            <w:tcW w:w="0" w:type="dxa"/>
            <w:vAlign w:val="bottom"/>
          </w:tcPr>
          <w:p>
            <w:pPr>
              <w:spacing w:after="0"/>
              <w:rPr>
                <w:sz w:val="1"/>
                <w:szCs w:val="1"/>
                <w:color w:val="auto"/>
              </w:rPr>
            </w:pPr>
          </w:p>
        </w:tc>
      </w:tr>
      <w:tr>
        <w:trPr>
          <w:trHeight w:val="250"/>
        </w:trPr>
        <w:tc>
          <w:tcPr>
            <w:tcW w:w="5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inflows:</w:t>
            </w:r>
          </w:p>
        </w:tc>
        <w:tc>
          <w:tcPr>
            <w:tcW w:w="27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Proceeds from vacation ownership notes receivable securitizations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126,622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Principal receipts</w:t>
            </w:r>
          </w:p>
        </w:tc>
        <w:tc>
          <w:tcPr>
            <w:tcW w:w="2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Interest receipts</w:t>
            </w:r>
          </w:p>
        </w:tc>
        <w:tc>
          <w:tcPr>
            <w:tcW w:w="2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3"/>
              <w:spacing w:after="0"/>
              <w:rPr>
                <w:sz w:val="20"/>
                <w:szCs w:val="20"/>
                <w:color w:val="auto"/>
              </w:rPr>
            </w:pPr>
            <w:r>
              <w:rPr>
                <w:rFonts w:ascii="Arial" w:cs="Arial" w:eastAsia="Arial" w:hAnsi="Arial"/>
                <w:sz w:val="18"/>
                <w:szCs w:val="18"/>
                <w:color w:val="auto"/>
              </w:rPr>
              <w:t>5,048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release</w:t>
            </w:r>
          </w:p>
        </w:tc>
        <w:tc>
          <w:tcPr>
            <w:tcW w:w="27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420" w:type="dxa"/>
            <w:vAlign w:val="bottom"/>
          </w:tcPr>
          <w:p>
            <w:pPr>
              <w:ind w:left="720"/>
              <w:spacing w:after="0"/>
              <w:rPr>
                <w:sz w:val="20"/>
                <w:szCs w:val="20"/>
                <w:color w:val="auto"/>
              </w:rPr>
            </w:pPr>
            <w:r>
              <w:rPr>
                <w:rFonts w:ascii="Arial" w:cs="Arial" w:eastAsia="Arial" w:hAnsi="Arial"/>
                <w:sz w:val="18"/>
                <w:szCs w:val="18"/>
                <w:color w:val="auto"/>
              </w:rPr>
              <w:t>Total</w:t>
            </w:r>
          </w:p>
        </w:tc>
        <w:tc>
          <w:tcPr>
            <w:tcW w:w="27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137,806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outflows:</w:t>
            </w:r>
          </w:p>
        </w:tc>
        <w:tc>
          <w:tcPr>
            <w:tcW w:w="2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Principal to investors</w:t>
            </w:r>
          </w:p>
        </w:tc>
        <w:tc>
          <w:tcPr>
            <w:tcW w:w="2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Voluntary repurchases of defaulted vacation ownership notes receivable</w:t>
            </w:r>
          </w:p>
        </w:tc>
        <w:tc>
          <w:tcPr>
            <w:tcW w:w="2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Repayment of Warehouse Credit Facility</w:t>
            </w:r>
          </w:p>
        </w:tc>
        <w:tc>
          <w:tcPr>
            <w:tcW w:w="2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(122,190)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to investors</w:t>
            </w:r>
          </w:p>
        </w:tc>
        <w:tc>
          <w:tcPr>
            <w:tcW w:w="2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Funding of restricted cash</w:t>
            </w:r>
          </w:p>
        </w:tc>
        <w:tc>
          <w:tcPr>
            <w:tcW w:w="2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Borders>
              <w:bottom w:val="single" w:sz="8" w:color="CCEEFF"/>
            </w:tcBorders>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27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b w:val="1"/>
                <w:bCs w:val="1"/>
                <w:color w:val="auto"/>
              </w:rPr>
              <w:t>Net Cash Flows</w:t>
            </w:r>
          </w:p>
        </w:tc>
        <w:tc>
          <w:tcPr>
            <w:tcW w:w="27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9,399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700" w:type="dxa"/>
            <w:vAlign w:val="bottom"/>
            <w:vMerge w:val="restart"/>
          </w:tcPr>
          <w:p>
            <w:pPr>
              <w:jc w:val="right"/>
              <w:ind w:right="2230"/>
              <w:spacing w:after="0"/>
              <w:rPr>
                <w:sz w:val="20"/>
                <w:szCs w:val="20"/>
                <w:color w:val="auto"/>
              </w:rPr>
            </w:pPr>
            <w:r>
              <w:rPr>
                <w:rFonts w:ascii="Arial" w:cs="Arial" w:eastAsia="Arial" w:hAnsi="Arial"/>
                <w:sz w:val="18"/>
                <w:szCs w:val="18"/>
                <w:color w:val="auto"/>
              </w:rPr>
              <w:t>25</w:t>
            </w: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7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4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 w:firstLine="432"/>
        <w:spacing w:after="0" w:line="272" w:lineRule="auto"/>
        <w:rPr>
          <w:sz w:val="20"/>
          <w:szCs w:val="20"/>
          <w:color w:val="auto"/>
        </w:rPr>
      </w:pPr>
      <w:r>
        <w:rPr>
          <w:rFonts w:ascii="Arial" w:cs="Arial" w:eastAsia="Arial" w:hAnsi="Arial"/>
          <w:sz w:val="17"/>
          <w:szCs w:val="17"/>
          <w:color w:val="auto"/>
        </w:rPr>
        <w:t>Under the terms of our vacation ownership notes receivable securitizations, we have the right at our option to repurchase defaulted vacation ownership notes receivable at the outstanding principal balance. The transaction documents typically limit such repurchases to 15 to 20 percent of the transaction’s initial vacation ownership notes receivable principal balance. Our maximum exposure to loss relating to the special purpose entities that purchase, sell and own these vacation ownership notes receivable is the overcollateralization amount (the difference between the loan collateral balance and the balance on the outstanding vacation ownership notes receivable), plus cash reserves and any residual interest in future cash flows from collateral. In addition, we could be required to fund up to an aggregate of $5.0 million upon presentation of demand notes related to certain vacation ownership notes receivable securitization transactions outstanding at September 9, 2016.</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Variable Interest Entities</w:t>
      </w:r>
    </w:p>
    <w:p>
      <w:pPr>
        <w:spacing w:after="0" w:line="225"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We have an equity investment in the Joint Venture, a variable interest entity that previously developed and marketed vacation ownership and residential products in Hawaii. We concluded that the Joint Venture is a variable interest entity because the equity investment at risk is not sufficient to permit it to finance its activities without additional support from other venture parties. We determined that we are not the primary beneficiary of the Joint Venture, as power to direct the activities that most significantly impact its economic performance is shared among the variable interest holders and, therefore, we do not consolidate the Joint Venture. In 2009, we fully impaired our investments in the Joint Venture to zero. At September 9, 2016, we had an accrual of $2.2 million for potential future funding obligations, representing our remaining expected exposure to loss related to our involvement with the Joint Venture exclusive of any future costs that may be incurred pursuant to outstanding litigation matters, including those discussed in Footnote No. 8, “Contingencies and Commitments.”</w:t>
      </w:r>
    </w:p>
    <w:p>
      <w:pPr>
        <w:spacing w:after="0" w:line="192"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We have a commitment to purchase an operating property located in New York, New York, that we currently manage as Marriott Vacation Club Pulse, New York City. Refer to Footnote No. 8, “Contingencies and Commitments” for additional information on the commitment. We are required to purchase the completed property from the third party developer unless the developer has sold the property to another party. The property is held by a variable interest entity for which we are not the primary beneficiary as we cannot prevent the variable interest entity from selling the property at a higher price. Accordingly, we have not consolidated the variable interest entity. As of September 9, 2016, our Balance Sheet reflected a $7.0 million capital lease asset and a $7.2 million capital lease liability for ancillary and operations space we lease from the variable interest entity. In addition, our Balance Sheet reflected a note receivable of $0.5 million from this variable interest entity, which we believe is our maximum exposure to loss as a result of our involvement with this variable interest entity as of September 9, 2016.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SEGMENTS</w:t>
      </w:r>
    </w:p>
    <w:p>
      <w:pPr>
        <w:spacing w:after="0" w:line="229" w:lineRule="exact"/>
        <w:rPr>
          <w:sz w:val="20"/>
          <w:szCs w:val="20"/>
          <w:color w:val="auto"/>
        </w:rPr>
      </w:pPr>
    </w:p>
    <w:p>
      <w:pPr>
        <w:ind w:right="140" w:firstLine="878"/>
        <w:spacing w:after="0" w:line="342" w:lineRule="auto"/>
        <w:rPr>
          <w:sz w:val="20"/>
          <w:szCs w:val="20"/>
          <w:color w:val="auto"/>
        </w:rPr>
      </w:pPr>
      <w:r>
        <w:rPr>
          <w:rFonts w:ascii="Arial" w:cs="Arial" w:eastAsia="Arial" w:hAnsi="Arial"/>
          <w:sz w:val="16"/>
          <w:szCs w:val="16"/>
          <w:color w:val="auto"/>
        </w:rPr>
        <w:t>We define our reportable segments based on the way in which the chief operating decision maker, currently our chief executive officer, manages the operations of the company for purposes of allocating resources and assessing performance. We operate in three reportable business segments:</w:t>
      </w:r>
    </w:p>
    <w:p>
      <w:pPr>
        <w:spacing w:after="0" w:line="16" w:lineRule="exact"/>
        <w:rPr>
          <w:sz w:val="20"/>
          <w:szCs w:val="20"/>
          <w:color w:val="auto"/>
        </w:rPr>
      </w:pPr>
    </w:p>
    <w:p>
      <w:pPr>
        <w:ind w:left="1220" w:right="240" w:hanging="321"/>
        <w:spacing w:after="0" w:line="264" w:lineRule="auto"/>
        <w:tabs>
          <w:tab w:leader="none" w:pos="12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our North America segment, we develop, market, sell and manage vacation ownership and related products under the Marriott Vacation Club and Grand Residences by Marriott brands. In 2016, we introduced Marriott Vacation Club Pulse</w:t>
      </w:r>
      <w:r>
        <w:rPr>
          <w:rFonts w:ascii="Arial" w:cs="Arial" w:eastAsia="Arial" w:hAnsi="Arial"/>
          <w:sz w:val="20"/>
          <w:szCs w:val="20"/>
          <w:color w:val="auto"/>
          <w:vertAlign w:val="superscript"/>
        </w:rPr>
        <w:t>SM</w:t>
      </w:r>
      <w:r>
        <w:rPr>
          <w:rFonts w:ascii="Arial" w:cs="Arial" w:eastAsia="Arial" w:hAnsi="Arial"/>
          <w:sz w:val="17"/>
          <w:szCs w:val="17"/>
          <w:color w:val="auto"/>
        </w:rPr>
        <w:t>, an extension to the Marriott Vacation Club brand. We also develop, market and sell vacation ownership and related products under The Ritz-Carlton Destination Club brand, as well as whole ownership residential products under The Ritz-Carlton Residences brand.</w:t>
      </w:r>
    </w:p>
    <w:p>
      <w:pPr>
        <w:spacing w:after="0" w:line="74" w:lineRule="exact"/>
        <w:rPr>
          <w:rFonts w:ascii="Arial" w:cs="Arial" w:eastAsia="Arial" w:hAnsi="Arial"/>
          <w:sz w:val="17"/>
          <w:szCs w:val="17"/>
          <w:color w:val="auto"/>
        </w:rPr>
      </w:pPr>
    </w:p>
    <w:p>
      <w:pPr>
        <w:ind w:left="1220" w:right="100" w:hanging="321"/>
        <w:spacing w:after="0" w:line="277"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our Europe segment, we are focusing on selling our existing projects and managing existing resorts. We do not have any current plans for new development in this segment.</w:t>
      </w:r>
    </w:p>
    <w:p>
      <w:pPr>
        <w:spacing w:after="0" w:line="62" w:lineRule="exact"/>
        <w:rPr>
          <w:rFonts w:ascii="Arial" w:cs="Arial" w:eastAsia="Arial" w:hAnsi="Arial"/>
          <w:sz w:val="18"/>
          <w:szCs w:val="18"/>
          <w:color w:val="auto"/>
        </w:rPr>
      </w:pPr>
    </w:p>
    <w:p>
      <w:pPr>
        <w:ind w:left="1220" w:right="160" w:hanging="321"/>
        <w:spacing w:after="0" w:line="264" w:lineRule="auto"/>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our Asia Pacific segment, we develop, market, sell and manage two points-based programs that we specifically designed to appeal to the vacation preferences of the market, Marriott Vacation Club, Asia Pacific and Marriott Vacation Club Destinations, Australia, as well as a weeks-based right-to-use product.</w:t>
      </w:r>
    </w:p>
    <w:p>
      <w:pPr>
        <w:spacing w:after="0" w:line="181" w:lineRule="exact"/>
        <w:rPr>
          <w:sz w:val="20"/>
          <w:szCs w:val="20"/>
          <w:color w:val="auto"/>
        </w:rPr>
      </w:pPr>
    </w:p>
    <w:p>
      <w:pPr>
        <w:ind w:right="60" w:firstLine="878"/>
        <w:spacing w:after="0" w:line="257" w:lineRule="auto"/>
        <w:rPr>
          <w:sz w:val="20"/>
          <w:szCs w:val="20"/>
          <w:color w:val="auto"/>
        </w:rPr>
      </w:pPr>
      <w:r>
        <w:rPr>
          <w:rFonts w:ascii="Arial" w:cs="Arial" w:eastAsia="Arial" w:hAnsi="Arial"/>
          <w:sz w:val="18"/>
          <w:szCs w:val="18"/>
          <w:color w:val="auto"/>
        </w:rPr>
        <w:t>We evaluate the performance of our segments based primarily on the results of the segment without allocating corporate expenses or income taxes. We do not allocate corporate interest expense, consumer financing interest expense, other financing expenses or general and administrative expenses to our segments. We include interest income specific to segment activities within the appropriate segment. We allocate other gains and losses and equity in earnings or losses from our joint ventures to each of our segments as appropriate. Corporate and other represents that portion of our revenues, equity in earnings or losses, and other gains or losses that are not allocable to our segments.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8"/>
          </w:tcPr>
          <w:p>
            <w:pPr>
              <w:jc w:val="right"/>
              <w:ind w:right="60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264"/>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56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9, 2016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September 11, 2015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September 9, 2016</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September 11, 2015</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92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363,442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89"/>
              </w:rPr>
              <w:t>362,440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4"/>
            <w:shd w:val="clear" w:color="auto" w:fill="CCEEFF"/>
          </w:tcPr>
          <w:p>
            <w:pPr>
              <w:jc w:val="right"/>
              <w:ind w:right="16"/>
              <w:spacing w:after="0"/>
              <w:rPr>
                <w:sz w:val="20"/>
                <w:szCs w:val="20"/>
                <w:color w:val="auto"/>
              </w:rPr>
            </w:pPr>
            <w:r>
              <w:rPr>
                <w:rFonts w:ascii="Arial" w:cs="Arial" w:eastAsia="Arial" w:hAnsi="Arial"/>
                <w:sz w:val="18"/>
                <w:szCs w:val="18"/>
                <w:color w:val="auto"/>
              </w:rPr>
              <w:t>1,133,375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1,138,857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Europe</w:t>
            </w:r>
          </w:p>
        </w:tc>
        <w:tc>
          <w:tcPr>
            <w:tcW w:w="1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28,628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31,995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4"/>
          </w:tcPr>
          <w:p>
            <w:pPr>
              <w:jc w:val="right"/>
              <w:ind w:right="16"/>
              <w:spacing w:after="0"/>
              <w:rPr>
                <w:sz w:val="20"/>
                <w:szCs w:val="20"/>
                <w:color w:val="auto"/>
              </w:rPr>
            </w:pPr>
            <w:r>
              <w:rPr>
                <w:rFonts w:ascii="Arial" w:cs="Arial" w:eastAsia="Arial" w:hAnsi="Arial"/>
                <w:sz w:val="18"/>
                <w:szCs w:val="18"/>
                <w:color w:val="auto"/>
              </w:rPr>
              <w:t>74,983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80,203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5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14,921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4"/>
            <w:shd w:val="clear" w:color="auto" w:fill="CCEEFF"/>
          </w:tcPr>
          <w:p>
            <w:pPr>
              <w:jc w:val="right"/>
              <w:ind w:right="16"/>
              <w:spacing w:after="0"/>
              <w:rPr>
                <w:sz w:val="20"/>
                <w:szCs w:val="20"/>
                <w:color w:val="auto"/>
              </w:rPr>
            </w:pPr>
            <w:r>
              <w:rPr>
                <w:rFonts w:ascii="Arial" w:cs="Arial" w:eastAsia="Arial" w:hAnsi="Arial"/>
                <w:sz w:val="18"/>
                <w:szCs w:val="18"/>
                <w:color w:val="auto"/>
              </w:rPr>
              <w:t>53,621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65,783</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720"/>
              <w:spacing w:after="0"/>
              <w:rPr>
                <w:sz w:val="20"/>
                <w:szCs w:val="20"/>
                <w:color w:val="auto"/>
              </w:rPr>
            </w:pPr>
            <w:r>
              <w:rPr>
                <w:rFonts w:ascii="Arial" w:cs="Arial" w:eastAsia="Arial" w:hAnsi="Arial"/>
                <w:sz w:val="18"/>
                <w:szCs w:val="18"/>
                <w:color w:val="auto"/>
              </w:rPr>
              <w:t>Total segment revenues</w:t>
            </w:r>
          </w:p>
        </w:tc>
        <w:tc>
          <w:tcPr>
            <w:tcW w:w="15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406,991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9"/>
              </w:rPr>
              <w:t>407,136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jc w:val="right"/>
              <w:ind w:right="16"/>
              <w:spacing w:after="0"/>
              <w:rPr>
                <w:sz w:val="20"/>
                <w:szCs w:val="20"/>
                <w:color w:val="auto"/>
              </w:rPr>
            </w:pPr>
            <w:r>
              <w:rPr>
                <w:rFonts w:ascii="Arial" w:cs="Arial" w:eastAsia="Arial" w:hAnsi="Arial"/>
                <w:sz w:val="18"/>
                <w:szCs w:val="18"/>
                <w:color w:val="auto"/>
              </w:rPr>
              <w:t>1,261,979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1,284,843</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5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Borders>
              <w:top w:val="single" w:sz="8" w:color="auto"/>
            </w:tcBorders>
          </w:tcPr>
          <w:p>
            <w:pPr>
              <w:jc w:val="right"/>
              <w:ind w:right="162"/>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406,991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5"/>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89"/>
              </w:rPr>
              <w:t>407,136</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4"/>
          </w:tcPr>
          <w:p>
            <w:pPr>
              <w:jc w:val="right"/>
              <w:ind w:right="16"/>
              <w:spacing w:after="0"/>
              <w:rPr>
                <w:sz w:val="20"/>
                <w:szCs w:val="20"/>
                <w:color w:val="auto"/>
              </w:rPr>
            </w:pPr>
            <w:r>
              <w:rPr>
                <w:rFonts w:ascii="Arial" w:cs="Arial" w:eastAsia="Arial" w:hAnsi="Arial"/>
                <w:sz w:val="18"/>
                <w:szCs w:val="18"/>
                <w:color w:val="auto"/>
              </w:rPr>
              <w:t>1,261,979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1,284,843</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60" w:type="dxa"/>
            <w:vAlign w:val="bottom"/>
            <w:vMerge w:val="restart"/>
          </w:tcPr>
          <w:p>
            <w:pPr>
              <w:spacing w:after="0"/>
              <w:rPr>
                <w:sz w:val="20"/>
                <w:szCs w:val="20"/>
                <w:color w:val="auto"/>
              </w:rPr>
            </w:pPr>
            <w:r>
              <w:rPr>
                <w:rFonts w:ascii="Arial" w:cs="Arial" w:eastAsia="Arial" w:hAnsi="Arial"/>
                <w:sz w:val="18"/>
                <w:szCs w:val="18"/>
                <w:i w:val="1"/>
                <w:iCs w:val="1"/>
                <w:color w:val="auto"/>
              </w:rPr>
              <w:t>Net Income (Loss)</w:t>
            </w:r>
          </w:p>
        </w:tc>
        <w:tc>
          <w:tcPr>
            <w:tcW w:w="1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vMerge w:val="continu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8"/>
          </w:tcPr>
          <w:p>
            <w:pPr>
              <w:jc w:val="right"/>
              <w:ind w:right="600"/>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264"/>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56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9, 2016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September 11, 2015</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4"/>
              </w:rPr>
              <w:t>September 9, 2016</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6"/>
              </w:rPr>
              <w:t>September 11, 2015</w:t>
            </w: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92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81,955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85,337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4"/>
            <w:shd w:val="clear" w:color="auto" w:fill="CCEEFF"/>
          </w:tcPr>
          <w:p>
            <w:pPr>
              <w:jc w:val="right"/>
              <w:ind w:right="16"/>
              <w:spacing w:after="0"/>
              <w:rPr>
                <w:sz w:val="20"/>
                <w:szCs w:val="20"/>
                <w:color w:val="auto"/>
              </w:rPr>
            </w:pPr>
            <w:r>
              <w:rPr>
                <w:rFonts w:ascii="Arial" w:cs="Arial" w:eastAsia="Arial" w:hAnsi="Arial"/>
                <w:sz w:val="18"/>
                <w:szCs w:val="18"/>
                <w:color w:val="auto"/>
              </w:rPr>
              <w:t>283,200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287,676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Europe</w:t>
            </w:r>
          </w:p>
        </w:tc>
        <w:tc>
          <w:tcPr>
            <w:tcW w:w="1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4,536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6,159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gridSpan w:val="3"/>
          </w:tcPr>
          <w:p>
            <w:pPr>
              <w:jc w:val="right"/>
              <w:ind w:right="16"/>
              <w:spacing w:after="0"/>
              <w:rPr>
                <w:sz w:val="20"/>
                <w:szCs w:val="20"/>
                <w:color w:val="auto"/>
              </w:rPr>
            </w:pPr>
            <w:r>
              <w:rPr>
                <w:rFonts w:ascii="Arial" w:cs="Arial" w:eastAsia="Arial" w:hAnsi="Arial"/>
                <w:sz w:val="18"/>
                <w:szCs w:val="18"/>
                <w:color w:val="auto"/>
                <w:w w:val="88"/>
              </w:rPr>
              <w:t>7,079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9,179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5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5,332</w:t>
            </w:r>
          </w:p>
        </w:tc>
        <w:tc>
          <w:tcPr>
            <w:tcW w:w="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720"/>
              <w:spacing w:after="0"/>
              <w:rPr>
                <w:sz w:val="20"/>
                <w:szCs w:val="20"/>
                <w:color w:val="auto"/>
              </w:rPr>
            </w:pPr>
            <w:r>
              <w:rPr>
                <w:rFonts w:ascii="Arial" w:cs="Arial" w:eastAsia="Arial" w:hAnsi="Arial"/>
                <w:sz w:val="18"/>
                <w:szCs w:val="18"/>
                <w:color w:val="auto"/>
              </w:rPr>
              <w:t>Total segment financial results</w:t>
            </w:r>
          </w:p>
        </w:tc>
        <w:tc>
          <w:tcPr>
            <w:tcW w:w="156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87,763</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87,440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4"/>
          </w:tcPr>
          <w:p>
            <w:pPr>
              <w:jc w:val="right"/>
              <w:ind w:right="16"/>
              <w:spacing w:after="0"/>
              <w:rPr>
                <w:sz w:val="20"/>
                <w:szCs w:val="20"/>
                <w:color w:val="auto"/>
              </w:rPr>
            </w:pPr>
            <w:r>
              <w:rPr>
                <w:rFonts w:ascii="Arial" w:cs="Arial" w:eastAsia="Arial" w:hAnsi="Arial"/>
                <w:sz w:val="18"/>
                <w:szCs w:val="18"/>
                <w:color w:val="auto"/>
              </w:rPr>
              <w:t>290,097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302,187</w:t>
            </w:r>
          </w:p>
        </w:tc>
        <w:tc>
          <w:tcPr>
            <w:tcW w:w="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(46,915)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(51,277)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(147,917)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(151,237)</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(14,041)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(14,608)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(54,656)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(61,300)</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6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gridSpan w:val="2"/>
            <w:shd w:val="clear" w:color="auto" w:fill="CCEEFF"/>
          </w:tcPr>
          <w:p>
            <w:pPr>
              <w:jc w:val="right"/>
              <w:ind w:right="162"/>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26,807</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5"/>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4"/>
            <w:shd w:val="clear" w:color="auto" w:fill="CCEEFF"/>
          </w:tcPr>
          <w:p>
            <w:pPr>
              <w:jc w:val="right"/>
              <w:ind w:right="16"/>
              <w:spacing w:after="0"/>
              <w:rPr>
                <w:sz w:val="20"/>
                <w:szCs w:val="20"/>
                <w:color w:val="auto"/>
              </w:rPr>
            </w:pPr>
            <w:r>
              <w:rPr>
                <w:rFonts w:ascii="Arial" w:cs="Arial" w:eastAsia="Arial" w:hAnsi="Arial"/>
                <w:sz w:val="18"/>
                <w:szCs w:val="18"/>
                <w:color w:val="auto"/>
              </w:rPr>
              <w:t>87,524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89,650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i w:val="1"/>
                <w:iCs w:val="1"/>
                <w:color w:val="auto"/>
              </w:rPr>
              <w:t>Assets</w:t>
            </w:r>
          </w:p>
        </w:tc>
        <w:tc>
          <w:tcPr>
            <w:tcW w:w="1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5"/>
        </w:trPr>
        <w:tc>
          <w:tcPr>
            <w:tcW w:w="42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5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w w:val="97"/>
              </w:rPr>
              <w:t>At September 9, 2016</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At January 1, 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5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1,938,437</w:t>
            </w:r>
          </w:p>
        </w:tc>
        <w:tc>
          <w:tcPr>
            <w:tcW w:w="520" w:type="dxa"/>
            <w:vAlign w:val="bottom"/>
            <w:tcBorders>
              <w:bottom w:val="single" w:sz="8" w:color="CCEEFF"/>
            </w:tcBorders>
            <w:gridSpan w:val="3"/>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1,900,178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Europe</w:t>
            </w:r>
          </w:p>
        </w:tc>
        <w:tc>
          <w:tcPr>
            <w:tcW w:w="1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69,274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80,839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Asia Pacific</w:t>
            </w:r>
          </w:p>
        </w:tc>
        <w:tc>
          <w:tcPr>
            <w:tcW w:w="15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96,868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134,661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60" w:type="dxa"/>
            <w:vAlign w:val="bottom"/>
          </w:tcPr>
          <w:p>
            <w:pPr>
              <w:ind w:left="720"/>
              <w:spacing w:after="0"/>
              <w:rPr>
                <w:sz w:val="20"/>
                <w:szCs w:val="20"/>
                <w:color w:val="auto"/>
              </w:rPr>
            </w:pPr>
            <w:r>
              <w:rPr>
                <w:rFonts w:ascii="Arial" w:cs="Arial" w:eastAsia="Arial" w:hAnsi="Arial"/>
                <w:sz w:val="18"/>
                <w:szCs w:val="18"/>
                <w:color w:val="auto"/>
              </w:rPr>
              <w:t>Total segment assets</w:t>
            </w: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2,104,579</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2,115,678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15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281,591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284,040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87"/>
              </w:rPr>
              <w:t>2,386,170</w:t>
            </w: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2,399,718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60" w:type="dxa"/>
            <w:vAlign w:val="bottom"/>
          </w:tcPr>
          <w:p>
            <w:pPr>
              <w:spacing w:after="0"/>
              <w:rPr>
                <w:sz w:val="2"/>
                <w:szCs w:val="2"/>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56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878"/>
        <w:spacing w:after="0" w:line="255" w:lineRule="auto"/>
        <w:rPr>
          <w:sz w:val="20"/>
          <w:szCs w:val="20"/>
          <w:color w:val="auto"/>
        </w:rPr>
      </w:pPr>
      <w:r>
        <w:rPr>
          <w:rFonts w:ascii="Arial" w:cs="Arial" w:eastAsia="Arial" w:hAnsi="Arial"/>
          <w:sz w:val="18"/>
          <w:szCs w:val="18"/>
          <w:color w:val="auto"/>
        </w:rPr>
        <w:t>We make forward-looking statements in Management’s Discussion and Analysis of Financial Condition and Results of Operations and elsewhere in this Quarterly Report on Form 10-Q based on our management’s beliefs and assumptions and on information currently available to our management. Forward-looking statements include, among other things, the information concerning our possible or assumed future results of operations, business strategies, financing plans, competitive position, potential growth opportunities, potential operating performance improvements, and the effects of competition. Forward-looking statements include all statements that are not historical facts and can be identified by the use of forward-looking terminology such as the words “believe,” “expect,” “plan,” “intend,” “anticipate,” “estimate,” “predict,” “potential,” “continue,” “may,” “might,” “should,” “could” or the negative of these terms or similar expressions.</w:t>
      </w:r>
    </w:p>
    <w:p>
      <w:pPr>
        <w:spacing w:after="0" w:line="189" w:lineRule="exact"/>
        <w:rPr>
          <w:sz w:val="20"/>
          <w:szCs w:val="20"/>
          <w:color w:val="auto"/>
        </w:rPr>
      </w:pPr>
    </w:p>
    <w:p>
      <w:pPr>
        <w:ind w:right="160" w:firstLine="878"/>
        <w:spacing w:after="0" w:line="286" w:lineRule="auto"/>
        <w:rPr>
          <w:sz w:val="20"/>
          <w:szCs w:val="20"/>
          <w:color w:val="auto"/>
        </w:rPr>
      </w:pPr>
      <w:r>
        <w:rPr>
          <w:rFonts w:ascii="Arial" w:cs="Arial" w:eastAsia="Arial" w:hAnsi="Arial"/>
          <w:sz w:val="17"/>
          <w:szCs w:val="17"/>
          <w:color w:val="auto"/>
        </w:rPr>
        <w:t>Forward-looking statements involve risks, uncertainties and assumptions. Actual results may differ materially from those expressed in these forward-looking statements. You should not put undue reliance on any forward-looking statements in this Quarterly Report. We do not have any intention or obligation to update forward-looking statements after the date of this Quarterly Report on Form 10-Q, except as required by law.</w:t>
      </w:r>
    </w:p>
    <w:p>
      <w:pPr>
        <w:spacing w:after="0" w:line="166" w:lineRule="exact"/>
        <w:rPr>
          <w:sz w:val="20"/>
          <w:szCs w:val="20"/>
          <w:color w:val="auto"/>
        </w:rPr>
      </w:pPr>
    </w:p>
    <w:p>
      <w:pPr>
        <w:ind w:right="140" w:firstLine="878"/>
        <w:spacing w:after="0" w:line="302" w:lineRule="auto"/>
        <w:rPr>
          <w:sz w:val="20"/>
          <w:szCs w:val="20"/>
          <w:color w:val="auto"/>
        </w:rPr>
      </w:pPr>
      <w:r>
        <w:rPr>
          <w:rFonts w:ascii="Arial" w:cs="Arial" w:eastAsia="Arial" w:hAnsi="Arial"/>
          <w:sz w:val="16"/>
          <w:szCs w:val="16"/>
          <w:color w:val="auto"/>
        </w:rPr>
        <w:t>The risk factors discussed in “Risk Factors” in our most recent Annual Report on Form 10-K, and which may be discussed in subsequent Quarterly Reports on Form 10-Q, could cause our results to differ materially from those expressed in forward-looking statements. There may be other risks and uncertainties that we cannot predict at this time or that we currently do not expect will have a material adverse effect on our financial position, results of operations or cash flows. Any such risks could cause our results to differ materially from those we express in forward-looking statements.</w:t>
      </w:r>
    </w:p>
    <w:p>
      <w:pPr>
        <w:spacing w:after="0" w:line="154" w:lineRule="exact"/>
        <w:rPr>
          <w:sz w:val="20"/>
          <w:szCs w:val="20"/>
          <w:color w:val="auto"/>
        </w:rPr>
      </w:pPr>
    </w:p>
    <w:p>
      <w:pPr>
        <w:ind w:right="200" w:firstLine="878"/>
        <w:spacing w:after="0" w:line="255" w:lineRule="auto"/>
        <w:rPr>
          <w:sz w:val="20"/>
          <w:szCs w:val="20"/>
          <w:color w:val="auto"/>
        </w:rPr>
      </w:pPr>
      <w:r>
        <w:rPr>
          <w:rFonts w:ascii="Arial" w:cs="Arial" w:eastAsia="Arial" w:hAnsi="Arial"/>
          <w:sz w:val="18"/>
          <w:szCs w:val="18"/>
          <w:color w:val="auto"/>
        </w:rPr>
        <w:t>Our Financial Statements (as defined below), which we discuss below, reflect our historical financial condition, results of operations and cash flows. The financial information discussed below and included in this Quarterly Report on Form 10-Q may not necessarily reflect what our financial condition, results of operations or cash flows may be in the future. In order to make this report easier to read, we refer to (i) our Interim Consolidated Financial Statements as our “Financial Statements,” (ii) our Interim Consolidated Statements of Income as our “Statements of Income,” (iii) our Interim Consolidated Balance Sheets as our “Balance Sheets,” and (iv) our Interim Consolidated Statements of Cash Flows as our “Cash Flows.” In addition, references throughout to numbered “Footnotes” refer to the numbered Notes to our Financial Statements that we include in the Financial Statements section of this Quarterly Report on Form 10-Q.</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40" w:firstLine="878"/>
        <w:spacing w:after="0" w:line="257" w:lineRule="auto"/>
        <w:rPr>
          <w:sz w:val="20"/>
          <w:szCs w:val="20"/>
          <w:color w:val="auto"/>
        </w:rPr>
      </w:pPr>
      <w:r>
        <w:rPr>
          <w:rFonts w:ascii="Arial" w:cs="Arial" w:eastAsia="Arial" w:hAnsi="Arial"/>
          <w:sz w:val="18"/>
          <w:szCs w:val="18"/>
          <w:color w:val="auto"/>
        </w:rPr>
        <w:t>We are one of the world’s largest companies whose business is focused almost entirely on vacation ownership, based on number of owners, number of resorts and revenues. We are the exclusive worldwide developer, marketer, seller and manager of vacation ownership and related products under the Marriott Vacation Club and Grand Residences by Marriott brands. We are also the exclusive worldwide developer, marketer and seller of vacation ownership and related products under The Ritz-Carlton Destination Club brand, and we have the non-exclusive right to develop, market and sell whole ownership residential products under The Ritz-Carlton Residences brand.</w:t>
      </w:r>
    </w:p>
    <w:p>
      <w:pPr>
        <w:spacing w:after="0" w:line="188" w:lineRule="exact"/>
        <w:rPr>
          <w:sz w:val="20"/>
          <w:szCs w:val="20"/>
          <w:color w:val="auto"/>
        </w:rPr>
      </w:pPr>
    </w:p>
    <w:p>
      <w:pPr>
        <w:ind w:right="180" w:firstLine="878"/>
        <w:spacing w:after="0" w:line="243" w:lineRule="auto"/>
        <w:rPr>
          <w:sz w:val="20"/>
          <w:szCs w:val="20"/>
          <w:color w:val="auto"/>
        </w:rPr>
      </w:pPr>
      <w:r>
        <w:rPr>
          <w:rFonts w:ascii="Arial" w:cs="Arial" w:eastAsia="Arial" w:hAnsi="Arial"/>
          <w:sz w:val="18"/>
          <w:szCs w:val="18"/>
          <w:color w:val="auto"/>
        </w:rPr>
        <w:t>In 2016, we introduced Marriott Vacation Club Pulse</w:t>
      </w:r>
      <w:r>
        <w:rPr>
          <w:rFonts w:ascii="Arial" w:cs="Arial" w:eastAsia="Arial" w:hAnsi="Arial"/>
          <w:sz w:val="21"/>
          <w:szCs w:val="21"/>
          <w:color w:val="auto"/>
          <w:vertAlign w:val="superscript"/>
        </w:rPr>
        <w:t>SM</w:t>
      </w:r>
      <w:r>
        <w:rPr>
          <w:rFonts w:ascii="Arial" w:cs="Arial" w:eastAsia="Arial" w:hAnsi="Arial"/>
          <w:sz w:val="18"/>
          <w:szCs w:val="18"/>
          <w:color w:val="auto"/>
        </w:rPr>
        <w:t>, an extension to the Marriott Vacation Club brand, which features unique properties that embrace the spirit and culture of their urban locations, creating an authentic sense of place while delivering easy access to local interests, attractions and transportation.</w:t>
      </w:r>
    </w:p>
    <w:p>
      <w:pPr>
        <w:spacing w:after="0" w:line="201" w:lineRule="exact"/>
        <w:rPr>
          <w:sz w:val="20"/>
          <w:szCs w:val="20"/>
          <w:color w:val="auto"/>
        </w:rPr>
      </w:pPr>
    </w:p>
    <w:p>
      <w:pPr>
        <w:ind w:right="260" w:firstLine="878"/>
        <w:spacing w:after="0" w:line="259" w:lineRule="auto"/>
        <w:rPr>
          <w:sz w:val="20"/>
          <w:szCs w:val="20"/>
          <w:color w:val="auto"/>
        </w:rPr>
      </w:pPr>
      <w:r>
        <w:rPr>
          <w:rFonts w:ascii="Arial" w:cs="Arial" w:eastAsia="Arial" w:hAnsi="Arial"/>
          <w:sz w:val="18"/>
          <w:szCs w:val="18"/>
          <w:color w:val="auto"/>
        </w:rPr>
        <w:t>Our business is grouped into three reportable segments: North America, Europe and Asia Pacific. As of September 9, 2016, our portfolio consisted of over 60 properties in the United States and eight other countries and territories. We generate most of our revenues from four primary sources: selling vacation ownership products; managing our resorts; financing consumer purchases of vacation ownership products; and renting vacation ownership inventory.</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Below is a summary of significant accounting policies used in our business that will be used in describing our results of operations.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Sale of Vacation Ownership Products</w:t>
      </w:r>
    </w:p>
    <w:p>
      <w:pPr>
        <w:spacing w:after="0" w:line="225" w:lineRule="exact"/>
        <w:rPr>
          <w:sz w:val="20"/>
          <w:szCs w:val="20"/>
          <w:color w:val="auto"/>
        </w:rPr>
      </w:pPr>
    </w:p>
    <w:p>
      <w:pPr>
        <w:ind w:right="80" w:firstLine="878"/>
        <w:spacing w:after="0" w:line="342" w:lineRule="auto"/>
        <w:rPr>
          <w:sz w:val="20"/>
          <w:szCs w:val="20"/>
          <w:color w:val="auto"/>
        </w:rPr>
      </w:pPr>
      <w:r>
        <w:rPr>
          <w:rFonts w:ascii="Arial" w:cs="Arial" w:eastAsia="Arial" w:hAnsi="Arial"/>
          <w:sz w:val="16"/>
          <w:szCs w:val="16"/>
          <w:color w:val="auto"/>
        </w:rPr>
        <w:t>We recognize revenues from the sale of vacation ownership products when all of the following conditions exist: a binding sales contract has been executed; the statutory rescission period has expired; the receivable is deemed collectible; and the remainder of our obligations are substantially completed.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878"/>
        <w:spacing w:after="0" w:line="257" w:lineRule="auto"/>
        <w:rPr>
          <w:sz w:val="20"/>
          <w:szCs w:val="20"/>
          <w:color w:val="auto"/>
        </w:rPr>
      </w:pPr>
      <w:r>
        <w:rPr>
          <w:rFonts w:ascii="Arial" w:cs="Arial" w:eastAsia="Arial" w:hAnsi="Arial"/>
          <w:sz w:val="18"/>
          <w:szCs w:val="18"/>
          <w:color w:val="auto"/>
        </w:rPr>
        <w:t>Sales of vacation ownership products may be made for cash or we may provide financing. For sales where we provide financing, we defer revenue recognition until we receive a minimum down payment equal to ten percent of the purchase price plus the fair value of certain sales incentives provided to the purchaser. These sales incentives typically include Marriott Rewards Points or an alternative sales incentive that we refer to as “plus points.” These plus points are redeemable for stays at our resorts or for use in the Explorer Collection, generally up to two years from the date of issuance. Sales incentives are only awarded if the sale is closed.</w:t>
      </w:r>
    </w:p>
    <w:p>
      <w:pPr>
        <w:spacing w:after="0" w:line="188" w:lineRule="exact"/>
        <w:rPr>
          <w:sz w:val="20"/>
          <w:szCs w:val="20"/>
          <w:color w:val="auto"/>
        </w:rPr>
      </w:pPr>
    </w:p>
    <w:p>
      <w:pPr>
        <w:ind w:right="140" w:firstLine="878"/>
        <w:spacing w:after="0" w:line="286" w:lineRule="auto"/>
        <w:rPr>
          <w:sz w:val="20"/>
          <w:szCs w:val="20"/>
          <w:color w:val="auto"/>
        </w:rPr>
      </w:pPr>
      <w:r>
        <w:rPr>
          <w:rFonts w:ascii="Arial" w:cs="Arial" w:eastAsia="Arial" w:hAnsi="Arial"/>
          <w:sz w:val="17"/>
          <w:szCs w:val="17"/>
          <w:color w:val="auto"/>
        </w:rPr>
        <w:t>As a result of the down payment requirement with respect to financed sales and the statutory rescission periods, we often defer revenues associated with the sale of vacation ownership products from the date of the purchase agreement to a future period. When comparing results year-over-year, this deferral frequently generates significant variances, which we refer to as the impact of revenue reportability.</w:t>
      </w:r>
    </w:p>
    <w:p>
      <w:pPr>
        <w:spacing w:after="0" w:line="166" w:lineRule="exact"/>
        <w:rPr>
          <w:sz w:val="20"/>
          <w:szCs w:val="20"/>
          <w:color w:val="auto"/>
        </w:rPr>
      </w:pPr>
    </w:p>
    <w:p>
      <w:pPr>
        <w:ind w:right="220" w:firstLine="878"/>
        <w:spacing w:after="0" w:line="264" w:lineRule="auto"/>
        <w:rPr>
          <w:sz w:val="20"/>
          <w:szCs w:val="20"/>
          <w:color w:val="auto"/>
        </w:rPr>
      </w:pPr>
      <w:r>
        <w:rPr>
          <w:rFonts w:ascii="Arial" w:cs="Arial" w:eastAsia="Arial" w:hAnsi="Arial"/>
          <w:sz w:val="18"/>
          <w:szCs w:val="18"/>
          <w:color w:val="auto"/>
        </w:rPr>
        <w:t>Finally, as more fully described in the “Financing” section below, we record an estimate of expected uncollectibility on all vacation ownership notes receivable (also known as a vacation ownership notes receivable reserve or a sales reserve) as a reduction of revenues from the sale of vacation ownership products at the time we recognize revenues from a sale.</w:t>
      </w:r>
    </w:p>
    <w:p>
      <w:pPr>
        <w:spacing w:after="0" w:line="181" w:lineRule="exact"/>
        <w:rPr>
          <w:sz w:val="20"/>
          <w:szCs w:val="20"/>
          <w:color w:val="auto"/>
        </w:rPr>
      </w:pPr>
    </w:p>
    <w:p>
      <w:pPr>
        <w:ind w:firstLine="878"/>
        <w:spacing w:after="0" w:line="257" w:lineRule="auto"/>
        <w:rPr>
          <w:sz w:val="20"/>
          <w:szCs w:val="20"/>
          <w:color w:val="auto"/>
        </w:rPr>
      </w:pPr>
      <w:r>
        <w:rPr>
          <w:rFonts w:ascii="Arial" w:cs="Arial" w:eastAsia="Arial" w:hAnsi="Arial"/>
          <w:sz w:val="18"/>
          <w:szCs w:val="18"/>
          <w:color w:val="auto"/>
        </w:rPr>
        <w:t>We report, on a supplemental basis, contract sales for each of our three segments. Contract sales represent the total amount of vacation ownership product sales under purchase agreements signed during the period where we have received a down payment of at least ten percent of the contract price, reduced by actual rescissions during the period. Contract sales differ from revenues from the sale of vacation ownership products that we report on our Statements of Income due to the requirements for revenue recognition described above. We consider contract sales to be an important operating measure because it reflects the pace of sales in our business.</w:t>
      </w:r>
    </w:p>
    <w:p>
      <w:pPr>
        <w:spacing w:after="0" w:line="188" w:lineRule="exact"/>
        <w:rPr>
          <w:sz w:val="20"/>
          <w:szCs w:val="20"/>
          <w:color w:val="auto"/>
        </w:rPr>
      </w:pPr>
    </w:p>
    <w:p>
      <w:pPr>
        <w:ind w:right="180" w:firstLine="878"/>
        <w:spacing w:after="0" w:line="273" w:lineRule="auto"/>
        <w:rPr>
          <w:sz w:val="20"/>
          <w:szCs w:val="20"/>
          <w:color w:val="auto"/>
        </w:rPr>
      </w:pPr>
      <w:r>
        <w:rPr>
          <w:rFonts w:ascii="Arial" w:cs="Arial" w:eastAsia="Arial" w:hAnsi="Arial"/>
          <w:sz w:val="17"/>
          <w:szCs w:val="17"/>
          <w:color w:val="auto"/>
        </w:rPr>
        <w:t>Cost of vacation ownership products includes costs to develop and construct our projects (also known as real estate inventory costs) as well as other non-capitalizable costs associated with the overall project development process. For each project, we expense real estate inventory costs in the same proportion as the revenue recognized. Consistent with the applicable accounting guidance, to the extent there is a change in the estimated sales revenues or real estate inventory costs for the project in a period, a non-cash adjustment is recorded on our Statements of Income to true-up costs in that period to those that would have been recorded historically if the revised estimates had been used. These true-ups, which we refer to as product cost true-ups, will have a positive or negative impact on our Statements of Income.</w:t>
      </w:r>
    </w:p>
    <w:p>
      <w:pPr>
        <w:spacing w:after="0" w:line="178" w:lineRule="exact"/>
        <w:rPr>
          <w:sz w:val="20"/>
          <w:szCs w:val="20"/>
          <w:color w:val="auto"/>
        </w:rPr>
      </w:pPr>
    </w:p>
    <w:p>
      <w:pPr>
        <w:ind w:right="80" w:firstLine="878"/>
        <w:spacing w:after="0" w:line="264" w:lineRule="auto"/>
        <w:rPr>
          <w:sz w:val="20"/>
          <w:szCs w:val="20"/>
          <w:color w:val="auto"/>
        </w:rPr>
      </w:pPr>
      <w:r>
        <w:rPr>
          <w:rFonts w:ascii="Arial" w:cs="Arial" w:eastAsia="Arial" w:hAnsi="Arial"/>
          <w:sz w:val="18"/>
          <w:szCs w:val="18"/>
          <w:color w:val="auto"/>
        </w:rPr>
        <w:t>We refer to revenues from the sale of vacation ownership products less the cost of vacation ownership products and marketing and sales costs as development margin. Development margin percentage is calculated by dividing development margin by revenues from the sale of vacation ownership products.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Resort Management and Other Services</w:t>
      </w:r>
    </w:p>
    <w:p>
      <w:pPr>
        <w:spacing w:after="0" w:line="225" w:lineRule="exact"/>
        <w:rPr>
          <w:sz w:val="20"/>
          <w:szCs w:val="20"/>
          <w:color w:val="auto"/>
        </w:rPr>
      </w:pPr>
    </w:p>
    <w:p>
      <w:pPr>
        <w:ind w:right="100" w:firstLine="878"/>
        <w:spacing w:after="0" w:line="259" w:lineRule="auto"/>
        <w:rPr>
          <w:sz w:val="20"/>
          <w:szCs w:val="20"/>
          <w:color w:val="auto"/>
        </w:rPr>
      </w:pPr>
      <w:r>
        <w:rPr>
          <w:rFonts w:ascii="Arial" w:cs="Arial" w:eastAsia="Arial" w:hAnsi="Arial"/>
          <w:sz w:val="18"/>
          <w:szCs w:val="18"/>
          <w:color w:val="auto"/>
        </w:rPr>
        <w:t>Our resort management and other services revenues include revenues generated from fees we earn for managing each of our resorts. In addition, we earn revenue for providing ancillary offerings, including food and beverage, retail, and golf and spa offerings at our resorts. We also receive annual fees, club dues, settlement fees from the sale of vacation ownership products and certain transaction-based fees from owners and other third parties, including external exchange service providers with which we are associated.</w:t>
      </w:r>
    </w:p>
    <w:p>
      <w:pPr>
        <w:spacing w:after="0" w:line="187" w:lineRule="exact"/>
        <w:rPr>
          <w:sz w:val="20"/>
          <w:szCs w:val="20"/>
          <w:color w:val="auto"/>
        </w:rPr>
      </w:pPr>
    </w:p>
    <w:p>
      <w:pPr>
        <w:ind w:right="340" w:firstLine="878"/>
        <w:spacing w:after="0" w:line="259" w:lineRule="auto"/>
        <w:rPr>
          <w:sz w:val="20"/>
          <w:szCs w:val="20"/>
          <w:color w:val="auto"/>
        </w:rPr>
      </w:pPr>
      <w:r>
        <w:rPr>
          <w:rFonts w:ascii="Arial" w:cs="Arial" w:eastAsia="Arial" w:hAnsi="Arial"/>
          <w:sz w:val="18"/>
          <w:szCs w:val="18"/>
          <w:color w:val="auto"/>
        </w:rPr>
        <w:t>We provide day-to-day management services, including housekeeping services, operation of reservation systems, maintenance, and certain accounting and administrative services for property owners’ associations. We receive compensation for these management services; this compensation is generally based on either a percentage of budgeted costs to operate the resorts or a fixed fee arrangement. We earn these fees regardless of usage or occupancy.</w:t>
      </w:r>
    </w:p>
    <w:p>
      <w:pPr>
        <w:spacing w:after="0" w:line="187" w:lineRule="exact"/>
        <w:rPr>
          <w:sz w:val="20"/>
          <w:szCs w:val="20"/>
          <w:color w:val="auto"/>
        </w:rPr>
      </w:pPr>
    </w:p>
    <w:p>
      <w:pPr>
        <w:ind w:right="20" w:firstLine="878"/>
        <w:spacing w:after="0" w:line="264" w:lineRule="auto"/>
        <w:rPr>
          <w:sz w:val="20"/>
          <w:szCs w:val="20"/>
          <w:color w:val="auto"/>
        </w:rPr>
      </w:pPr>
      <w:r>
        <w:rPr>
          <w:rFonts w:ascii="Arial" w:cs="Arial" w:eastAsia="Arial" w:hAnsi="Arial"/>
          <w:sz w:val="18"/>
          <w:szCs w:val="18"/>
          <w:color w:val="auto"/>
        </w:rPr>
        <w:t>Resort management and other services expenses include costs to operate the food and beverage and other ancillary operations and overall customer support services, including reservations, certain transaction-based expenses relating to external exchange service providers and settlement expenses from the sale of vacation ownership products.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Financing</w:t>
      </w:r>
    </w:p>
    <w:p>
      <w:pPr>
        <w:spacing w:after="0" w:line="225" w:lineRule="exact"/>
        <w:rPr>
          <w:sz w:val="20"/>
          <w:szCs w:val="20"/>
          <w:color w:val="auto"/>
        </w:rPr>
      </w:pPr>
    </w:p>
    <w:p>
      <w:pPr>
        <w:ind w:right="680" w:firstLine="878"/>
        <w:spacing w:after="0" w:line="277" w:lineRule="auto"/>
        <w:rPr>
          <w:sz w:val="20"/>
          <w:szCs w:val="20"/>
          <w:color w:val="auto"/>
        </w:rPr>
      </w:pPr>
      <w:r>
        <w:rPr>
          <w:rFonts w:ascii="Arial" w:cs="Arial" w:eastAsia="Arial" w:hAnsi="Arial"/>
          <w:sz w:val="18"/>
          <w:szCs w:val="18"/>
          <w:color w:val="auto"/>
        </w:rPr>
        <w:t>We offer financing to qualified customers for the purchase of most types of our vacation ownership products. The average FICO score of customers who were U.S. citizens or residents who financed a vacation ownership purchase was as follows:</w:t>
      </w:r>
    </w:p>
    <w:p>
      <w:pPr>
        <w:spacing w:after="0" w:line="392"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300" w:type="dxa"/>
            <w:vAlign w:val="bottom"/>
            <w:tcBorders>
              <w:bottom w:val="single" w:sz="8" w:color="auto"/>
            </w:tcBorders>
            <w:gridSpan w:val="3"/>
          </w:tcPr>
          <w:p>
            <w:pPr>
              <w:ind w:left="880"/>
              <w:spacing w:after="0"/>
              <w:rPr>
                <w:sz w:val="20"/>
                <w:szCs w:val="20"/>
                <w:color w:val="auto"/>
              </w:rPr>
            </w:pPr>
            <w:r>
              <w:rPr>
                <w:rFonts w:ascii="Arial" w:cs="Arial" w:eastAsia="Arial" w:hAnsi="Arial"/>
                <w:sz w:val="14"/>
                <w:szCs w:val="14"/>
                <w:b w:val="1"/>
                <w:bCs w:val="1"/>
                <w:color w:val="auto"/>
              </w:rPr>
              <w:t>Thirty-Six Weeks Ended</w:t>
            </w:r>
          </w:p>
        </w:tc>
      </w:tr>
      <w:tr>
        <w:trPr>
          <w:trHeight w:val="264"/>
        </w:trPr>
        <w:tc>
          <w:tcPr>
            <w:tcW w:w="5620" w:type="dxa"/>
            <w:vAlign w:val="bottom"/>
          </w:tcPr>
          <w:p>
            <w:pPr>
              <w:spacing w:after="0"/>
              <w:rPr>
                <w:sz w:val="22"/>
                <w:szCs w:val="22"/>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September 9, 2016</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11, 2015</w:t>
            </w:r>
          </w:p>
        </w:tc>
      </w:tr>
      <w:tr>
        <w:trPr>
          <w:trHeight w:val="24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FICO score</w:t>
            </w:r>
          </w:p>
        </w:tc>
        <w:tc>
          <w:tcPr>
            <w:tcW w:w="1600" w:type="dxa"/>
            <w:vAlign w:val="bottom"/>
            <w:tcBorders>
              <w:top w:val="single" w:sz="8" w:color="auto"/>
            </w:tcBorders>
            <w:shd w:val="clear" w:color="auto" w:fill="CCEEFF"/>
          </w:tcPr>
          <w:p>
            <w:pPr>
              <w:jc w:val="right"/>
              <w:ind w:right="602"/>
              <w:spacing w:after="0"/>
              <w:rPr>
                <w:sz w:val="20"/>
                <w:szCs w:val="20"/>
                <w:color w:val="auto"/>
              </w:rPr>
            </w:pPr>
            <w:r>
              <w:rPr>
                <w:rFonts w:ascii="Arial" w:cs="Arial" w:eastAsia="Arial" w:hAnsi="Arial"/>
                <w:sz w:val="18"/>
                <w:szCs w:val="18"/>
                <w:color w:val="auto"/>
              </w:rPr>
              <w:t>742</w:t>
            </w:r>
          </w:p>
        </w:tc>
        <w:tc>
          <w:tcPr>
            <w:tcW w:w="100" w:type="dxa"/>
            <w:vAlign w:val="bottom"/>
            <w:tcBorders>
              <w:top w:val="single" w:sz="8" w:color="CCEEFF"/>
            </w:tcBorders>
            <w:shd w:val="clear" w:color="auto" w:fill="CCEEFF"/>
          </w:tcPr>
          <w:p>
            <w:pPr>
              <w:spacing w:after="0"/>
              <w:rPr>
                <w:sz w:val="21"/>
                <w:szCs w:val="21"/>
                <w:color w:val="auto"/>
              </w:rPr>
            </w:pPr>
          </w:p>
        </w:tc>
        <w:tc>
          <w:tcPr>
            <w:tcW w:w="1600" w:type="dxa"/>
            <w:vAlign w:val="bottom"/>
            <w:tcBorders>
              <w:top w:val="single" w:sz="8" w:color="auto"/>
            </w:tcBorders>
            <w:shd w:val="clear" w:color="auto" w:fill="CCEEFF"/>
          </w:tcPr>
          <w:p>
            <w:pPr>
              <w:jc w:val="right"/>
              <w:ind w:right="599"/>
              <w:spacing w:after="0"/>
              <w:rPr>
                <w:sz w:val="20"/>
                <w:szCs w:val="20"/>
                <w:color w:val="auto"/>
              </w:rPr>
            </w:pPr>
            <w:r>
              <w:rPr>
                <w:rFonts w:ascii="Arial" w:cs="Arial" w:eastAsia="Arial" w:hAnsi="Arial"/>
                <w:sz w:val="18"/>
                <w:szCs w:val="18"/>
                <w:color w:val="auto"/>
              </w:rPr>
              <w:t>734</w:t>
            </w:r>
          </w:p>
        </w:tc>
      </w:tr>
      <w:tr>
        <w:trPr>
          <w:trHeight w:val="27"/>
        </w:trPr>
        <w:tc>
          <w:tcPr>
            <w:tcW w:w="56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60" w:firstLine="878"/>
        <w:spacing w:after="0" w:line="259" w:lineRule="auto"/>
        <w:rPr>
          <w:sz w:val="20"/>
          <w:szCs w:val="20"/>
          <w:color w:val="auto"/>
        </w:rPr>
      </w:pPr>
      <w:r>
        <w:rPr>
          <w:rFonts w:ascii="Arial" w:cs="Arial" w:eastAsia="Arial" w:hAnsi="Arial"/>
          <w:sz w:val="18"/>
          <w:szCs w:val="18"/>
          <w:color w:val="auto"/>
        </w:rPr>
        <w:t>The typical financing agreement provides for monthly payments of principal and interest with the principal balance of the loan fully amortizing over the term of the related vacation ownership note receivable, which is generally ten years. The interest income earned from the financing arrangements is earned on an accrual basis on the principal balance outstanding over the life of the arrangement and is recorded as Financing revenues on our Statements of Income.</w:t>
      </w:r>
    </w:p>
    <w:p>
      <w:pPr>
        <w:spacing w:after="0" w:line="187" w:lineRule="exact"/>
        <w:rPr>
          <w:sz w:val="20"/>
          <w:szCs w:val="20"/>
          <w:color w:val="auto"/>
        </w:rPr>
      </w:pPr>
    </w:p>
    <w:p>
      <w:pPr>
        <w:ind w:firstLine="878"/>
        <w:spacing w:after="0" w:line="272" w:lineRule="auto"/>
        <w:rPr>
          <w:sz w:val="20"/>
          <w:szCs w:val="20"/>
          <w:color w:val="auto"/>
        </w:rPr>
      </w:pPr>
      <w:r>
        <w:rPr>
          <w:rFonts w:ascii="Arial" w:cs="Arial" w:eastAsia="Arial" w:hAnsi="Arial"/>
          <w:sz w:val="17"/>
          <w:szCs w:val="17"/>
          <w:color w:val="auto"/>
        </w:rPr>
        <w:t>Financing revenues include interest income earned on vacation ownership notes receivable as well as fees earned from servicing the existing vacation ownership notes receivable portfolio. Financing expenses include costs in support of the financing, servicing and securitization processes. The amount of interest income earned in a period depends on the amount of outstanding vacation ownership notes receivable, which is impacted positively by the origination of new vacation ownership notes receivable and negatively by principal collections. In the first half of 2015, we implemented new programs to help increase financing propensity above the 40 to 45 percent rate that the company had averaged in recent years. We expect that interest income will continue to increase as new originations of vacation ownership notes receivable from growth in the business as well as the impact of higher financing propensity levels outpace the decline in principal of our existing vacation ownership notes receivable portfolio.</w:t>
      </w:r>
    </w:p>
    <w:p>
      <w:pPr>
        <w:spacing w:after="0" w:line="178" w:lineRule="exact"/>
        <w:rPr>
          <w:sz w:val="20"/>
          <w:szCs w:val="20"/>
          <w:color w:val="auto"/>
        </w:rPr>
      </w:pPr>
    </w:p>
    <w:p>
      <w:pPr>
        <w:ind w:right="20" w:firstLine="878"/>
        <w:spacing w:after="0" w:line="257" w:lineRule="auto"/>
        <w:rPr>
          <w:sz w:val="20"/>
          <w:szCs w:val="20"/>
          <w:color w:val="auto"/>
        </w:rPr>
      </w:pPr>
      <w:r>
        <w:rPr>
          <w:rFonts w:ascii="Arial" w:cs="Arial" w:eastAsia="Arial" w:hAnsi="Arial"/>
          <w:sz w:val="18"/>
          <w:szCs w:val="18"/>
          <w:color w:val="auto"/>
        </w:rPr>
        <w:t>In the event of a default, we generally have the right to foreclose on or revoke the mortgaged vacation ownership interest. We return vacation ownership interests that we reacquire through foreclosure or revocation back to real estate inventory. As discussed above, we record a vacation ownership notes receivable reserve at the time of sale and classify the reserve as a reduction to revenues from the sale of vacation ownership products on our Statements of Income. Historical default rates, which represent defaults as a percentage of each year’s beginning gross vacation ownership notes receivable balance, were as follows:</w:t>
      </w:r>
    </w:p>
    <w:p>
      <w:pPr>
        <w:spacing w:after="0" w:line="200" w:lineRule="exact"/>
        <w:rPr>
          <w:sz w:val="20"/>
          <w:szCs w:val="20"/>
          <w:color w:val="auto"/>
        </w:rPr>
      </w:pPr>
    </w:p>
    <w:p>
      <w:pPr>
        <w:spacing w:after="0" w:line="209" w:lineRule="exact"/>
        <w:rPr>
          <w:sz w:val="20"/>
          <w:szCs w:val="20"/>
          <w:color w:val="auto"/>
        </w:rPr>
      </w:pPr>
    </w:p>
    <w:tbl>
      <w:tblPr>
        <w:tblLayout w:type="fixed"/>
        <w:tblInd w:w="124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3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Thirty-Six Weeks Ended</w:t>
            </w:r>
          </w:p>
        </w:tc>
      </w:tr>
      <w:tr>
        <w:trPr>
          <w:trHeight w:val="264"/>
        </w:trPr>
        <w:tc>
          <w:tcPr>
            <w:tcW w:w="5620" w:type="dxa"/>
            <w:vAlign w:val="bottom"/>
          </w:tcPr>
          <w:p>
            <w:pPr>
              <w:spacing w:after="0"/>
              <w:rPr>
                <w:sz w:val="22"/>
                <w:szCs w:val="2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September 9, 2016</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auto"/>
                <w:w w:val="91"/>
              </w:rPr>
              <w:t>September 11, 2015</w:t>
            </w:r>
          </w:p>
        </w:tc>
      </w:tr>
      <w:tr>
        <w:trPr>
          <w:trHeight w:val="243"/>
        </w:trPr>
        <w:tc>
          <w:tcPr>
            <w:tcW w:w="5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Historical default rates</w:t>
            </w:r>
          </w:p>
        </w:tc>
        <w:tc>
          <w:tcPr>
            <w:tcW w:w="1620" w:type="dxa"/>
            <w:vAlign w:val="bottom"/>
            <w:tcBorders>
              <w:top w:val="single" w:sz="8" w:color="auto"/>
            </w:tcBorders>
            <w:shd w:val="clear" w:color="auto" w:fill="CCEEFF"/>
          </w:tcPr>
          <w:p>
            <w:pPr>
              <w:jc w:val="right"/>
              <w:ind w:right="542"/>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CEEFF"/>
            </w:tcBorders>
            <w:shd w:val="clear" w:color="auto" w:fill="CCEEFF"/>
          </w:tcPr>
          <w:p>
            <w:pPr>
              <w:spacing w:after="0"/>
              <w:rPr>
                <w:sz w:val="21"/>
                <w:szCs w:val="21"/>
                <w:color w:val="auto"/>
              </w:rPr>
            </w:pPr>
          </w:p>
        </w:tc>
        <w:tc>
          <w:tcPr>
            <w:tcW w:w="1620" w:type="dxa"/>
            <w:vAlign w:val="bottom"/>
            <w:tcBorders>
              <w:top w:val="single" w:sz="8" w:color="auto"/>
            </w:tcBorders>
            <w:shd w:val="clear" w:color="auto" w:fill="CCEEFF"/>
          </w:tcPr>
          <w:p>
            <w:pPr>
              <w:jc w:val="right"/>
              <w:ind w:right="539"/>
              <w:spacing w:after="0"/>
              <w:rPr>
                <w:sz w:val="20"/>
                <w:szCs w:val="20"/>
                <w:color w:val="auto"/>
              </w:rPr>
            </w:pPr>
            <w:r>
              <w:rPr>
                <w:rFonts w:ascii="Arial" w:cs="Arial" w:eastAsia="Arial" w:hAnsi="Arial"/>
                <w:sz w:val="18"/>
                <w:szCs w:val="18"/>
                <w:color w:val="auto"/>
              </w:rPr>
              <w:t>2.8%</w:t>
            </w:r>
          </w:p>
        </w:tc>
      </w:tr>
      <w:tr>
        <w:trPr>
          <w:trHeight w:val="27"/>
        </w:trPr>
        <w:tc>
          <w:tcPr>
            <w:tcW w:w="56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Rental</w:t>
      </w:r>
    </w:p>
    <w:p>
      <w:pPr>
        <w:spacing w:after="0" w:line="225" w:lineRule="exact"/>
        <w:rPr>
          <w:sz w:val="20"/>
          <w:szCs w:val="20"/>
          <w:color w:val="auto"/>
        </w:rPr>
      </w:pPr>
    </w:p>
    <w:p>
      <w:pPr>
        <w:ind w:right="360" w:firstLine="878"/>
        <w:spacing w:after="0" w:line="264" w:lineRule="auto"/>
        <w:rPr>
          <w:sz w:val="20"/>
          <w:szCs w:val="20"/>
          <w:color w:val="auto"/>
        </w:rPr>
      </w:pPr>
      <w:r>
        <w:rPr>
          <w:rFonts w:ascii="Arial" w:cs="Arial" w:eastAsia="Arial" w:hAnsi="Arial"/>
          <w:sz w:val="18"/>
          <w:szCs w:val="18"/>
          <w:color w:val="auto"/>
        </w:rPr>
        <w:t>We operate a rental business to provide owner flexibility and to help mitigate carrying costs associated with our inventory. We obtain rental inventory from unsold inventory and inventory we control because owners have elected alternative usage options offered through our vacation ownership programs.</w:t>
      </w:r>
    </w:p>
    <w:p>
      <w:pPr>
        <w:spacing w:after="0" w:line="181" w:lineRule="exact"/>
        <w:rPr>
          <w:sz w:val="20"/>
          <w:szCs w:val="20"/>
          <w:color w:val="auto"/>
        </w:rPr>
      </w:pPr>
    </w:p>
    <w:p>
      <w:pPr>
        <w:ind w:right="320" w:firstLine="878"/>
        <w:spacing w:after="0" w:line="264" w:lineRule="auto"/>
        <w:rPr>
          <w:sz w:val="20"/>
          <w:szCs w:val="20"/>
          <w:color w:val="auto"/>
        </w:rPr>
      </w:pPr>
      <w:r>
        <w:rPr>
          <w:rFonts w:ascii="Arial" w:cs="Arial" w:eastAsia="Arial" w:hAnsi="Arial"/>
          <w:sz w:val="18"/>
          <w:szCs w:val="18"/>
          <w:color w:val="auto"/>
        </w:rPr>
        <w:t>Rental revenues are primarily the revenues we earn from renting this inventory. We also recognize rental revenue from the utilization of plus points under the Marriott Vacation Club Destinations</w:t>
      </w:r>
      <w:r>
        <w:rPr>
          <w:rFonts w:ascii="Arial" w:cs="Arial" w:eastAsia="Arial" w:hAnsi="Arial"/>
          <w:sz w:val="16"/>
          <w:szCs w:val="16"/>
          <w:color w:val="auto"/>
        </w:rPr>
        <w:t>™</w:t>
      </w:r>
      <w:r>
        <w:rPr>
          <w:rFonts w:ascii="Arial" w:cs="Arial" w:eastAsia="Arial" w:hAnsi="Arial"/>
          <w:sz w:val="18"/>
          <w:szCs w:val="18"/>
          <w:color w:val="auto"/>
        </w:rPr>
        <w:t xml:space="preserve"> (“MVCD”) program when those points are redeemed for rental stays at one of our resorts or in the Explorer Collection, or upon expiration of the points.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Rental expenses include:</w:t>
      </w:r>
    </w:p>
    <w:p>
      <w:pPr>
        <w:spacing w:after="0" w:line="117" w:lineRule="exact"/>
        <w:rPr>
          <w:sz w:val="20"/>
          <w:szCs w:val="20"/>
          <w:color w:val="auto"/>
        </w:rPr>
      </w:pPr>
    </w:p>
    <w:p>
      <w:pPr>
        <w:ind w:left="1460" w:hanging="318"/>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Maintenance fees on unsold inventory;</w:t>
      </w:r>
    </w:p>
    <w:p>
      <w:pPr>
        <w:spacing w:after="0" w:line="117" w:lineRule="exact"/>
        <w:rPr>
          <w:rFonts w:ascii="Arial" w:cs="Arial" w:eastAsia="Arial" w:hAnsi="Arial"/>
          <w:sz w:val="18"/>
          <w:szCs w:val="18"/>
          <w:color w:val="auto"/>
        </w:rPr>
      </w:pPr>
    </w:p>
    <w:p>
      <w:pPr>
        <w:ind w:left="1460" w:right="160" w:hanging="318"/>
        <w:spacing w:after="0" w:line="277"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to provide alternative usage options, including Marriott Rewards Points and offerings available as part of the Explorer Collection, for owners who elect to exchange their inventory;</w:t>
      </w:r>
    </w:p>
    <w:p>
      <w:pPr>
        <w:spacing w:after="0" w:line="62" w:lineRule="exact"/>
        <w:rPr>
          <w:rFonts w:ascii="Arial" w:cs="Arial" w:eastAsia="Arial" w:hAnsi="Arial"/>
          <w:sz w:val="18"/>
          <w:szCs w:val="18"/>
          <w:color w:val="auto"/>
        </w:rPr>
      </w:pPr>
    </w:p>
    <w:p>
      <w:pPr>
        <w:ind w:left="1460" w:right="500" w:hanging="318"/>
        <w:spacing w:after="0" w:line="277"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Marketing costs and direct operating and related expenses in connection with the rental business (such as housekeeping, credit card expenses and reservation services); and</w:t>
      </w:r>
    </w:p>
    <w:p>
      <w:pPr>
        <w:spacing w:after="0" w:line="62" w:lineRule="exact"/>
        <w:rPr>
          <w:rFonts w:ascii="Arial" w:cs="Arial" w:eastAsia="Arial" w:hAnsi="Arial"/>
          <w:sz w:val="18"/>
          <w:szCs w:val="18"/>
          <w:color w:val="auto"/>
        </w:rPr>
      </w:pPr>
    </w:p>
    <w:p>
      <w:pPr>
        <w:ind w:left="1460" w:hanging="318"/>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Costs associated with the banking and borrowing usage option that is available under the MVCD program.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878"/>
        <w:spacing w:after="0" w:line="254" w:lineRule="auto"/>
        <w:rPr>
          <w:sz w:val="20"/>
          <w:szCs w:val="20"/>
          <w:color w:val="auto"/>
        </w:rPr>
      </w:pPr>
      <w:r>
        <w:rPr>
          <w:rFonts w:ascii="Arial" w:cs="Arial" w:eastAsia="Arial" w:hAnsi="Arial"/>
          <w:sz w:val="18"/>
          <w:szCs w:val="18"/>
          <w:color w:val="auto"/>
        </w:rPr>
        <w:t>Rental metrics, including the average daily transient rate or the number of transient keys rented, may not be comparable between periods given fluctuation in available occupancy by location, unit size (such as two bedroom, one bedroom or studio unit), and owner use and exchange behavior. Further, as our ability to rent certain luxury inventory and inventory in our Asia Pacific segment is often limited on a site-by-site basis, rental operations may not generate adequate rental revenues to cover associated costs. Our vacation units are either “full villas” or “lock-off” villas. Lock-off villas are units that can be separated into a master unit and a guest room. Full villas are “non-lock-off” villas because they cannot be separated. A “key” is the lowest increment for reporting occupancy statistics based upon the mix of non-lock-off and lock-off villas. Lock-off villas represent two keys and non-lock-off villas represent one key. The “transient keys” metric represents the blended mix of inventory available for rent and includes all of the combined inventory configurations available in our resort system.</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Cost Reimbursements</w:t>
      </w:r>
    </w:p>
    <w:p>
      <w:pPr>
        <w:spacing w:after="0" w:line="225" w:lineRule="exact"/>
        <w:rPr>
          <w:sz w:val="20"/>
          <w:szCs w:val="20"/>
          <w:color w:val="auto"/>
        </w:rPr>
      </w:pPr>
    </w:p>
    <w:p>
      <w:pPr>
        <w:ind w:right="180" w:firstLine="878"/>
        <w:spacing w:after="0" w:line="302" w:lineRule="auto"/>
        <w:rPr>
          <w:sz w:val="20"/>
          <w:szCs w:val="20"/>
          <w:color w:val="auto"/>
        </w:rPr>
      </w:pPr>
      <w:r>
        <w:rPr>
          <w:rFonts w:ascii="Arial" w:cs="Arial" w:eastAsia="Arial" w:hAnsi="Arial"/>
          <w:sz w:val="16"/>
          <w:szCs w:val="16"/>
          <w:color w:val="auto"/>
        </w:rPr>
        <w:t>Cost reimbursements include direct and indirect costs that property owners’ associations reimburse to us. In accordance with the accounting guidance for “gross versus net” presentation, we record these revenues and expenses on a gross basis. We recognize cost reimbursements when we incur the related reimbursable costs. These costs primarily consist of payroll and payroll related expenses for management of the property owners’ associations and other services we provide where we are the employer. Cost reimbursements consist of actual expenses with no added margin.</w:t>
      </w:r>
    </w:p>
    <w:p>
      <w:pPr>
        <w:spacing w:after="0" w:line="15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Consumer Financing Interest Expense</w:t>
      </w:r>
    </w:p>
    <w:p>
      <w:pPr>
        <w:spacing w:after="0" w:line="225" w:lineRule="exact"/>
        <w:rPr>
          <w:sz w:val="20"/>
          <w:szCs w:val="20"/>
          <w:color w:val="auto"/>
        </w:rPr>
      </w:pPr>
    </w:p>
    <w:p>
      <w:pPr>
        <w:ind w:right="260" w:firstLine="878"/>
        <w:spacing w:after="0" w:line="279" w:lineRule="auto"/>
        <w:rPr>
          <w:sz w:val="20"/>
          <w:szCs w:val="20"/>
          <w:color w:val="auto"/>
        </w:rPr>
      </w:pPr>
      <w:r>
        <w:rPr>
          <w:rFonts w:ascii="Arial" w:cs="Arial" w:eastAsia="Arial" w:hAnsi="Arial"/>
          <w:sz w:val="17"/>
          <w:szCs w:val="17"/>
          <w:color w:val="auto"/>
        </w:rPr>
        <w:t>Consumer financing interest expense represents interest expense associated with the debt from our non-recourse warehouse credit facility (the “Warehouse Credit Facility”) and from the securitization of our vacation ownership notes receivable. We distinguish consumer financing interest expense from all other interest expense because the debt associated with the consumer financing interest expense is secured by vacation ownership notes receivable that have been sold to bankruptcy remote special purpose entities and is generally non-recourse to us.</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Interest Expense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Interest expense consists of all interest expense other than consumer financing interest expense.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Other Items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measure operating performance using the following key metrics:</w:t>
      </w:r>
    </w:p>
    <w:p>
      <w:pPr>
        <w:spacing w:after="0" w:line="117" w:lineRule="exact"/>
        <w:rPr>
          <w:sz w:val="20"/>
          <w:szCs w:val="20"/>
          <w:color w:val="auto"/>
        </w:rPr>
      </w:pPr>
    </w:p>
    <w:p>
      <w:pPr>
        <w:ind w:left="1380" w:hanging="319"/>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Contract sales from the sale of vacation ownership products;</w:t>
      </w:r>
    </w:p>
    <w:p>
      <w:pPr>
        <w:spacing w:after="0" w:line="117" w:lineRule="exact"/>
        <w:rPr>
          <w:rFonts w:ascii="Arial" w:cs="Arial" w:eastAsia="Arial" w:hAnsi="Arial"/>
          <w:sz w:val="18"/>
          <w:szCs w:val="18"/>
          <w:color w:val="auto"/>
        </w:rPr>
      </w:pPr>
    </w:p>
    <w:p>
      <w:pPr>
        <w:ind w:left="1380" w:hanging="319"/>
        <w:spacing w:after="0"/>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Development margin percentage; and</w:t>
      </w:r>
    </w:p>
    <w:p>
      <w:pPr>
        <w:spacing w:after="0" w:line="117" w:lineRule="exact"/>
        <w:rPr>
          <w:rFonts w:ascii="Arial" w:cs="Arial" w:eastAsia="Arial" w:hAnsi="Arial"/>
          <w:sz w:val="18"/>
          <w:szCs w:val="18"/>
          <w:color w:val="auto"/>
        </w:rPr>
      </w:pPr>
    </w:p>
    <w:p>
      <w:pPr>
        <w:ind w:left="1380" w:right="40" w:hanging="319"/>
        <w:spacing w:after="0" w:line="259" w:lineRule="auto"/>
        <w:tabs>
          <w:tab w:leader="none" w:pos="1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Volume per guest (“VPG”), which we calculate by dividing contract sales, excluding fractional and residential sales, telesales and other sales that are not attributed to a tour at a sales location, by the number of tours at sales locations in a given period. We believe that this operating metric is valuable in evaluating the effectiveness of the sales process as it combines the impact of average contract price with the number of touring guests who make a purchase.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29"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twelve and thirty-six weeks ended September 9, 2016, compared to the twelve and thirty-six weeks ended September 11,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4"/>
          </w:tcPr>
          <w:p>
            <w:pPr>
              <w:jc w:val="right"/>
              <w:ind w:right="1031"/>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Thirty-Six Weeks Ended</w:t>
            </w: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200" w:type="dxa"/>
            <w:vAlign w:val="bottom"/>
          </w:tcPr>
          <w:p>
            <w:pPr>
              <w:spacing w:after="0"/>
              <w:rPr>
                <w:sz w:val="22"/>
                <w:szCs w:val="22"/>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9, 2016</w:t>
            </w:r>
          </w:p>
        </w:tc>
        <w:tc>
          <w:tcPr>
            <w:tcW w:w="180" w:type="dxa"/>
            <w:vAlign w:val="bottom"/>
          </w:tcPr>
          <w:p>
            <w:pPr>
              <w:spacing w:after="0"/>
              <w:rPr>
                <w:sz w:val="22"/>
                <w:szCs w:val="22"/>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11, 2015</w:t>
            </w:r>
          </w:p>
        </w:tc>
        <w:tc>
          <w:tcPr>
            <w:tcW w:w="20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9, 2016</w:t>
            </w:r>
          </w:p>
        </w:tc>
        <w:tc>
          <w:tcPr>
            <w:tcW w:w="180" w:type="dxa"/>
            <w:vAlign w:val="bottom"/>
          </w:tcPr>
          <w:p>
            <w:pPr>
              <w:spacing w:after="0"/>
              <w:rPr>
                <w:sz w:val="22"/>
                <w:szCs w:val="22"/>
                <w:color w:val="auto"/>
              </w:rPr>
            </w:pPr>
          </w:p>
        </w:tc>
        <w:tc>
          <w:tcPr>
            <w:tcW w:w="1520" w:type="dxa"/>
            <w:vAlign w:val="bottom"/>
          </w:tcPr>
          <w:p>
            <w:pPr>
              <w:jc w:val="right"/>
              <w:ind w:right="171"/>
              <w:spacing w:after="0"/>
              <w:rPr>
                <w:sz w:val="20"/>
                <w:szCs w:val="20"/>
                <w:color w:val="auto"/>
              </w:rPr>
            </w:pPr>
            <w:r>
              <w:rPr>
                <w:rFonts w:ascii="Arial" w:cs="Arial" w:eastAsia="Arial" w:hAnsi="Arial"/>
                <w:sz w:val="14"/>
                <w:szCs w:val="14"/>
                <w:b w:val="1"/>
                <w:bCs w:val="1"/>
                <w:color w:val="auto"/>
                <w:w w:val="94"/>
              </w:rPr>
              <w:t>September 11, 2015</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Sale of vacation ownership products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131,012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136,802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415,831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476,078</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75,539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73,828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226,098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212,308</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Financing</w:t>
            </w:r>
          </w:p>
        </w:tc>
        <w:tc>
          <w:tcPr>
            <w:tcW w:w="2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29,066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28,294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86,944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85,640</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73,776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76,039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229,133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224,880</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Cost reimbursements</w:t>
            </w:r>
          </w:p>
        </w:tc>
        <w:tc>
          <w:tcPr>
            <w:tcW w:w="2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97,598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92,173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303,973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285,937</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64"/>
        </w:trPr>
        <w:tc>
          <w:tcPr>
            <w:tcW w:w="42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REVENUES</w:t>
            </w: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406,991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407,136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1,261,979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1,284,843</w:t>
            </w:r>
          </w:p>
        </w:tc>
      </w:tr>
      <w:tr>
        <w:trPr>
          <w:trHeight w:val="223"/>
        </w:trPr>
        <w:tc>
          <w:tcPr>
            <w:tcW w:w="424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00" w:type="dxa"/>
            <w:vAlign w:val="bottom"/>
            <w:tcBorders>
              <w:top w:val="single" w:sz="8" w:color="auto"/>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r>
      <w:tr>
        <w:trPr>
          <w:trHeight w:val="41"/>
        </w:trPr>
        <w:tc>
          <w:tcPr>
            <w:tcW w:w="42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520" w:type="dxa"/>
            <w:vAlign w:val="bottom"/>
          </w:tcPr>
          <w:p>
            <w:pPr>
              <w:spacing w:after="0"/>
              <w:rPr>
                <w:sz w:val="3"/>
                <w:szCs w:val="3"/>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vacation ownership products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104,149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150,857</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Marketing and sales</w:t>
            </w:r>
          </w:p>
        </w:tc>
        <w:tc>
          <w:tcPr>
            <w:tcW w:w="2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79,017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71,628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236,348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228,760</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140,545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135,298</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Financing</w:t>
            </w:r>
          </w:p>
        </w:tc>
        <w:tc>
          <w:tcPr>
            <w:tcW w:w="2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4,855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5,488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14,348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16,478</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60,970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191,658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184,560</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21,619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23,214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71,504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68,883</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Organizational and separation related</w:t>
            </w:r>
          </w:p>
        </w:tc>
        <w:tc>
          <w:tcPr>
            <w:tcW w:w="200" w:type="dxa"/>
            <w:vAlign w:val="bottom"/>
          </w:tcPr>
          <w:p>
            <w:pPr>
              <w:spacing w:after="0"/>
              <w:rPr>
                <w:sz w:val="21"/>
                <w:szCs w:val="21"/>
                <w:color w:val="auto"/>
              </w:rPr>
            </w:pP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732</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financing interest</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16,558</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Royalty fee</w:t>
            </w:r>
          </w:p>
        </w:tc>
        <w:tc>
          <w:tcPr>
            <w:tcW w:w="200" w:type="dxa"/>
            <w:vAlign w:val="bottom"/>
          </w:tcPr>
          <w:p>
            <w:pPr>
              <w:spacing w:after="0"/>
              <w:rPr>
                <w:sz w:val="21"/>
                <w:szCs w:val="21"/>
                <w:color w:val="auto"/>
              </w:rPr>
            </w:pPr>
          </w:p>
        </w:tc>
        <w:tc>
          <w:tcPr>
            <w:tcW w:w="1540" w:type="dxa"/>
            <w:vAlign w:val="bottom"/>
          </w:tcPr>
          <w:p>
            <w:pPr>
              <w:jc w:val="right"/>
              <w:ind w:right="31"/>
              <w:spacing w:after="0"/>
              <w:rPr>
                <w:sz w:val="20"/>
                <w:szCs w:val="20"/>
                <w:color w:val="auto"/>
              </w:rPr>
            </w:pPr>
            <w:r>
              <w:rPr>
                <w:rFonts w:ascii="Arial" w:cs="Arial" w:eastAsia="Arial" w:hAnsi="Arial"/>
                <w:sz w:val="18"/>
                <w:szCs w:val="18"/>
                <w:color w:val="auto"/>
              </w:rPr>
              <w:t>14,624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14,000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42,007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40,431</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reimbursements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97,598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92,173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303,973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285,937</w:t>
            </w: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364,260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362,983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1,120,069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1,128,258</w:t>
            </w:r>
          </w:p>
        </w:tc>
      </w:tr>
      <w:tr>
        <w:trPr>
          <w:trHeight w:val="27"/>
        </w:trPr>
        <w:tc>
          <w:tcPr>
            <w:tcW w:w="4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Gains (losses) and other income (expense)</w:t>
            </w: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9,492</w:t>
            </w:r>
          </w:p>
        </w:tc>
      </w:tr>
      <w:tr>
        <w:trPr>
          <w:trHeight w:val="243"/>
        </w:trPr>
        <w:tc>
          <w:tcPr>
            <w:tcW w:w="424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(2,262)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(8,822)</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(6,305)</w:t>
            </w: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b w:val="1"/>
                <w:bCs w:val="1"/>
                <w:color w:val="auto"/>
              </w:rPr>
              <w:t>INCOME BEFORE INCOME TAXES</w:t>
            </w:r>
          </w:p>
        </w:tc>
        <w:tc>
          <w:tcPr>
            <w:tcW w:w="2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40,848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36,163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142,180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150,950</w:t>
            </w:r>
          </w:p>
        </w:tc>
      </w:tr>
      <w:tr>
        <w:trPr>
          <w:trHeight w:val="27"/>
        </w:trPr>
        <w:tc>
          <w:tcPr>
            <w:tcW w:w="4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(61,300)</w:t>
            </w:r>
          </w:p>
        </w:tc>
      </w:tr>
      <w:tr>
        <w:trPr>
          <w:trHeight w:val="237"/>
        </w:trPr>
        <w:tc>
          <w:tcPr>
            <w:tcW w:w="4240" w:type="dxa"/>
            <w:vAlign w:val="bottom"/>
          </w:tcPr>
          <w:p>
            <w:pPr>
              <w:ind w:left="72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26,807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21,555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87,524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89,650</w:t>
            </w:r>
          </w:p>
        </w:tc>
      </w:tr>
      <w:tr>
        <w:trPr>
          <w:trHeight w:val="27"/>
        </w:trPr>
        <w:tc>
          <w:tcPr>
            <w:tcW w:w="4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4"/>
        </w:trPr>
        <w:tc>
          <w:tcPr>
            <w:tcW w:w="57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3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9, 2016</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11, 2015</w:t>
            </w:r>
          </w:p>
        </w:tc>
        <w:tc>
          <w:tcPr>
            <w:tcW w:w="260" w:type="dxa"/>
            <w:vAlign w:val="bottom"/>
          </w:tcPr>
          <w:p>
            <w:pPr>
              <w:spacing w:after="0"/>
              <w:rPr>
                <w:sz w:val="22"/>
                <w:szCs w:val="22"/>
                <w:color w:val="auto"/>
              </w:rPr>
            </w:pPr>
          </w:p>
        </w:tc>
        <w:tc>
          <w:tcPr>
            <w:tcW w:w="980" w:type="dxa"/>
            <w:vAlign w:val="bottom"/>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340" w:type="dxa"/>
            <w:vAlign w:val="bottom"/>
          </w:tcPr>
          <w:p>
            <w:pPr>
              <w:ind w:left="34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780" w:type="dxa"/>
            <w:vAlign w:val="bottom"/>
          </w:tcPr>
          <w:p>
            <w:pPr>
              <w:ind w:left="380"/>
              <w:spacing w:after="0"/>
              <w:rPr>
                <w:sz w:val="20"/>
                <w:szCs w:val="20"/>
                <w:color w:val="auto"/>
              </w:rPr>
            </w:pPr>
            <w:r>
              <w:rPr>
                <w:rFonts w:ascii="Arial" w:cs="Arial" w:eastAsia="Arial" w:hAnsi="Arial"/>
                <w:sz w:val="18"/>
                <w:szCs w:val="18"/>
                <w:color w:val="auto"/>
              </w:rPr>
              <w:t>Vacation ownership</w:t>
            </w:r>
          </w:p>
        </w:tc>
        <w:tc>
          <w:tcPr>
            <w:tcW w:w="3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5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North America</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150,964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142,787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8,177</w:t>
            </w:r>
          </w:p>
        </w:tc>
        <w:tc>
          <w:tcPr>
            <w:tcW w:w="146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6%</w:t>
            </w:r>
          </w:p>
        </w:tc>
      </w:tr>
      <w:tr>
        <w:trPr>
          <w:trHeight w:val="243"/>
        </w:trPr>
        <w:tc>
          <w:tcPr>
            <w:tcW w:w="5780" w:type="dxa"/>
            <w:vAlign w:val="bottom"/>
          </w:tcPr>
          <w:p>
            <w:pPr>
              <w:ind w:left="600"/>
              <w:spacing w:after="0"/>
              <w:rPr>
                <w:sz w:val="20"/>
                <w:szCs w:val="20"/>
                <w:color w:val="auto"/>
              </w:rPr>
            </w:pPr>
            <w:r>
              <w:rPr>
                <w:rFonts w:ascii="Arial" w:cs="Arial" w:eastAsia="Arial" w:hAnsi="Arial"/>
                <w:sz w:val="18"/>
                <w:szCs w:val="18"/>
                <w:color w:val="auto"/>
              </w:rPr>
              <w:t>Europe</w:t>
            </w:r>
          </w:p>
        </w:tc>
        <w:tc>
          <w:tcPr>
            <w:tcW w:w="36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10,093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(2,395)</w:t>
            </w:r>
          </w:p>
        </w:tc>
        <w:tc>
          <w:tcPr>
            <w:tcW w:w="146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(24%)</w:t>
            </w:r>
          </w:p>
        </w:tc>
      </w:tr>
      <w:tr>
        <w:trPr>
          <w:trHeight w:val="27"/>
        </w:trPr>
        <w:tc>
          <w:tcPr>
            <w:tcW w:w="5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Asia Pacific</w:t>
            </w: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11,169</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6,877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4,292</w:t>
            </w:r>
          </w:p>
        </w:tc>
        <w:tc>
          <w:tcPr>
            <w:tcW w:w="14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62%</w:t>
            </w:r>
          </w:p>
        </w:tc>
      </w:tr>
      <w:tr>
        <w:trPr>
          <w:trHeight w:val="257"/>
        </w:trPr>
        <w:tc>
          <w:tcPr>
            <w:tcW w:w="5780" w:type="dxa"/>
            <w:vAlign w:val="bottom"/>
          </w:tcPr>
          <w:p>
            <w:pPr>
              <w:ind w:left="180"/>
              <w:spacing w:after="0"/>
              <w:rPr>
                <w:sz w:val="20"/>
                <w:szCs w:val="20"/>
                <w:color w:val="auto"/>
              </w:rPr>
            </w:pPr>
            <w:r>
              <w:rPr>
                <w:rFonts w:ascii="Arial" w:cs="Arial" w:eastAsia="Arial" w:hAnsi="Arial"/>
                <w:sz w:val="18"/>
                <w:szCs w:val="18"/>
                <w:color w:val="auto"/>
              </w:rPr>
              <w:t>Total contract sales</w:t>
            </w:r>
          </w:p>
        </w:tc>
        <w:tc>
          <w:tcPr>
            <w:tcW w:w="36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169,831</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86"/>
              </w:rPr>
              <w:t>159,757</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10,074</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6%</w:t>
            </w:r>
          </w:p>
        </w:tc>
      </w:tr>
      <w:tr>
        <w:trPr>
          <w:trHeight w:val="20"/>
        </w:trPr>
        <w:tc>
          <w:tcPr>
            <w:tcW w:w="57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5" w:right="239" w:bottom="1440" w:gutter="0" w:footer="0" w:header="0"/>
          <w:type w:val="continuous"/>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changes in contract sales are described within the discussions of our segment results below.</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9, 2016</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11, 2015</w:t>
            </w:r>
          </w:p>
        </w:tc>
        <w:tc>
          <w:tcPr>
            <w:tcW w:w="240" w:type="dxa"/>
            <w:vAlign w:val="bottom"/>
          </w:tcPr>
          <w:p>
            <w:pPr>
              <w:spacing w:after="0"/>
              <w:rPr>
                <w:sz w:val="22"/>
                <w:szCs w:val="22"/>
                <w:color w:val="auto"/>
              </w:rPr>
            </w:pPr>
          </w:p>
        </w:tc>
        <w:tc>
          <w:tcPr>
            <w:tcW w:w="1000" w:type="dxa"/>
            <w:vAlign w:val="bottom"/>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Vacation ownership</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North America</w:t>
            </w: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449,385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r>
      <w:tr>
        <w:trPr>
          <w:trHeight w:val="243"/>
        </w:trPr>
        <w:tc>
          <w:tcPr>
            <w:tcW w:w="5960" w:type="dxa"/>
            <w:vAlign w:val="bottom"/>
          </w:tcPr>
          <w:p>
            <w:pPr>
              <w:ind w:left="600"/>
              <w:spacing w:after="0"/>
              <w:rPr>
                <w:sz w:val="20"/>
                <w:szCs w:val="20"/>
                <w:color w:val="auto"/>
              </w:rPr>
            </w:pPr>
            <w:r>
              <w:rPr>
                <w:rFonts w:ascii="Arial" w:cs="Arial" w:eastAsia="Arial" w:hAnsi="Arial"/>
                <w:sz w:val="18"/>
                <w:szCs w:val="18"/>
                <w:color w:val="auto"/>
              </w:rPr>
              <w:t>Europe</w:t>
            </w:r>
          </w:p>
        </w:tc>
        <w:tc>
          <w:tcPr>
            <w:tcW w:w="340" w:type="dxa"/>
            <w:vAlign w:val="bottom"/>
          </w:tcPr>
          <w:p>
            <w:pPr>
              <w:spacing w:after="0"/>
              <w:rPr>
                <w:sz w:val="21"/>
                <w:szCs w:val="21"/>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22,054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22,732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w:t>
            </w: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Asia Pacific</w:t>
            </w: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23,528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32%</w:t>
            </w:r>
          </w:p>
        </w:tc>
      </w:tr>
      <w:tr>
        <w:trPr>
          <w:trHeight w:val="237"/>
        </w:trPr>
        <w:tc>
          <w:tcPr>
            <w:tcW w:w="5960" w:type="dxa"/>
            <w:vAlign w:val="bottom"/>
          </w:tcPr>
          <w:p>
            <w:pPr>
              <w:spacing w:after="0"/>
              <w:rPr>
                <w:sz w:val="20"/>
                <w:szCs w:val="20"/>
                <w:color w:val="auto"/>
              </w:rPr>
            </w:pPr>
          </w:p>
        </w:tc>
        <w:tc>
          <w:tcPr>
            <w:tcW w:w="3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489,317</w:t>
            </w:r>
          </w:p>
        </w:tc>
        <w:tc>
          <w:tcPr>
            <w:tcW w:w="100" w:type="dxa"/>
            <w:vAlign w:val="bottom"/>
          </w:tcPr>
          <w:p>
            <w:pPr>
              <w:spacing w:after="0"/>
              <w:rPr>
                <w:sz w:val="20"/>
                <w:szCs w:val="20"/>
                <w:color w:val="auto"/>
              </w:rPr>
            </w:pPr>
          </w:p>
        </w:tc>
        <w:tc>
          <w:tcPr>
            <w:tcW w:w="3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495,645</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(6,328)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products</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600"/>
              <w:spacing w:after="0"/>
              <w:rPr>
                <w:sz w:val="20"/>
                <w:szCs w:val="20"/>
                <w:color w:val="auto"/>
              </w:rPr>
            </w:pPr>
            <w:r>
              <w:rPr>
                <w:rFonts w:ascii="Arial" w:cs="Arial" w:eastAsia="Arial" w:hAnsi="Arial"/>
                <w:sz w:val="18"/>
                <w:szCs w:val="18"/>
                <w:color w:val="auto"/>
              </w:rPr>
              <w:t>Asia Pacific</w:t>
            </w:r>
          </w:p>
        </w:tc>
        <w:tc>
          <w:tcPr>
            <w:tcW w:w="34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28,420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(28,420)</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7"/>
        </w:trPr>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contract sales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489,317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524,065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(7%)</w:t>
            </w: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changes in contract sales are described within the discussions of our segment results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9, 2016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169,831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159,757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10,074</w:t>
            </w:r>
          </w:p>
        </w:tc>
        <w:tc>
          <w:tcPr>
            <w:tcW w:w="1480" w:type="dxa"/>
            <w:vAlign w:val="bottom"/>
            <w:tcBorders>
              <w:bottom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Reportability</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(18,994)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(11,051)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600"/>
              <w:spacing w:after="0"/>
              <w:rPr>
                <w:sz w:val="20"/>
                <w:szCs w:val="20"/>
                <w:color w:val="auto"/>
              </w:rPr>
            </w:pPr>
            <w:r>
              <w:rPr>
                <w:rFonts w:ascii="Arial" w:cs="Arial" w:eastAsia="Arial" w:hAnsi="Arial"/>
                <w:sz w:val="18"/>
                <w:szCs w:val="18"/>
                <w:color w:val="auto"/>
              </w:rPr>
              <w:t>Sales reserve</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(13,872)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(6,272)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(5,953)</w:t>
            </w:r>
          </w:p>
        </w:tc>
        <w:tc>
          <w:tcPr>
            <w:tcW w:w="100" w:type="dxa"/>
            <w:vAlign w:val="bottom"/>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131,012</w:t>
            </w:r>
          </w:p>
        </w:tc>
        <w:tc>
          <w:tcPr>
            <w:tcW w:w="100" w:type="dxa"/>
            <w:vAlign w:val="bottom"/>
          </w:tcPr>
          <w:p>
            <w:pPr>
              <w:spacing w:after="0"/>
              <w:rPr>
                <w:sz w:val="22"/>
                <w:szCs w:val="22"/>
                <w:color w:val="auto"/>
              </w:rPr>
            </w:pPr>
          </w:p>
        </w:tc>
        <w:tc>
          <w:tcPr>
            <w:tcW w:w="660" w:type="dxa"/>
            <w:vAlign w:val="bottom"/>
            <w:tcBorders>
              <w:bottom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136,802</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(5,790)</w:t>
            </w:r>
          </w:p>
        </w:tc>
        <w:tc>
          <w:tcPr>
            <w:tcW w:w="1480" w:type="dxa"/>
            <w:vAlign w:val="bottom"/>
            <w:gridSpan w:val="2"/>
          </w:tcPr>
          <w:p>
            <w:pPr>
              <w:jc w:val="right"/>
              <w:ind w:right="428"/>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8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203" w:lineRule="exact"/>
        <w:rPr>
          <w:sz w:val="20"/>
          <w:szCs w:val="20"/>
          <w:color w:val="auto"/>
        </w:rPr>
      </w:pPr>
    </w:p>
    <w:p>
      <w:pPr>
        <w:ind w:right="40" w:firstLine="878"/>
        <w:spacing w:after="0" w:line="255" w:lineRule="auto"/>
        <w:rPr>
          <w:sz w:val="20"/>
          <w:szCs w:val="20"/>
          <w:color w:val="auto"/>
        </w:rPr>
      </w:pPr>
      <w:r>
        <w:rPr>
          <w:rFonts w:ascii="Arial" w:cs="Arial" w:eastAsia="Arial" w:hAnsi="Arial"/>
          <w:sz w:val="18"/>
          <w:szCs w:val="18"/>
          <w:color w:val="auto"/>
        </w:rPr>
        <w:t>Revenue reportability had a $19.0 million negative impact in the current period, compared to an $11.1 million negative impact in the prior year comparable period. The unfavorable impact compared to the prior year comparable period was due to an increase in the amount of sales that remained in the rescission period as of the end of the current period as compared to the prior year comparable period as a result of the higher contract sales near the end of the current period, fewer sales meeting the down payment requirement for revenue reportability in the current period as a result of sales incentives in our North America segment and a 10.1 percentage point increase in company-wide financing propensity in the current period compared to the prior year comparable period.</w:t>
      </w:r>
    </w:p>
    <w:p>
      <w:pPr>
        <w:spacing w:after="0" w:line="193" w:lineRule="exact"/>
        <w:rPr>
          <w:sz w:val="20"/>
          <w:szCs w:val="20"/>
          <w:color w:val="auto"/>
        </w:rPr>
      </w:pPr>
    </w:p>
    <w:p>
      <w:pPr>
        <w:ind w:right="200" w:firstLine="878"/>
        <w:spacing w:after="0" w:line="277" w:lineRule="auto"/>
        <w:rPr>
          <w:sz w:val="20"/>
          <w:szCs w:val="20"/>
          <w:color w:val="auto"/>
        </w:rPr>
      </w:pPr>
      <w:r>
        <w:rPr>
          <w:rFonts w:ascii="Arial" w:cs="Arial" w:eastAsia="Arial" w:hAnsi="Arial"/>
          <w:sz w:val="18"/>
          <w:szCs w:val="18"/>
          <w:color w:val="auto"/>
        </w:rPr>
        <w:t>The higher sales reserve reflected the increases in financing propensity (approximately half of the increase) and Latin American default activity (approximately half of the increase) in our North America segment.</w:t>
      </w:r>
    </w:p>
    <w:p>
      <w:pPr>
        <w:spacing w:after="0" w:line="170" w:lineRule="exact"/>
        <w:rPr>
          <w:sz w:val="20"/>
          <w:szCs w:val="20"/>
          <w:color w:val="auto"/>
        </w:rPr>
      </w:pPr>
    </w:p>
    <w:p>
      <w:pPr>
        <w:ind w:right="220" w:firstLine="878"/>
        <w:spacing w:after="0" w:line="264" w:lineRule="auto"/>
        <w:rPr>
          <w:sz w:val="20"/>
          <w:szCs w:val="20"/>
          <w:color w:val="auto"/>
        </w:rPr>
      </w:pPr>
      <w:r>
        <w:rPr>
          <w:rFonts w:ascii="Arial" w:cs="Arial" w:eastAsia="Arial" w:hAnsi="Arial"/>
          <w:sz w:val="18"/>
          <w:szCs w:val="18"/>
          <w:color w:val="auto"/>
        </w:rPr>
        <w:t>The increase in other adjustments was primarily driven by an increase in the utilization of plus points as a sales incentive in our North America segment compared to the prior year comparable period. These revenues are deferred and recognized as rental revenue when those points are redeemed or expire.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9, 2016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489,317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524,065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(34,748)</w:t>
            </w:r>
          </w:p>
        </w:tc>
        <w:tc>
          <w:tcPr>
            <w:tcW w:w="148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Reportability</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(5,905)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600"/>
              <w:spacing w:after="0"/>
              <w:rPr>
                <w:sz w:val="20"/>
                <w:szCs w:val="20"/>
                <w:color w:val="auto"/>
              </w:rPr>
            </w:pPr>
            <w:r>
              <w:rPr>
                <w:rFonts w:ascii="Arial" w:cs="Arial" w:eastAsia="Arial" w:hAnsi="Arial"/>
                <w:sz w:val="18"/>
                <w:szCs w:val="18"/>
                <w:color w:val="auto"/>
              </w:rPr>
              <w:t>Sales reserve</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(33,447)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(23,146)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(10,301)</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3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(23,010)</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82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36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415,831</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476,078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(60,247)</w:t>
            </w:r>
          </w:p>
        </w:tc>
        <w:tc>
          <w:tcPr>
            <w:tcW w:w="1480" w:type="dxa"/>
            <w:vAlign w:val="bottom"/>
            <w:gridSpan w:val="2"/>
          </w:tcPr>
          <w:p>
            <w:pPr>
              <w:jc w:val="right"/>
              <w:ind w:right="388"/>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82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203" w:lineRule="exact"/>
        <w:rPr>
          <w:sz w:val="20"/>
          <w:szCs w:val="20"/>
          <w:color w:val="auto"/>
        </w:rPr>
      </w:pPr>
    </w:p>
    <w:p>
      <w:pPr>
        <w:jc w:val="both"/>
        <w:ind w:right="140" w:firstLine="878"/>
        <w:spacing w:after="0" w:line="264" w:lineRule="auto"/>
        <w:rPr>
          <w:sz w:val="20"/>
          <w:szCs w:val="20"/>
          <w:color w:val="auto"/>
        </w:rPr>
      </w:pPr>
      <w:r>
        <w:rPr>
          <w:rFonts w:ascii="Arial" w:cs="Arial" w:eastAsia="Arial" w:hAnsi="Arial"/>
          <w:sz w:val="18"/>
          <w:szCs w:val="18"/>
          <w:color w:val="auto"/>
        </w:rPr>
        <w:t>Revenue reportability had a $17.0 million negative impact in the current period, compared to an $11.1 million negative impact in the prior year comparable period. The unfavorable impact compared to the prior year comparable period was due to an increase in the amount of sales that remained in the rescission period as of the end of the current period as compared to the prior year comparable period.</w:t>
      </w:r>
    </w:p>
    <w:p>
      <w:pPr>
        <w:spacing w:after="0" w:line="181" w:lineRule="exact"/>
        <w:rPr>
          <w:sz w:val="20"/>
          <w:szCs w:val="20"/>
          <w:color w:val="auto"/>
        </w:rPr>
      </w:pPr>
    </w:p>
    <w:p>
      <w:pPr>
        <w:ind w:right="80" w:firstLine="878"/>
        <w:spacing w:after="0" w:line="264" w:lineRule="auto"/>
        <w:rPr>
          <w:sz w:val="20"/>
          <w:szCs w:val="20"/>
          <w:color w:val="auto"/>
        </w:rPr>
      </w:pPr>
      <w:r>
        <w:rPr>
          <w:rFonts w:ascii="Arial" w:cs="Arial" w:eastAsia="Arial" w:hAnsi="Arial"/>
          <w:sz w:val="18"/>
          <w:szCs w:val="18"/>
          <w:color w:val="auto"/>
        </w:rPr>
        <w:t>The higher sales reserve reflected an increase in our North America segment due to the increases in financing propensity and Latin American default activity and higher reserves required in our Asia Pacific segment due to an unfavorable adjustment to correct an immaterial error in the current period with respect to historical static pool data.</w:t>
      </w:r>
    </w:p>
    <w:p>
      <w:pPr>
        <w:spacing w:after="0" w:line="181" w:lineRule="exact"/>
        <w:rPr>
          <w:sz w:val="20"/>
          <w:szCs w:val="20"/>
          <w:color w:val="auto"/>
        </w:rPr>
      </w:pPr>
    </w:p>
    <w:p>
      <w:pPr>
        <w:ind w:right="220" w:firstLine="878"/>
        <w:spacing w:after="0" w:line="264" w:lineRule="auto"/>
        <w:rPr>
          <w:sz w:val="20"/>
          <w:szCs w:val="20"/>
          <w:color w:val="auto"/>
        </w:rPr>
      </w:pPr>
      <w:r>
        <w:rPr>
          <w:rFonts w:ascii="Arial" w:cs="Arial" w:eastAsia="Arial" w:hAnsi="Arial"/>
          <w:sz w:val="18"/>
          <w:szCs w:val="18"/>
          <w:color w:val="auto"/>
        </w:rPr>
        <w:t>The increase in other adjustments was primarily driven by an increase in the utilization of plus points as a sales incentive in our North America segment compared to the prior year comparable period. These revenues are deferred and recognized as rental revenue when those points are redeemed or expire.</w:t>
      </w:r>
    </w:p>
    <w:p>
      <w:pPr>
        <w:sectPr>
          <w:pgSz w:w="11900" w:h="16838" w:orient="portrait"/>
          <w:cols w:equalWidth="0" w:num="1">
            <w:col w:w="11420"/>
          </w:cols>
          <w:pgMar w:left="240" w:top="125"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Sale of vacation ownership products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vacation ownership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Marketing and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margin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margin percentage</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9, 2016</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11, 2015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43"/>
        </w:trPr>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131,012</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136,802</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(5,790)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r>
      <w:tr>
        <w:trPr>
          <w:trHeight w:val="270"/>
        </w:trPr>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(34,779)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(40,776)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5,997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15%</w:t>
            </w:r>
          </w:p>
        </w:tc>
      </w:tr>
      <w:tr>
        <w:trPr>
          <w:trHeight w:val="270"/>
        </w:trPr>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(79,017)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(71,628)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(7,389)</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(10%)</w:t>
            </w:r>
          </w:p>
        </w:tc>
      </w:tr>
      <w:tr>
        <w:trPr>
          <w:trHeight w:val="27"/>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17,216</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24,398</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280" w:type="dxa"/>
            <w:vAlign w:val="bottom"/>
          </w:tcPr>
          <w:p>
            <w:pPr>
              <w:spacing w:after="0"/>
              <w:rPr>
                <w:sz w:val="20"/>
                <w:szCs w:val="20"/>
                <w:color w:val="auto"/>
              </w:rPr>
            </w:pPr>
          </w:p>
        </w:tc>
        <w:tc>
          <w:tcPr>
            <w:tcW w:w="1020" w:type="dxa"/>
            <w:vAlign w:val="bottom"/>
          </w:tcPr>
          <w:p>
            <w:pPr>
              <w:jc w:val="right"/>
              <w:ind w:right="333"/>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(4.7 pts)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-882650</wp:posOffset>
            </wp:positionV>
            <wp:extent cx="724662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-530860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-170815</wp:posOffset>
            </wp:positionV>
            <wp:extent cx="7246620"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5280" w:space="540"/>
            <w:col w:w="5600"/>
          </w:cols>
          <w:pgMar w:left="240" w:top="125" w:right="239" w:bottom="1440" w:gutter="0" w:footer="0" w:header="0"/>
          <w:type w:val="continuous"/>
        </w:sectPr>
      </w:pPr>
    </w:p>
    <w:p>
      <w:pPr>
        <w:ind w:left="1460" w:hanging="318"/>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$5.4 million of lower revenue reportability compared to the prior year comparable period;</w:t>
      </w:r>
    </w:p>
    <w:p>
      <w:pPr>
        <w:spacing w:after="0" w:line="117" w:lineRule="exact"/>
        <w:rPr>
          <w:rFonts w:ascii="Arial" w:cs="Arial" w:eastAsia="Arial" w:hAnsi="Arial"/>
          <w:sz w:val="18"/>
          <w:szCs w:val="18"/>
          <w:color w:val="auto"/>
        </w:rPr>
      </w:pPr>
    </w:p>
    <w:p>
      <w:pPr>
        <w:ind w:left="1460" w:right="180" w:hanging="318"/>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$4.0 million of higher sales reserve activity in the current period due to the increase in financing propensity and Latin American default activity in our North America segment;</w:t>
      </w:r>
    </w:p>
    <w:p>
      <w:pPr>
        <w:spacing w:after="0" w:line="62" w:lineRule="exact"/>
        <w:rPr>
          <w:rFonts w:ascii="Arial" w:cs="Arial" w:eastAsia="Arial" w:hAnsi="Arial"/>
          <w:sz w:val="18"/>
          <w:szCs w:val="18"/>
          <w:color w:val="auto"/>
        </w:rPr>
      </w:pPr>
    </w:p>
    <w:p>
      <w:pPr>
        <w:ind w:left="1460" w:right="440" w:hanging="318"/>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$3.4 million of pre-opening and startup expenses in the current period to support new sales locations in our North America and Asia Pacific segments; and</w:t>
      </w:r>
    </w:p>
    <w:p>
      <w:pPr>
        <w:spacing w:after="0" w:line="62" w:lineRule="exact"/>
        <w:rPr>
          <w:rFonts w:ascii="Arial" w:cs="Arial" w:eastAsia="Arial" w:hAnsi="Arial"/>
          <w:sz w:val="18"/>
          <w:szCs w:val="18"/>
          <w:color w:val="auto"/>
        </w:rPr>
      </w:pPr>
    </w:p>
    <w:p>
      <w:pPr>
        <w:ind w:left="1460" w:right="520" w:hanging="318"/>
        <w:spacing w:after="0" w:line="308" w:lineRule="auto"/>
        <w:tabs>
          <w:tab w:leader="none" w:pos="1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$1.3 million of additional deferred revenue in the current period due to higher usage of plus points as a sales incentive in our North America segment; this revenue will be recognized as rental revenue when the plus points are redeemed or expire.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These decreases were partially offset by the following:</w:t>
      </w:r>
    </w:p>
    <w:p>
      <w:pPr>
        <w:spacing w:after="0" w:line="117" w:lineRule="exact"/>
        <w:rPr>
          <w:sz w:val="20"/>
          <w:szCs w:val="20"/>
          <w:color w:val="auto"/>
        </w:rPr>
      </w:pPr>
    </w:p>
    <w:p>
      <w:pPr>
        <w:ind w:left="1460" w:hanging="318"/>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$4.1 million from a favorable mix of lower cost real estate inventory being sold;</w:t>
      </w:r>
    </w:p>
    <w:p>
      <w:pPr>
        <w:spacing w:after="0" w:line="117" w:lineRule="exact"/>
        <w:rPr>
          <w:rFonts w:ascii="Arial" w:cs="Arial" w:eastAsia="Arial" w:hAnsi="Arial"/>
          <w:sz w:val="18"/>
          <w:szCs w:val="18"/>
          <w:color w:val="auto"/>
        </w:rPr>
      </w:pPr>
    </w:p>
    <w:p>
      <w:pPr>
        <w:ind w:left="1460" w:right="280" w:hanging="318"/>
        <w:spacing w:after="0" w:line="277"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$1.8 million of higher vacation ownership contract sales volume net of lower direct variable expenses (i.e., cost of vacation ownership products and marketing and sales); and</w:t>
      </w:r>
    </w:p>
    <w:p>
      <w:pPr>
        <w:spacing w:after="0" w:line="62" w:lineRule="exact"/>
        <w:rPr>
          <w:rFonts w:ascii="Arial" w:cs="Arial" w:eastAsia="Arial" w:hAnsi="Arial"/>
          <w:sz w:val="18"/>
          <w:szCs w:val="18"/>
          <w:color w:val="auto"/>
        </w:rPr>
      </w:pPr>
    </w:p>
    <w:p>
      <w:pPr>
        <w:ind w:left="1460" w:right="460" w:hanging="318"/>
        <w:spacing w:after="0" w:line="277"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$1.0 million of higher favorable product cost true-ups ($1.4 million in the twelve weeks ended September 9, 2016 compared to $0.4 million in the prior year comparable period).</w:t>
      </w:r>
    </w:p>
    <w:p>
      <w:pPr>
        <w:spacing w:after="0" w:line="170" w:lineRule="exact"/>
        <w:rPr>
          <w:sz w:val="20"/>
          <w:szCs w:val="20"/>
          <w:color w:val="auto"/>
        </w:rPr>
      </w:pPr>
    </w:p>
    <w:p>
      <w:pPr>
        <w:ind w:right="80" w:firstLine="878"/>
        <w:spacing w:after="0" w:line="276" w:lineRule="auto"/>
        <w:rPr>
          <w:sz w:val="20"/>
          <w:szCs w:val="20"/>
          <w:color w:val="auto"/>
        </w:rPr>
      </w:pPr>
      <w:r>
        <w:rPr>
          <w:rFonts w:ascii="Arial" w:cs="Arial" w:eastAsia="Arial" w:hAnsi="Arial"/>
          <w:sz w:val="17"/>
          <w:szCs w:val="17"/>
          <w:color w:val="auto"/>
        </w:rPr>
        <w:t>The 4.7 percentage point decrease in the development margin percentage reflected a 3.2 percentage point decline due to the unfavorable revenue reportability year-over-year, a 2.5 percentage point decline due to the pre-opening and startup expenses, a 2.2 percentage point decline due to the higher sales reserve activity, and a 0.6 percentage point decline due to the higher usage of plus points as a sales incentive. These decreases were partially offset by a 3.0 percentage point increase due to a favorable mix of lower cost vacation ownership real estate inventory being sold in the twelve weeks ended September 9, 2016, and a 0.8 percentage point increase due to the higher favorable product cost true-up activity year-over-year.</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Sale of vacation ownership products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vacation ownership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Marketing and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margin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margin percentage</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9, 2016</w:t>
            </w:r>
          </w:p>
        </w:tc>
        <w:tc>
          <w:tcPr>
            <w:tcW w:w="100" w:type="dxa"/>
            <w:vAlign w:val="bottom"/>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11, 2015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43"/>
        </w:trPr>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415,831</w:t>
            </w:r>
          </w:p>
        </w:tc>
        <w:tc>
          <w:tcPr>
            <w:tcW w:w="100" w:type="dxa"/>
            <w:vAlign w:val="bottom"/>
          </w:tcPr>
          <w:p>
            <w:pPr>
              <w:spacing w:after="0"/>
              <w:rPr>
                <w:sz w:val="21"/>
                <w:szCs w:val="21"/>
                <w:color w:val="auto"/>
              </w:rPr>
            </w:pPr>
          </w:p>
        </w:tc>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476,078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(60,247)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(13%)</w:t>
            </w:r>
          </w:p>
        </w:tc>
      </w:tr>
      <w:tr>
        <w:trPr>
          <w:trHeight w:val="270"/>
        </w:trPr>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(104,149)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(150,857)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46,708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31%</w:t>
            </w:r>
          </w:p>
        </w:tc>
      </w:tr>
      <w:tr>
        <w:trPr>
          <w:trHeight w:val="270"/>
        </w:trPr>
        <w:tc>
          <w:tcPr>
            <w:tcW w:w="2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(236,348)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(228,760)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(7,588)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w:t>
            </w:r>
          </w:p>
        </w:tc>
      </w:tr>
      <w:tr>
        <w:trPr>
          <w:trHeight w:val="27"/>
        </w:trPr>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75,334</w:t>
            </w:r>
          </w:p>
        </w:tc>
        <w:tc>
          <w:tcPr>
            <w:tcW w:w="100" w:type="dxa"/>
            <w:vAlign w:val="bottom"/>
          </w:tcPr>
          <w:p>
            <w:pPr>
              <w:spacing w:after="0"/>
              <w:rPr>
                <w:sz w:val="22"/>
                <w:szCs w:val="22"/>
                <w:color w:val="auto"/>
              </w:rPr>
            </w:pPr>
          </w:p>
        </w:tc>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96,461</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(22%)</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280" w:type="dxa"/>
            <w:vAlign w:val="bottom"/>
          </w:tcPr>
          <w:p>
            <w:pPr>
              <w:spacing w:after="0"/>
              <w:rPr>
                <w:sz w:val="20"/>
                <w:szCs w:val="20"/>
                <w:color w:val="auto"/>
              </w:rPr>
            </w:pPr>
          </w:p>
        </w:tc>
        <w:tc>
          <w:tcPr>
            <w:tcW w:w="1020" w:type="dxa"/>
            <w:vAlign w:val="bottom"/>
          </w:tcPr>
          <w:p>
            <w:pPr>
              <w:jc w:val="right"/>
              <w:ind w:right="333"/>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(2.2 pts)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-882650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-530860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-170815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5280" w:space="540"/>
            <w:col w:w="5600"/>
          </w:cols>
          <w:pgMar w:left="240" w:top="125" w:right="239" w:bottom="1440" w:gutter="0" w:footer="0" w:header="0"/>
          <w:type w:val="continuous"/>
        </w:sectPr>
      </w:pPr>
    </w:p>
    <w:p>
      <w:pPr>
        <w:ind w:left="1460" w:right="180" w:hanging="318"/>
        <w:spacing w:after="0" w:line="264"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$7.2 million of higher sales reserve activity in the current period due to the increase in financing propensity and Latin American default activity in our North America segment and higher reserves required in our Asia Pacific segment due to an unfavorable adjustment to correct an immaterial error in the current period with respect to historical static pool data;</w:t>
      </w:r>
    </w:p>
    <w:p>
      <w:pPr>
        <w:spacing w:after="0" w:line="73" w:lineRule="exact"/>
        <w:rPr>
          <w:rFonts w:ascii="Arial" w:cs="Arial" w:eastAsia="Arial" w:hAnsi="Arial"/>
          <w:sz w:val="18"/>
          <w:szCs w:val="18"/>
          <w:color w:val="auto"/>
        </w:rPr>
      </w:pPr>
    </w:p>
    <w:p>
      <w:pPr>
        <w:ind w:left="1460" w:right="520" w:hanging="318"/>
        <w:spacing w:after="0" w:line="308" w:lineRule="auto"/>
        <w:tabs>
          <w:tab w:leader="none" w:pos="1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$6.9 million of additional deferred revenue in the current period due to higher usage of plus points as a sales incentive in our North America segment; this revenue will be recognized as rental revenue when the plus points are redeemed or expire;</w:t>
      </w:r>
    </w:p>
    <w:p>
      <w:pPr>
        <w:spacing w:after="0" w:line="38" w:lineRule="exact"/>
        <w:rPr>
          <w:rFonts w:ascii="Arial" w:cs="Arial" w:eastAsia="Arial" w:hAnsi="Arial"/>
          <w:sz w:val="17"/>
          <w:szCs w:val="17"/>
          <w:color w:val="auto"/>
        </w:rPr>
      </w:pPr>
    </w:p>
    <w:p>
      <w:pPr>
        <w:ind w:left="1460" w:right="240" w:hanging="318"/>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$6.7 million of pre-opening and startup expenses in the current period in support of new sales locations in our North America and Asia Pacific segments;</w:t>
      </w:r>
    </w:p>
    <w:p>
      <w:pPr>
        <w:spacing w:after="0" w:line="62" w:lineRule="exact"/>
        <w:rPr>
          <w:rFonts w:ascii="Arial" w:cs="Arial" w:eastAsia="Arial" w:hAnsi="Arial"/>
          <w:sz w:val="18"/>
          <w:szCs w:val="18"/>
          <w:color w:val="auto"/>
        </w:rPr>
      </w:pPr>
    </w:p>
    <w:p>
      <w:pPr>
        <w:ind w:left="1460" w:right="20" w:hanging="318"/>
        <w:spacing w:after="0" w:line="308" w:lineRule="auto"/>
        <w:tabs>
          <w:tab w:leader="none" w:pos="1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$5.9 million of lower residential contract sales (there were no residential sales in the thirty-six weeks ended September 9, 2016, compared to $5.9 million from the sale of residential inventory in our Asia Pacific segment in the prior year comparable period);</w:t>
      </w:r>
    </w:p>
    <w:p>
      <w:pPr>
        <w:spacing w:after="0" w:line="38" w:lineRule="exact"/>
        <w:rPr>
          <w:rFonts w:ascii="Arial" w:cs="Arial" w:eastAsia="Arial" w:hAnsi="Arial"/>
          <w:sz w:val="17"/>
          <w:szCs w:val="17"/>
          <w:color w:val="auto"/>
        </w:rPr>
      </w:pPr>
    </w:p>
    <w:p>
      <w:pPr>
        <w:ind w:left="1460" w:right="120" w:hanging="318"/>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$4.9 million of lower vacation ownership contract sales volume net of direct variable expenses (i.e., cost of vacation ownership products and marketing and sales);</w:t>
      </w:r>
    </w:p>
    <w:p>
      <w:pPr>
        <w:spacing w:after="0" w:line="62" w:lineRule="exact"/>
        <w:rPr>
          <w:rFonts w:ascii="Arial" w:cs="Arial" w:eastAsia="Arial" w:hAnsi="Arial"/>
          <w:sz w:val="18"/>
          <w:szCs w:val="18"/>
          <w:color w:val="auto"/>
        </w:rPr>
      </w:pPr>
    </w:p>
    <w:p>
      <w:pPr>
        <w:ind w:left="1460" w:hanging="318"/>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$4.1 million of lower revenue reportability compared to the prior year comparable period;</w:t>
      </w:r>
    </w:p>
    <w:p>
      <w:pPr>
        <w:spacing w:after="0" w:line="117" w:lineRule="exact"/>
        <w:rPr>
          <w:rFonts w:ascii="Arial" w:cs="Arial" w:eastAsia="Arial" w:hAnsi="Arial"/>
          <w:sz w:val="18"/>
          <w:szCs w:val="18"/>
          <w:color w:val="auto"/>
        </w:rPr>
      </w:pPr>
    </w:p>
    <w:p>
      <w:pPr>
        <w:ind w:left="1460" w:right="740" w:hanging="318"/>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$1.8 million of higher marketing and sales costs in the current period due to investment in new programs to help generate future incremental tour volumes; and</w:t>
      </w:r>
    </w:p>
    <w:p>
      <w:pPr>
        <w:spacing w:after="0" w:line="62" w:lineRule="exact"/>
        <w:rPr>
          <w:rFonts w:ascii="Arial" w:cs="Arial" w:eastAsia="Arial" w:hAnsi="Arial"/>
          <w:sz w:val="18"/>
          <w:szCs w:val="18"/>
          <w:color w:val="auto"/>
        </w:rPr>
      </w:pPr>
    </w:p>
    <w:p>
      <w:pPr>
        <w:ind w:left="1460" w:hanging="318"/>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$0.6 million of higher development expenses in the current period due to fewer costs being capitalized in the current period.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These decreases were partially offset by the following:</w:t>
      </w:r>
    </w:p>
    <w:p>
      <w:pPr>
        <w:spacing w:after="0" w:line="117" w:lineRule="exact"/>
        <w:rPr>
          <w:sz w:val="20"/>
          <w:szCs w:val="20"/>
          <w:color w:val="auto"/>
        </w:rPr>
      </w:pPr>
    </w:p>
    <w:p>
      <w:pPr>
        <w:ind w:left="1460" w:right="20" w:hanging="318"/>
        <w:spacing w:after="0" w:line="259" w:lineRule="auto"/>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$8.5 million of higher favorable product cost true-ups ($12.1 million in the thirty-six weeks ended September 9, 2016 compared to $3.6 million in the prior year comparable period) of which $5.9 million was attributed to projected increases in development revenue primarily from a reduction in our estimate of future sales incentives and $2.6 million resulted from lower development spending for completion of common elements at multiple projects; and</w:t>
      </w:r>
    </w:p>
    <w:p>
      <w:pPr>
        <w:spacing w:after="0" w:line="78" w:lineRule="exact"/>
        <w:rPr>
          <w:rFonts w:ascii="Arial" w:cs="Arial" w:eastAsia="Arial" w:hAnsi="Arial"/>
          <w:sz w:val="18"/>
          <w:szCs w:val="18"/>
          <w:color w:val="auto"/>
        </w:rPr>
      </w:pPr>
    </w:p>
    <w:p>
      <w:pPr>
        <w:ind w:left="1460" w:hanging="318"/>
        <w:spacing w:after="0"/>
        <w:tabs>
          <w:tab w:leader="none" w:pos="1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$8.5 million from a favorable mix of lower cost real estate inventory being sold.</w:t>
      </w:r>
    </w:p>
    <w:p>
      <w:pPr>
        <w:spacing w:after="0" w:line="225" w:lineRule="exact"/>
        <w:rPr>
          <w:sz w:val="20"/>
          <w:szCs w:val="20"/>
          <w:color w:val="auto"/>
        </w:rPr>
      </w:pPr>
    </w:p>
    <w:p>
      <w:pPr>
        <w:ind w:left="60" w:right="180" w:firstLine="878"/>
        <w:spacing w:after="0" w:line="255" w:lineRule="auto"/>
        <w:rPr>
          <w:sz w:val="20"/>
          <w:szCs w:val="20"/>
          <w:color w:val="auto"/>
        </w:rPr>
      </w:pPr>
      <w:r>
        <w:rPr>
          <w:rFonts w:ascii="Arial" w:cs="Arial" w:eastAsia="Arial" w:hAnsi="Arial"/>
          <w:sz w:val="18"/>
          <w:szCs w:val="18"/>
          <w:color w:val="auto"/>
        </w:rPr>
        <w:t>The 2.2 percentage point decrease in the development margin percentage reflected a 1.9 percentage point decline due to higher marketing and sales spending (including a 1.5 percentage point impact from the pre-opening and startup expenses), a 1.2 percentage point decline due to the higher sales reserve activity, a 1.1 percentage point decline due to the higher usage of plus points as a sales incentive, a 0.9 percentage point decrease due to the unfavorable revenue reportability year-over-year and a 0.9 percentage point decline due to an inability to leverage fixed marketing and sales costs on lower vacation ownership contract sales. These declines were partially offset by a 1.9 percentage point increase due to the higher favorable product cost true-up activity year-over-year and a 1.9 percentage point increase due to a favorable mix of lower cost vacation ownership real estate inventory being sold in the thirty-six weeks ended September 9,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9, 2016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19,460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 services revenues</w:t>
            </w:r>
          </w:p>
        </w:tc>
        <w:tc>
          <w:tcPr>
            <w:tcW w:w="28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56,079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55,848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75,539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1,711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(45,437)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(47,409)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1,972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30,102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26,419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3,683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0"/>
              <w:spacing w:after="0"/>
              <w:rPr>
                <w:sz w:val="20"/>
                <w:szCs w:val="20"/>
                <w:color w:val="auto"/>
              </w:rPr>
            </w:pPr>
            <w:r>
              <w:rPr>
                <w:rFonts w:ascii="Arial" w:cs="Arial" w:eastAsia="Arial" w:hAnsi="Arial"/>
                <w:sz w:val="18"/>
                <w:szCs w:val="18"/>
                <w:color w:val="auto"/>
              </w:rPr>
              <w:t>Resort management and other services margin percentage</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33"/>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35.8%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4.0 pts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80" w:firstLine="878"/>
        <w:spacing w:after="0" w:line="271" w:lineRule="auto"/>
        <w:rPr>
          <w:sz w:val="20"/>
          <w:szCs w:val="20"/>
          <w:color w:val="auto"/>
        </w:rPr>
      </w:pPr>
      <w:r>
        <w:rPr>
          <w:rFonts w:ascii="Arial" w:cs="Arial" w:eastAsia="Arial" w:hAnsi="Arial"/>
          <w:sz w:val="17"/>
          <w:szCs w:val="17"/>
          <w:color w:val="auto"/>
        </w:rPr>
        <w:t>The increase in resort management and other services revenues reflected $1.5 million of higher management fees, $1.4 million of additional annual club dues and other revenues earned in connection with the MVCD program due to the cumulative increase in owners enrolled in the program as well as an increase in the dues charged for each owner recognition level, and $0.3 million of higher customer service fees. These increases were partially offset by $1.3 million of lower ancillary revenues and $0.2 million of lower resales commissions and other revenues. The decrease in ancillary revenues reflected $1.3 million of revenues in the prior year comparable period from the operating property in Australia that was disposed of in the second quarter of 2016, $0.5 million of lower revenues due to outsourcing the operation of one restaurant in our North America segment and a $0.2 million decrease in ancillary revenues from food and beverage and golf offerings at our other resorts, partially offset by $0.7 million of ancillary revenues in the current period at the property in New York that we did not operate in the prior year comparable period.</w:t>
      </w:r>
    </w:p>
    <w:p>
      <w:pPr>
        <w:spacing w:after="0" w:line="179" w:lineRule="exact"/>
        <w:rPr>
          <w:sz w:val="20"/>
          <w:szCs w:val="20"/>
          <w:color w:val="auto"/>
        </w:rPr>
      </w:pPr>
    </w:p>
    <w:p>
      <w:pPr>
        <w:ind w:right="60" w:firstLine="878"/>
        <w:spacing w:after="0" w:line="255"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and $2.0 million of lower expenses. The lower expenses reflected $1.2 million of prior year comparable period expenses from the operation of the ancillary businesses at the operating property in Australia, $0.7 million of lower other miscellaneous expenses in the current period, $0.6 million of lower ancillary expenses from food and beverage and golf offerings at our resorts and $0.3 million of lower expenses due to outsourcing the operation of one restaurant in our North America segment, partially offset by $0.8 million of current period expenses from the operation of the ancillary businesses at the property in New York. The ancillary revenue producing portions of the operating property in Australia were included in the sale of the operating property. Therefore, we do not anticipate future ancillary revenues or expenses at our property in Australia.</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September 9, 2016</w:t>
            </w:r>
          </w:p>
        </w:tc>
        <w:tc>
          <w:tcPr>
            <w:tcW w:w="10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57,311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53,516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3,795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Other services revenues</w:t>
            </w:r>
          </w:p>
        </w:tc>
        <w:tc>
          <w:tcPr>
            <w:tcW w:w="28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168,787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158,792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9,995</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226,098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212,308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13,790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w:t>
            </w:r>
          </w:p>
        </w:tc>
        <w:tc>
          <w:tcPr>
            <w:tcW w:w="0" w:type="dxa"/>
            <w:vAlign w:val="bottom"/>
          </w:tcPr>
          <w:p>
            <w:pPr>
              <w:spacing w:after="0"/>
              <w:rPr>
                <w:sz w:val="1"/>
                <w:szCs w:val="1"/>
                <w:color w:val="auto"/>
              </w:rPr>
            </w:pP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(140,545)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(135,298)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(5,247)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7"/>
        </w:trPr>
        <w:tc>
          <w:tcPr>
            <w:tcW w:w="5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85,553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77,010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8,543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40"/>
              <w:spacing w:after="0"/>
              <w:rPr>
                <w:sz w:val="20"/>
                <w:szCs w:val="20"/>
                <w:color w:val="auto"/>
              </w:rPr>
            </w:pPr>
            <w:r>
              <w:rPr>
                <w:rFonts w:ascii="Arial" w:cs="Arial" w:eastAsia="Arial" w:hAnsi="Arial"/>
                <w:sz w:val="18"/>
                <w:szCs w:val="18"/>
                <w:color w:val="auto"/>
              </w:rPr>
              <w:t>Resort management and other services margin percentage</w:t>
            </w: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82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33"/>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36.3%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1.5 pts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firstLine="878"/>
        <w:spacing w:after="0" w:line="289" w:lineRule="auto"/>
        <w:rPr>
          <w:sz w:val="20"/>
          <w:szCs w:val="20"/>
          <w:color w:val="auto"/>
        </w:rPr>
      </w:pPr>
      <w:r>
        <w:rPr>
          <w:rFonts w:ascii="Arial" w:cs="Arial" w:eastAsia="Arial" w:hAnsi="Arial"/>
          <w:sz w:val="16"/>
          <w:szCs w:val="16"/>
          <w:color w:val="auto"/>
        </w:rPr>
        <w:t>The increase in resort management and other services revenues reflected $6.3 million of higher ancillary revenues, $4.3 million of additional annual club dues and other revenues earned in connection with the MVCD program due to the cumulative increase in owners enrolled in the program as well as an increase in the dues charged for each owner recognition level, $3.8 million of higher management fees (net of $0.1 million negative foreign exchange impact in our Europe segment) and $1.2 million of higher customer service fees. These increases were partially offset by $1.2 million of lower settlement and lien fees due to a decrease in the number of contracts closed and fewer lien fees assessed and $0.6 million of lower brand fees due to fewer closings, in each case, compared to the prior year comparable period. The increase in ancillary revenues included $5.0 million of higher ancillary revenues from the operating property in Australia and $1.9 million of ancillary revenues in the current period at the property in New York that we did not operate in the prior year comparable period, partially offset by $0.5 million of lower revenues due to outsourcing the operation of one restaurant in our North America segment and $0.1 million of lower ancillary revenues from food and beverage and golf offerings at our other resorts.</w:t>
      </w:r>
    </w:p>
    <w:p>
      <w:pPr>
        <w:spacing w:after="0" w:line="167" w:lineRule="exact"/>
        <w:rPr>
          <w:sz w:val="20"/>
          <w:szCs w:val="20"/>
          <w:color w:val="auto"/>
        </w:rPr>
      </w:pPr>
    </w:p>
    <w:p>
      <w:pPr>
        <w:ind w:firstLine="878"/>
        <w:spacing w:after="0" w:line="273" w:lineRule="auto"/>
        <w:rPr>
          <w:sz w:val="20"/>
          <w:szCs w:val="20"/>
          <w:color w:val="auto"/>
        </w:rPr>
      </w:pPr>
      <w:r>
        <w:rPr>
          <w:rFonts w:ascii="Arial" w:cs="Arial" w:eastAsia="Arial" w:hAnsi="Arial"/>
          <w:sz w:val="17"/>
          <w:szCs w:val="17"/>
          <w:color w:val="auto"/>
        </w:rPr>
        <w:t>The improvement in the resort management and other services margin reflected the changes in revenue, partially offset by $5.2 million of higher expenses. The higher expenses included $4.3 million from the operation of the ancillary businesses at the operating property in Australia and $2.3 million of current period expenses from the operation of the ancillary businesses at the property in New York, partially offset by $1.1 million of lower ancillary expenses from food and beverage and golf offerings at our other resorts and $0.3 million of lower expenses due to outsourcing the operation of one restaurant in our North America segment. The ancillary revenue producing portions of the operating property in Australia were included in the sale of the operating property. Therefore, we do not anticipate future ancillary revenues or expenses at our property in Australia.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777</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28,294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3%</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633</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financing 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w:t>
            </w:r>
          </w:p>
        </w:tc>
      </w:tr>
      <w:tr>
        <w:trPr>
          <w:trHeight w:val="29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18,850</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17,517</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1,333</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8%</w:t>
            </w:r>
          </w:p>
        </w:tc>
      </w:tr>
      <w:tr>
        <w:trPr>
          <w:trHeight w:val="230"/>
        </w:trPr>
        <w:tc>
          <w:tcPr>
            <w:tcW w:w="59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Financing propensity</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63.4%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53.3%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7"/>
        </w:trPr>
        <w:tc>
          <w:tcPr>
            <w:tcW w:w="5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878"/>
        <w:spacing w:after="0" w:line="277" w:lineRule="auto"/>
        <w:rPr>
          <w:sz w:val="20"/>
          <w:szCs w:val="20"/>
          <w:color w:val="auto"/>
        </w:rPr>
      </w:pPr>
      <w:r>
        <w:rPr>
          <w:rFonts w:ascii="Arial" w:cs="Arial" w:eastAsia="Arial" w:hAnsi="Arial"/>
          <w:sz w:val="18"/>
          <w:szCs w:val="18"/>
          <w:color w:val="auto"/>
        </w:rPr>
        <w:t>The increase in financing revenues was due to a $28.4 million increase in the average gross vacation ownership notes receivable balance, partially offset by a slight decrease in the weighted average coupon rate of our vacation ownership notes receivable.</w:t>
      </w:r>
    </w:p>
    <w:p>
      <w:pPr>
        <w:spacing w:after="0" w:line="170" w:lineRule="exact"/>
        <w:rPr>
          <w:sz w:val="20"/>
          <w:szCs w:val="20"/>
          <w:color w:val="auto"/>
        </w:rPr>
      </w:pPr>
    </w:p>
    <w:p>
      <w:pPr>
        <w:ind w:right="280" w:firstLine="878"/>
        <w:spacing w:after="0" w:line="264" w:lineRule="auto"/>
        <w:rPr>
          <w:sz w:val="20"/>
          <w:szCs w:val="20"/>
          <w:color w:val="auto"/>
        </w:rPr>
      </w:pPr>
      <w:r>
        <w:rPr>
          <w:rFonts w:ascii="Arial" w:cs="Arial" w:eastAsia="Arial" w:hAnsi="Arial"/>
          <w:sz w:val="18"/>
          <w:szCs w:val="18"/>
          <w:color w:val="auto"/>
        </w:rPr>
        <w:t>The increase in financing margin reflected the higher financing revenues and lower financing expenses, partially offset by a slight increase in consumer financing interest expense. The increase in consumer financing interest expense was due to a higher average outstanding debt balance, including draw downs on the Warehouse Credit Facility earlier in the year,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partially offset by a lower average interest rate on the outstanding debt balances.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81" w:lineRule="exact"/>
        <w:rPr>
          <w:sz w:val="20"/>
          <w:szCs w:val="20"/>
          <w:color w:val="auto"/>
        </w:rPr>
      </w:pPr>
    </w:p>
    <w:p>
      <w:pPr>
        <w:ind w:right="160" w:firstLine="878"/>
        <w:spacing w:after="0" w:line="259" w:lineRule="auto"/>
        <w:rPr>
          <w:sz w:val="20"/>
          <w:szCs w:val="20"/>
          <w:color w:val="auto"/>
        </w:rPr>
      </w:pPr>
      <w:r>
        <w:rPr>
          <w:rFonts w:ascii="Arial" w:cs="Arial" w:eastAsia="Arial" w:hAnsi="Arial"/>
          <w:sz w:val="18"/>
          <w:szCs w:val="18"/>
          <w:color w:val="auto"/>
        </w:rPr>
        <w:t>The increase in financing propensity resulted from new programs implemented in the first half of 2015 to help increase financing propensity above the 40 to 45 percent rate that the company had averaged in recent years. As a result of these programs, we expect that interest income will continue to increase as new originations of vacation ownership notes receivable outpace the decline in principal of existing vacation ownership notes receivables. We expect financing propensity to continue to be higher for the remainder of fiscal year 2016.</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4,214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4,220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86,944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85,640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1,304</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Financing expenses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2,130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13%</w:t>
            </w:r>
          </w:p>
        </w:tc>
      </w:tr>
      <w:tr>
        <w:trPr>
          <w:trHeight w:val="27"/>
        </w:trPr>
        <w:tc>
          <w:tcPr>
            <w:tcW w:w="5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Consumer financing 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(15,840)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r>
      <w:tr>
        <w:trPr>
          <w:trHeight w:val="29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Financing margin</w:t>
            </w: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56,756</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52,604</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4,152</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2"/>
              </w:rPr>
              <w:t>8%</w:t>
            </w:r>
          </w:p>
        </w:tc>
      </w:tr>
      <w:tr>
        <w:trPr>
          <w:trHeight w:val="230"/>
        </w:trPr>
        <w:tc>
          <w:tcPr>
            <w:tcW w:w="59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Financing propensity</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7"/>
        </w:trPr>
        <w:tc>
          <w:tcPr>
            <w:tcW w:w="59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878"/>
        <w:spacing w:after="0" w:line="277" w:lineRule="auto"/>
        <w:rPr>
          <w:sz w:val="20"/>
          <w:szCs w:val="20"/>
          <w:color w:val="auto"/>
        </w:rPr>
      </w:pPr>
      <w:r>
        <w:rPr>
          <w:rFonts w:ascii="Arial" w:cs="Arial" w:eastAsia="Arial" w:hAnsi="Arial"/>
          <w:sz w:val="18"/>
          <w:szCs w:val="18"/>
          <w:color w:val="auto"/>
        </w:rPr>
        <w:t>The increase in financing revenues was due to a $13.8 million increase in the average gross vacation ownership notes receivable balance, partially offset by a slight decrease in the weighted average coupon rate of our vacation ownership notes receivable.</w:t>
      </w:r>
    </w:p>
    <w:p>
      <w:pPr>
        <w:spacing w:after="0" w:line="170" w:lineRule="exact"/>
        <w:rPr>
          <w:sz w:val="20"/>
          <w:szCs w:val="20"/>
          <w:color w:val="auto"/>
        </w:rPr>
      </w:pPr>
    </w:p>
    <w:p>
      <w:pPr>
        <w:ind w:right="120" w:firstLine="878"/>
        <w:spacing w:after="0" w:line="257" w:lineRule="auto"/>
        <w:rPr>
          <w:sz w:val="20"/>
          <w:szCs w:val="20"/>
          <w:color w:val="auto"/>
        </w:rPr>
      </w:pPr>
      <w:r>
        <w:rPr>
          <w:rFonts w:ascii="Arial" w:cs="Arial" w:eastAsia="Arial" w:hAnsi="Arial"/>
          <w:sz w:val="18"/>
          <w:szCs w:val="18"/>
          <w:color w:val="auto"/>
        </w:rPr>
        <w:t xml:space="preserve">The increase in financing margin reflected the higher financing revenues, as well as lower financing expenses and lower consumer financing interest expense. The lower consumer financing interest expense was due to a lower average interest rate on the outstanding debt balances, partially offset by a higher average outstanding debt balance </w:t>
      </w:r>
      <w:r>
        <w:rPr>
          <w:rFonts w:ascii="Arial" w:cs="Arial" w:eastAsia="Arial" w:hAnsi="Arial"/>
          <w:sz w:val="18"/>
          <w:szCs w:val="18"/>
          <w:color w:val="2C2C2C"/>
        </w:rPr>
        <w:t>including draw downs on the Warehouse Credit Facility earlier in 2016. T</w:t>
      </w:r>
      <w:r>
        <w:rPr>
          <w:rFonts w:ascii="Arial" w:cs="Arial" w:eastAsia="Arial" w:hAnsi="Arial"/>
          <w:sz w:val="18"/>
          <w:szCs w:val="18"/>
          <w:color w:val="auto"/>
        </w:rPr>
        <w: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88" w:lineRule="exact"/>
        <w:rPr>
          <w:sz w:val="20"/>
          <w:szCs w:val="20"/>
          <w:color w:val="auto"/>
        </w:rPr>
      </w:pPr>
    </w:p>
    <w:p>
      <w:pPr>
        <w:ind w:right="160" w:firstLine="878"/>
        <w:spacing w:after="0" w:line="259" w:lineRule="auto"/>
        <w:rPr>
          <w:sz w:val="20"/>
          <w:szCs w:val="20"/>
          <w:color w:val="auto"/>
        </w:rPr>
      </w:pPr>
      <w:r>
        <w:rPr>
          <w:rFonts w:ascii="Arial" w:cs="Arial" w:eastAsia="Arial" w:hAnsi="Arial"/>
          <w:sz w:val="18"/>
          <w:szCs w:val="18"/>
          <w:color w:val="auto"/>
        </w:rPr>
        <w:t>The increase in financing propensity resulted from new programs implemented in the first half of 2015 to help increase financing propensity above the 40 to 45 percent rate that the company had averaged in recent years. As a result of these programs, we expect that interest income will continue to increase as new originations of vacation ownership notes receivable outpace the decline in principal of existing vacation ownership notes receivables. We expect financing propensity to continue to be higher for the remainder of fiscal year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8"/>
          </w:tcPr>
          <w:p>
            <w:pPr>
              <w:jc w:val="right"/>
              <w:ind w:right="620"/>
              <w:spacing w:after="0"/>
              <w:rPr>
                <w:sz w:val="20"/>
                <w:szCs w:val="20"/>
                <w:color w:val="auto"/>
              </w:rPr>
            </w:pPr>
            <w:r>
              <w:rPr>
                <w:rFonts w:ascii="Arial" w:cs="Arial" w:eastAsia="Arial" w:hAnsi="Arial"/>
                <w:sz w:val="14"/>
                <w:szCs w:val="14"/>
                <w:b w:val="1"/>
                <w:bCs w:val="1"/>
                <w:color w:val="auto"/>
              </w:rPr>
              <w:t>Twelve Weeks Ended</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September 11, 2015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73,776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76,039</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1420" w:type="dxa"/>
            <w:vAlign w:val="bottom"/>
            <w:tcBorders>
              <w:bottom w:val="single" w:sz="8" w:color="CCEEFF"/>
            </w:tcBorders>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94"/>
              </w:rPr>
              <w:t>(3%)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Unsold maintenance fees — upscale</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(17,934)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(13,157)</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(4,777)</w:t>
            </w:r>
          </w:p>
        </w:tc>
        <w:tc>
          <w:tcPr>
            <w:tcW w:w="1420" w:type="dxa"/>
            <w:vAlign w:val="bottom"/>
            <w:gridSpan w:val="3"/>
          </w:tcPr>
          <w:p>
            <w:pPr>
              <w:jc w:val="center"/>
              <w:ind w:left="90"/>
              <w:spacing w:after="0"/>
              <w:rPr>
                <w:sz w:val="20"/>
                <w:szCs w:val="20"/>
                <w:color w:val="auto"/>
              </w:rPr>
            </w:pPr>
            <w:r>
              <w:rPr>
                <w:rFonts w:ascii="Arial" w:cs="Arial" w:eastAsia="Arial" w:hAnsi="Arial"/>
                <w:sz w:val="18"/>
                <w:szCs w:val="18"/>
                <w:color w:val="auto"/>
                <w:w w:val="91"/>
              </w:rPr>
              <w:t>(36%)</w:t>
            </w:r>
          </w:p>
        </w:tc>
        <w:tc>
          <w:tcPr>
            <w:tcW w:w="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Unsold maintenance fees — luxury</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(1,732)</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1,191</w:t>
            </w:r>
          </w:p>
        </w:tc>
        <w:tc>
          <w:tcPr>
            <w:tcW w:w="1420" w:type="dxa"/>
            <w:vAlign w:val="bottom"/>
            <w:tcBorders>
              <w:bottom w:val="single" w:sz="8" w:color="CCEEFF"/>
            </w:tcBorders>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8"/>
              </w:rPr>
              <w:t>69%</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Unsold maintenance fees</w:t>
            </w: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(18,475)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(14,889)</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(3,586)</w:t>
            </w:r>
          </w:p>
        </w:tc>
        <w:tc>
          <w:tcPr>
            <w:tcW w:w="1420" w:type="dxa"/>
            <w:vAlign w:val="bottom"/>
            <w:gridSpan w:val="3"/>
          </w:tcPr>
          <w:p>
            <w:pPr>
              <w:jc w:val="center"/>
              <w:ind w:left="90"/>
              <w:spacing w:after="0"/>
              <w:rPr>
                <w:sz w:val="20"/>
                <w:szCs w:val="20"/>
                <w:color w:val="auto"/>
              </w:rPr>
            </w:pPr>
            <w:r>
              <w:rPr>
                <w:rFonts w:ascii="Arial" w:cs="Arial" w:eastAsia="Arial" w:hAnsi="Arial"/>
                <w:sz w:val="18"/>
                <w:szCs w:val="18"/>
                <w:color w:val="auto"/>
                <w:w w:val="91"/>
              </w:rPr>
              <w:t>(24%)</w:t>
            </w:r>
          </w:p>
        </w:tc>
        <w:tc>
          <w:tcPr>
            <w:tcW w:w="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rental expenses</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(42,495)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(47,678)</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5,183</w:t>
            </w:r>
          </w:p>
        </w:tc>
        <w:tc>
          <w:tcPr>
            <w:tcW w:w="1420" w:type="dxa"/>
            <w:vAlign w:val="bottom"/>
            <w:tcBorders>
              <w:bottom w:val="single" w:sz="8" w:color="CCEEFF"/>
            </w:tcBorders>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8"/>
              </w:rPr>
              <w:t>11%</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97"/>
        </w:trPr>
        <w:tc>
          <w:tcPr>
            <w:tcW w:w="20" w:type="dxa"/>
            <w:vAlign w:val="bottom"/>
          </w:tcPr>
          <w:p>
            <w:pPr>
              <w:spacing w:after="0"/>
              <w:rPr>
                <w:sz w:val="24"/>
                <w:szCs w:val="24"/>
                <w:color w:val="auto"/>
              </w:rPr>
            </w:pPr>
          </w:p>
        </w:tc>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margin</w:t>
            </w:r>
          </w:p>
        </w:tc>
        <w:tc>
          <w:tcPr>
            <w:tcW w:w="26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12,806</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13,472</w:t>
            </w: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w:t>
            </w:r>
          </w:p>
        </w:tc>
        <w:tc>
          <w:tcPr>
            <w:tcW w:w="1420" w:type="dxa"/>
            <w:vAlign w:val="bottom"/>
            <w:tcBorders>
              <w:bottom w:val="single" w:sz="8" w:color="CCEEFF"/>
            </w:tcBorders>
            <w:gridSpan w:val="3"/>
          </w:tcPr>
          <w:p>
            <w:pPr>
              <w:jc w:val="center"/>
              <w:ind w:left="90"/>
              <w:spacing w:after="0"/>
              <w:rPr>
                <w:sz w:val="20"/>
                <w:szCs w:val="20"/>
                <w:color w:val="auto"/>
              </w:rPr>
            </w:pPr>
            <w:r>
              <w:rPr>
                <w:rFonts w:ascii="Arial" w:cs="Arial" w:eastAsia="Arial" w:hAnsi="Arial"/>
                <w:sz w:val="18"/>
                <w:szCs w:val="18"/>
                <w:color w:val="auto"/>
                <w:w w:val="94"/>
              </w:rPr>
              <w:t>(5%)</w:t>
            </w:r>
          </w:p>
        </w:tc>
        <w:tc>
          <w:tcPr>
            <w:tcW w:w="60" w:type="dxa"/>
            <w:vAlign w:val="bottom"/>
            <w:tcBorders>
              <w:bottom w:val="single" w:sz="8" w:color="CCEEFF"/>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56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Rental margin percentage</w:t>
            </w: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17.4%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(0.3 pts)</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399"/>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6"/>
          </w:tcPr>
          <w:p>
            <w:pPr>
              <w:jc w:val="right"/>
              <w:ind w:right="610"/>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6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September 9, 2016</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September 11, 2015</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w w:val="98"/>
              </w:rPr>
              <w:t>287,911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279,994</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7,917</w:t>
            </w:r>
          </w:p>
        </w:tc>
        <w:tc>
          <w:tcPr>
            <w:tcW w:w="142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218.46</w:t>
            </w:r>
          </w:p>
        </w:tc>
        <w:tc>
          <w:tcPr>
            <w:tcW w:w="1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222.15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21"/>
                <w:szCs w:val="21"/>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(3.69)</w:t>
            </w:r>
          </w:p>
        </w:tc>
        <w:tc>
          <w:tcPr>
            <w:tcW w:w="1420" w:type="dxa"/>
            <w:vAlign w:val="bottom"/>
            <w:gridSpan w:val="3"/>
          </w:tcPr>
          <w:p>
            <w:pPr>
              <w:jc w:val="right"/>
              <w:ind w:right="408"/>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 pts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79" w:lineRule="exact"/>
        <w:rPr>
          <w:sz w:val="20"/>
          <w:szCs w:val="20"/>
          <w:color w:val="auto"/>
        </w:rPr>
      </w:pPr>
    </w:p>
    <w:p>
      <w:pPr>
        <w:ind w:left="340" w:right="440" w:hanging="332"/>
        <w:spacing w:after="0" w:line="216"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properties in San Diego, California and Surfers Paradise, Australia prior to conversion to vacation ownership inventory.</w:t>
      </w:r>
    </w:p>
    <w:p>
      <w:pPr>
        <w:spacing w:after="0" w:line="203" w:lineRule="exact"/>
        <w:rPr>
          <w:sz w:val="20"/>
          <w:szCs w:val="20"/>
          <w:color w:val="auto"/>
        </w:rPr>
      </w:pPr>
    </w:p>
    <w:p>
      <w:pPr>
        <w:ind w:firstLine="878"/>
        <w:spacing w:after="0" w:line="254" w:lineRule="auto"/>
        <w:rPr>
          <w:sz w:val="20"/>
          <w:szCs w:val="20"/>
          <w:color w:val="auto"/>
        </w:rPr>
      </w:pPr>
      <w:r>
        <w:rPr>
          <w:rFonts w:ascii="Arial" w:cs="Arial" w:eastAsia="Arial" w:hAnsi="Arial"/>
          <w:sz w:val="18"/>
          <w:szCs w:val="18"/>
          <w:color w:val="auto"/>
        </w:rPr>
        <w:t>The decrease in rental revenues was due to $1.9 million of lower revenue from our operating property in San Diego due to rooms being out of service during the conversion of the inventory to vacation ownership inventory, $0.8 million of revenue in the prior year comparable period from the portion of the operating property in Australia that was disposed of in the second quarter of 2016, $0.6 million of lower plus points revenue (which is recognized upon utilization or expiration of the points) and a company-wide 2 percent decrease in average transient rate ($0.5 million) due to an unfavorable mix of inventory available for rent, partially offset by a $1.3 million increase in preview keys and other revenue and a company-wide 1 percent increase in transient keys rented ($0.2 million, excluding the year over year impact of rooms being out of service at our operating property in San Diego and the portion of the operating property in Surfers Paradise that was disposed of) primarily due to a 1 percent increase in available keys (excluding the impact of the San Diego and Surfers Paradise inventory).</w:t>
      </w:r>
    </w:p>
    <w:p>
      <w:pPr>
        <w:spacing w:after="0" w:line="192" w:lineRule="exact"/>
        <w:rPr>
          <w:sz w:val="20"/>
          <w:szCs w:val="20"/>
          <w:color w:val="auto"/>
        </w:rPr>
      </w:pPr>
    </w:p>
    <w:p>
      <w:pPr>
        <w:ind w:right="300" w:firstLine="878"/>
        <w:spacing w:after="0" w:line="342" w:lineRule="auto"/>
        <w:rPr>
          <w:sz w:val="20"/>
          <w:szCs w:val="20"/>
          <w:color w:val="auto"/>
        </w:rPr>
      </w:pPr>
      <w:r>
        <w:rPr>
          <w:rFonts w:ascii="Arial" w:cs="Arial" w:eastAsia="Arial" w:hAnsi="Arial"/>
          <w:sz w:val="16"/>
          <w:szCs w:val="16"/>
          <w:color w:val="auto"/>
        </w:rPr>
        <w:t>The decrease in rental margin reflected the $0.6 million decrease in plus points revenue and $0.1 million of lower rental revenues net of direct variable expenses (such as housekeeping), expenses incurred due to owners choosing alternative usage options, and unsold maintenance fees.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8"/>
          </w:tcPr>
          <w:p>
            <w:pPr>
              <w:jc w:val="right"/>
              <w:ind w:right="520"/>
              <w:spacing w:after="0"/>
              <w:rPr>
                <w:sz w:val="20"/>
                <w:szCs w:val="20"/>
                <w:color w:val="auto"/>
              </w:rPr>
            </w:pPr>
            <w:r>
              <w:rPr>
                <w:rFonts w:ascii="Arial" w:cs="Arial" w:eastAsia="Arial" w:hAnsi="Arial"/>
                <w:sz w:val="14"/>
                <w:szCs w:val="14"/>
                <w:b w:val="1"/>
                <w:bCs w:val="1"/>
                <w:color w:val="auto"/>
              </w:rPr>
              <w:t>Thirty-Six Weeks Ended</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September 11, 2015</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229,133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224,880</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4,253</w:t>
            </w:r>
          </w:p>
        </w:tc>
        <w:tc>
          <w:tcPr>
            <w:tcW w:w="1420" w:type="dxa"/>
            <w:vAlign w:val="bottom"/>
            <w:tcBorders>
              <w:bottom w:val="single" w:sz="8" w:color="CCEEFF"/>
            </w:tcBorders>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92"/>
              </w:rPr>
              <w:t>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680" w:type="dxa"/>
            <w:vAlign w:val="bottom"/>
          </w:tcPr>
          <w:p>
            <w:pPr>
              <w:ind w:left="160"/>
              <w:spacing w:after="0"/>
              <w:rPr>
                <w:sz w:val="20"/>
                <w:szCs w:val="20"/>
                <w:color w:val="auto"/>
              </w:rPr>
            </w:pPr>
            <w:r>
              <w:rPr>
                <w:rFonts w:ascii="Arial" w:cs="Arial" w:eastAsia="Arial" w:hAnsi="Arial"/>
                <w:sz w:val="18"/>
                <w:szCs w:val="18"/>
                <w:color w:val="auto"/>
              </w:rPr>
              <w:t>Unsold maintenance fees — upscale</w:t>
            </w: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(47,229)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(38,625)</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(8,604)</w:t>
            </w:r>
          </w:p>
        </w:tc>
        <w:tc>
          <w:tcPr>
            <w:tcW w:w="1420" w:type="dxa"/>
            <w:vAlign w:val="bottom"/>
            <w:gridSpan w:val="3"/>
          </w:tcPr>
          <w:p>
            <w:pPr>
              <w:jc w:val="center"/>
              <w:ind w:left="90"/>
              <w:spacing w:after="0"/>
              <w:rPr>
                <w:sz w:val="20"/>
                <w:szCs w:val="20"/>
                <w:color w:val="auto"/>
              </w:rPr>
            </w:pPr>
            <w:r>
              <w:rPr>
                <w:rFonts w:ascii="Arial" w:cs="Arial" w:eastAsia="Arial" w:hAnsi="Arial"/>
                <w:sz w:val="18"/>
                <w:szCs w:val="18"/>
                <w:color w:val="auto"/>
                <w:w w:val="91"/>
              </w:rPr>
              <w:t>(22%)</w:t>
            </w:r>
          </w:p>
        </w:tc>
        <w:tc>
          <w:tcPr>
            <w:tcW w:w="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Unsold maintenance fees — luxury</w:t>
            </w: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(6,148)</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4,566</w:t>
            </w:r>
          </w:p>
        </w:tc>
        <w:tc>
          <w:tcPr>
            <w:tcW w:w="1420" w:type="dxa"/>
            <w:vAlign w:val="bottom"/>
            <w:tcBorders>
              <w:bottom w:val="single" w:sz="8" w:color="CCEEFF"/>
            </w:tcBorders>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88"/>
              </w:rPr>
              <w:t>74%</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37"/>
        </w:trPr>
        <w:tc>
          <w:tcPr>
            <w:tcW w:w="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Unsold maintenance fees</w:t>
            </w:r>
          </w:p>
        </w:tc>
        <w:tc>
          <w:tcPr>
            <w:tcW w:w="26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(48,811)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(44,773)</w:t>
            </w:r>
          </w:p>
        </w:tc>
        <w:tc>
          <w:tcPr>
            <w:tcW w:w="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(4,038)</w:t>
            </w:r>
          </w:p>
        </w:tc>
        <w:tc>
          <w:tcPr>
            <w:tcW w:w="1420" w:type="dxa"/>
            <w:vAlign w:val="bottom"/>
            <w:gridSpan w:val="3"/>
          </w:tcPr>
          <w:p>
            <w:pPr>
              <w:jc w:val="center"/>
              <w:ind w:left="90"/>
              <w:spacing w:after="0"/>
              <w:rPr>
                <w:sz w:val="20"/>
                <w:szCs w:val="20"/>
                <w:color w:val="auto"/>
              </w:rPr>
            </w:pPr>
            <w:r>
              <w:rPr>
                <w:rFonts w:ascii="Arial" w:cs="Arial" w:eastAsia="Arial" w:hAnsi="Arial"/>
                <w:sz w:val="18"/>
                <w:szCs w:val="18"/>
                <w:color w:val="auto"/>
                <w:w w:val="94"/>
              </w:rPr>
              <w:t>(9%)</w:t>
            </w:r>
          </w:p>
        </w:tc>
        <w:tc>
          <w:tcPr>
            <w:tcW w:w="6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rental expenses</w:t>
            </w:r>
          </w:p>
        </w:tc>
        <w:tc>
          <w:tcPr>
            <w:tcW w:w="26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(142,847)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(139,787)</w:t>
            </w: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(3,060)</w:t>
            </w:r>
          </w:p>
        </w:tc>
        <w:tc>
          <w:tcPr>
            <w:tcW w:w="1420" w:type="dxa"/>
            <w:vAlign w:val="bottom"/>
            <w:tcBorders>
              <w:bottom w:val="single" w:sz="8" w:color="CCEEFF"/>
            </w:tcBorders>
            <w:gridSpan w:val="3"/>
            <w:shd w:val="clear" w:color="auto" w:fill="CCEEFF"/>
          </w:tcPr>
          <w:p>
            <w:pPr>
              <w:jc w:val="center"/>
              <w:ind w:left="90"/>
              <w:spacing w:after="0"/>
              <w:rPr>
                <w:sz w:val="20"/>
                <w:szCs w:val="20"/>
                <w:color w:val="auto"/>
              </w:rPr>
            </w:pPr>
            <w:r>
              <w:rPr>
                <w:rFonts w:ascii="Arial" w:cs="Arial" w:eastAsia="Arial" w:hAnsi="Arial"/>
                <w:sz w:val="18"/>
                <w:szCs w:val="18"/>
                <w:color w:val="auto"/>
                <w:w w:val="94"/>
              </w:rPr>
              <w:t>(2%)</w:t>
            </w:r>
          </w:p>
        </w:tc>
        <w:tc>
          <w:tcPr>
            <w:tcW w:w="60" w:type="dxa"/>
            <w:vAlign w:val="bottom"/>
            <w:tcBorders>
              <w:bottom w:val="single" w:sz="8" w:color="CCEEFF"/>
            </w:tcBorders>
            <w:shd w:val="clear" w:color="auto" w:fill="CCEEFF"/>
          </w:tcPr>
          <w:p>
            <w:pPr>
              <w:spacing w:after="0"/>
              <w:rPr>
                <w:sz w:val="23"/>
                <w:szCs w:val="23"/>
                <w:color w:val="auto"/>
              </w:rPr>
            </w:pPr>
          </w:p>
        </w:tc>
      </w:tr>
      <w:tr>
        <w:trPr>
          <w:trHeight w:val="297"/>
        </w:trPr>
        <w:tc>
          <w:tcPr>
            <w:tcW w:w="20" w:type="dxa"/>
            <w:vAlign w:val="bottom"/>
          </w:tcPr>
          <w:p>
            <w:pPr>
              <w:spacing w:after="0"/>
              <w:rPr>
                <w:sz w:val="24"/>
                <w:szCs w:val="24"/>
                <w:color w:val="auto"/>
              </w:rPr>
            </w:pPr>
          </w:p>
        </w:tc>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margin</w:t>
            </w:r>
          </w:p>
        </w:tc>
        <w:tc>
          <w:tcPr>
            <w:tcW w:w="2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37,475</w:t>
            </w: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40,320</w:t>
            </w:r>
          </w:p>
        </w:tc>
        <w:tc>
          <w:tcPr>
            <w:tcW w:w="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(2,845)</w:t>
            </w:r>
          </w:p>
        </w:tc>
        <w:tc>
          <w:tcPr>
            <w:tcW w:w="1420" w:type="dxa"/>
            <w:vAlign w:val="bottom"/>
            <w:tcBorders>
              <w:bottom w:val="single" w:sz="8" w:color="CCEEFF"/>
            </w:tcBorders>
            <w:gridSpan w:val="3"/>
          </w:tcPr>
          <w:p>
            <w:pPr>
              <w:jc w:val="center"/>
              <w:ind w:left="90"/>
              <w:spacing w:after="0"/>
              <w:rPr>
                <w:sz w:val="20"/>
                <w:szCs w:val="20"/>
                <w:color w:val="auto"/>
              </w:rPr>
            </w:pPr>
            <w:r>
              <w:rPr>
                <w:rFonts w:ascii="Arial" w:cs="Arial" w:eastAsia="Arial" w:hAnsi="Arial"/>
                <w:sz w:val="18"/>
                <w:szCs w:val="18"/>
                <w:color w:val="auto"/>
                <w:w w:val="94"/>
              </w:rPr>
              <w:t>(7%)</w:t>
            </w:r>
          </w:p>
        </w:tc>
        <w:tc>
          <w:tcPr>
            <w:tcW w:w="60" w:type="dxa"/>
            <w:vAlign w:val="bottom"/>
            <w:tcBorders>
              <w:bottom w:val="single" w:sz="8" w:color="CCEEFF"/>
            </w:tcBorders>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56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Rental margin percentage</w:t>
            </w:r>
          </w:p>
        </w:tc>
        <w:tc>
          <w:tcPr>
            <w:tcW w:w="2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(1.5 pts)</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r>
      <w:tr>
        <w:trPr>
          <w:trHeight w:val="399"/>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6"/>
          </w:tcPr>
          <w:p>
            <w:pPr>
              <w:jc w:val="right"/>
              <w:ind w:right="510"/>
              <w:spacing w:after="0"/>
              <w:rPr>
                <w:sz w:val="20"/>
                <w:szCs w:val="20"/>
                <w:color w:val="auto"/>
              </w:rPr>
            </w:pPr>
            <w:r>
              <w:rPr>
                <w:rFonts w:ascii="Arial" w:cs="Arial" w:eastAsia="Arial" w:hAnsi="Arial"/>
                <w:sz w:val="14"/>
                <w:szCs w:val="14"/>
                <w:b w:val="1"/>
                <w:bCs w:val="1"/>
                <w:color w:val="auto"/>
              </w:rPr>
              <w:t>Thirty-Six Weeks Ended</w:t>
            </w:r>
          </w:p>
        </w:tc>
        <w:tc>
          <w:tcPr>
            <w:tcW w:w="1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68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September 9, 2016</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September 11, 2015</w:t>
            </w:r>
          </w:p>
        </w:tc>
        <w:tc>
          <w:tcPr>
            <w:tcW w:w="10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 Change</w:t>
            </w:r>
          </w:p>
        </w:tc>
        <w:tc>
          <w:tcPr>
            <w:tcW w:w="60" w:type="dxa"/>
            <w:vAlign w:val="bottom"/>
          </w:tcPr>
          <w:p>
            <w:pPr>
              <w:spacing w:after="0"/>
              <w:rPr>
                <w:sz w:val="22"/>
                <w:szCs w:val="22"/>
                <w:color w:val="auto"/>
              </w:rPr>
            </w:pPr>
          </w:p>
        </w:tc>
      </w:tr>
      <w:tr>
        <w:trPr>
          <w:trHeight w:val="270"/>
        </w:trPr>
        <w:tc>
          <w:tcPr>
            <w:tcW w:w="20" w:type="dxa"/>
            <w:vAlign w:val="bottom"/>
          </w:tcPr>
          <w:p>
            <w:pPr>
              <w:spacing w:after="0"/>
              <w:rPr>
                <w:sz w:val="23"/>
                <w:szCs w:val="23"/>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864,945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852,291</w:t>
            </w: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12,654</w:t>
            </w:r>
          </w:p>
        </w:tc>
        <w:tc>
          <w:tcPr>
            <w:tcW w:w="1420" w:type="dxa"/>
            <w:vAlign w:val="bottom"/>
            <w:gridSpan w:val="3"/>
            <w:shd w:val="clear" w:color="auto" w:fill="CCEEFF"/>
          </w:tcPr>
          <w:p>
            <w:pPr>
              <w:jc w:val="right"/>
              <w:ind w:right="468"/>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3"/>
                <w:szCs w:val="23"/>
                <w:color w:val="auto"/>
              </w:rPr>
            </w:pPr>
          </w:p>
        </w:tc>
      </w:tr>
      <w:tr>
        <w:trPr>
          <w:trHeight w:val="243"/>
        </w:trPr>
        <w:tc>
          <w:tcPr>
            <w:tcW w:w="20" w:type="dxa"/>
            <w:vAlign w:val="bottom"/>
          </w:tcPr>
          <w:p>
            <w:pPr>
              <w:spacing w:after="0"/>
              <w:rPr>
                <w:sz w:val="21"/>
                <w:szCs w:val="21"/>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21"/>
                <w:szCs w:val="21"/>
                <w:color w:val="auto"/>
              </w:rPr>
            </w:pPr>
          </w:p>
        </w:tc>
        <w:tc>
          <w:tcPr>
            <w:tcW w:w="860" w:type="dxa"/>
            <w:vAlign w:val="bottom"/>
          </w:tcPr>
          <w:p>
            <w:pPr>
              <w:jc w:val="right"/>
              <w:ind w:right="93"/>
              <w:spacing w:after="0"/>
              <w:rPr>
                <w:sz w:val="20"/>
                <w:szCs w:val="20"/>
                <w:color w:val="auto"/>
              </w:rPr>
            </w:pPr>
            <w:r>
              <w:rPr>
                <w:rFonts w:ascii="Arial" w:cs="Arial" w:eastAsia="Arial" w:hAnsi="Arial"/>
                <w:sz w:val="18"/>
                <w:szCs w:val="18"/>
                <w:color w:val="auto"/>
              </w:rPr>
              <w:t>220.06</w:t>
            </w:r>
          </w:p>
        </w:tc>
        <w:tc>
          <w:tcPr>
            <w:tcW w:w="120" w:type="dxa"/>
            <w:vAlign w:val="bottom"/>
          </w:tcPr>
          <w:p>
            <w:pPr>
              <w:spacing w:after="0"/>
              <w:rPr>
                <w:sz w:val="21"/>
                <w:szCs w:val="21"/>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Pr>
          <w:p>
            <w:pPr>
              <w:spacing w:after="0"/>
              <w:rPr>
                <w:sz w:val="21"/>
                <w:szCs w:val="21"/>
                <w:color w:val="auto"/>
              </w:rPr>
            </w:pPr>
          </w:p>
        </w:tc>
        <w:tc>
          <w:tcPr>
            <w:tcW w:w="880" w:type="dxa"/>
            <w:vAlign w:val="bottom"/>
          </w:tcPr>
          <w:p>
            <w:pPr>
              <w:jc w:val="right"/>
              <w:ind w:right="90"/>
              <w:spacing w:after="0"/>
              <w:rPr>
                <w:sz w:val="20"/>
                <w:szCs w:val="20"/>
                <w:color w:val="auto"/>
              </w:rPr>
            </w:pPr>
            <w:r>
              <w:rPr>
                <w:rFonts w:ascii="Arial" w:cs="Arial" w:eastAsia="Arial" w:hAnsi="Arial"/>
                <w:sz w:val="18"/>
                <w:szCs w:val="18"/>
                <w:color w:val="auto"/>
              </w:rPr>
              <w:t>222.47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gridSpan w:val="2"/>
          </w:tcPr>
          <w:p>
            <w:pPr>
              <w:jc w:val="right"/>
              <w:ind w:right="60"/>
              <w:spacing w:after="0"/>
              <w:rPr>
                <w:sz w:val="20"/>
                <w:szCs w:val="20"/>
                <w:color w:val="auto"/>
              </w:rPr>
            </w:pPr>
            <w:r>
              <w:rPr>
                <w:rFonts w:ascii="Arial" w:cs="Arial" w:eastAsia="Arial" w:hAnsi="Arial"/>
                <w:sz w:val="15"/>
                <w:szCs w:val="15"/>
                <w:color w:val="auto"/>
                <w:w w:val="71"/>
              </w:rPr>
              <w:t>$</w:t>
            </w:r>
          </w:p>
        </w:tc>
        <w:tc>
          <w:tcPr>
            <w:tcW w:w="200" w:type="dxa"/>
            <w:vAlign w:val="bottom"/>
          </w:tcPr>
          <w:p>
            <w:pPr>
              <w:spacing w:after="0"/>
              <w:rPr>
                <w:sz w:val="21"/>
                <w:szCs w:val="21"/>
                <w:color w:val="auto"/>
              </w:rPr>
            </w:pPr>
          </w:p>
        </w:tc>
        <w:tc>
          <w:tcPr>
            <w:tcW w:w="1040" w:type="dxa"/>
            <w:vAlign w:val="bottom"/>
          </w:tcPr>
          <w:p>
            <w:pPr>
              <w:jc w:val="right"/>
              <w:ind w:right="133"/>
              <w:spacing w:after="0"/>
              <w:rPr>
                <w:sz w:val="20"/>
                <w:szCs w:val="20"/>
                <w:color w:val="auto"/>
              </w:rPr>
            </w:pPr>
            <w:r>
              <w:rPr>
                <w:rFonts w:ascii="Arial" w:cs="Arial" w:eastAsia="Arial" w:hAnsi="Arial"/>
                <w:sz w:val="18"/>
                <w:szCs w:val="18"/>
                <w:color w:val="auto"/>
              </w:rPr>
              <w:t>(2.41)</w:t>
            </w:r>
          </w:p>
        </w:tc>
        <w:tc>
          <w:tcPr>
            <w:tcW w:w="1420" w:type="dxa"/>
            <w:vAlign w:val="bottom"/>
            <w:gridSpan w:val="3"/>
          </w:tcPr>
          <w:p>
            <w:pPr>
              <w:jc w:val="right"/>
              <w:ind w:right="408"/>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 pts</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ind w:left="340" w:right="440" w:hanging="332"/>
        <w:spacing w:after="0" w:line="211"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properties in San Diego, California and Surfers Paradise, Australia prior to conversion to vacation ownership inventory.</w:t>
      </w:r>
    </w:p>
    <w:p>
      <w:pPr>
        <w:spacing w:after="0" w:line="203" w:lineRule="exact"/>
        <w:rPr>
          <w:sz w:val="20"/>
          <w:szCs w:val="20"/>
          <w:color w:val="auto"/>
        </w:rPr>
      </w:pPr>
    </w:p>
    <w:p>
      <w:pPr>
        <w:jc w:val="both"/>
        <w:ind w:right="20" w:firstLine="878"/>
        <w:spacing w:after="0" w:line="271" w:lineRule="auto"/>
        <w:rPr>
          <w:sz w:val="20"/>
          <w:szCs w:val="20"/>
          <w:color w:val="auto"/>
        </w:rPr>
      </w:pPr>
      <w:r>
        <w:rPr>
          <w:rFonts w:ascii="Arial" w:cs="Arial" w:eastAsia="Arial" w:hAnsi="Arial"/>
          <w:sz w:val="17"/>
          <w:szCs w:val="17"/>
          <w:color w:val="auto"/>
        </w:rPr>
        <w:t>The increase in rental revenues was due to $5.3 million of higher revenue from the operating property in Australia that was purchased in the third quarter of 2015 (a portion of which was disposed of in the second quarter of 2016), a company-wide 1 percent increase in transient keys rented ($1.1 million, excluding the year over year impact of rooms being out of service at our operating property in San Diego and the portion of the operating property in Surfers Paradise that was disposed of) primarily due to a 2 percent increase in available keys (excluding the impact of the San Diego and Surfers Paradise inventory), and a $1.6 million increase in preview keys and other revenue, partially offset by $2.3 million of lower revenue from our operating property in San Diego due to rooms being out of service during the conversion of some of the inventory to vacation ownership inventory, a company-wide 1 percent decrease in average transient rate ($1.3 million) due to an unfavorable mix of inventory available for rent and $0.1 million of lower plus points revenue (which is recognized upon utilization or expiration of the points).</w:t>
      </w:r>
    </w:p>
    <w:p>
      <w:pPr>
        <w:spacing w:after="0" w:line="179" w:lineRule="exact"/>
        <w:rPr>
          <w:sz w:val="20"/>
          <w:szCs w:val="20"/>
          <w:color w:val="auto"/>
        </w:rPr>
      </w:pPr>
    </w:p>
    <w:p>
      <w:pPr>
        <w:ind w:right="320" w:firstLine="878"/>
        <w:spacing w:after="0" w:line="286" w:lineRule="auto"/>
        <w:rPr>
          <w:sz w:val="20"/>
          <w:szCs w:val="20"/>
          <w:color w:val="auto"/>
        </w:rPr>
      </w:pPr>
      <w:r>
        <w:rPr>
          <w:rFonts w:ascii="Arial" w:cs="Arial" w:eastAsia="Arial" w:hAnsi="Arial"/>
          <w:sz w:val="17"/>
          <w:szCs w:val="17"/>
          <w:color w:val="auto"/>
        </w:rPr>
        <w:t>The decrease in rental margin reflected $1.5 million of lower rental revenues net of direct variable expenses (such as housekeeping), expenses incurred due to owners choosing alternative usage options, and unsold maintenance fees, a $1.2 million decline from the operating property in Australia primarily due to unsold maintenance fees in the current period and the $0.1 million decrease in plus points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Reimbursements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25" w:lineRule="exact"/>
        <w:rPr>
          <w:sz w:val="20"/>
          <w:szCs w:val="20"/>
          <w:color w:val="auto"/>
        </w:rPr>
      </w:pPr>
    </w:p>
    <w:p>
      <w:pPr>
        <w:ind w:right="260" w:firstLine="878"/>
        <w:spacing w:after="0" w:line="264" w:lineRule="auto"/>
        <w:rPr>
          <w:sz w:val="20"/>
          <w:szCs w:val="20"/>
          <w:color w:val="auto"/>
        </w:rPr>
      </w:pPr>
      <w:r>
        <w:rPr>
          <w:rFonts w:ascii="Arial" w:cs="Arial" w:eastAsia="Arial" w:hAnsi="Arial"/>
          <w:sz w:val="18"/>
          <w:szCs w:val="18"/>
          <w:color w:val="auto"/>
        </w:rPr>
        <w:t>Cost reimbursements increased $5.4 million, or 6 percent, over the prior year comparable period, reflecting an increase of $3.9 million due to higher costs and $1.6 million due to additional managed unit weeks in the twelve weeks ended September 9, 2016, partially offset by a $0.1 million impact from foreign exchange rates in our Europe segment.</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25" w:lineRule="exact"/>
        <w:rPr>
          <w:sz w:val="20"/>
          <w:szCs w:val="20"/>
          <w:color w:val="auto"/>
        </w:rPr>
      </w:pPr>
    </w:p>
    <w:p>
      <w:pPr>
        <w:ind w:right="80" w:firstLine="878"/>
        <w:spacing w:after="0" w:line="264" w:lineRule="auto"/>
        <w:rPr>
          <w:sz w:val="20"/>
          <w:szCs w:val="20"/>
          <w:color w:val="auto"/>
        </w:rPr>
      </w:pPr>
      <w:r>
        <w:rPr>
          <w:rFonts w:ascii="Arial" w:cs="Arial" w:eastAsia="Arial" w:hAnsi="Arial"/>
          <w:sz w:val="18"/>
          <w:szCs w:val="18"/>
          <w:color w:val="auto"/>
        </w:rPr>
        <w:t>Cost reimbursements increased $18.0 million, or 6 percent, over the prior year comparable period, reflecting an increase of $14.3 million due to higher costs and $4.2 million due to additional managed unit weeks in the thirty-six weeks ended September 9, 2016, partially offset by a $0.5 million impact from foreign exchange rates in our Europe segment.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25" w:lineRule="exact"/>
        <w:rPr>
          <w:sz w:val="20"/>
          <w:szCs w:val="20"/>
          <w:color w:val="auto"/>
        </w:rPr>
      </w:pPr>
    </w:p>
    <w:p>
      <w:pPr>
        <w:ind w:right="280" w:firstLine="878"/>
        <w:spacing w:after="0" w:line="264" w:lineRule="auto"/>
        <w:rPr>
          <w:sz w:val="20"/>
          <w:szCs w:val="20"/>
          <w:color w:val="auto"/>
        </w:rPr>
      </w:pPr>
      <w:r>
        <w:rPr>
          <w:rFonts w:ascii="Arial" w:cs="Arial" w:eastAsia="Arial" w:hAnsi="Arial"/>
          <w:sz w:val="18"/>
          <w:szCs w:val="18"/>
          <w:color w:val="auto"/>
        </w:rPr>
        <w:t>General and administrative expenses decreased $1.6 million due to $1.8 million of costs related to a refurbishment project in the prior year comparable period and lower wages and benefits in the current period, partially offset by higher information technology project costs and inflationary cost increases.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25" w:lineRule="exact"/>
        <w:rPr>
          <w:sz w:val="20"/>
          <w:szCs w:val="20"/>
          <w:color w:val="auto"/>
        </w:rPr>
      </w:pPr>
    </w:p>
    <w:p>
      <w:pPr>
        <w:ind w:right="260" w:firstLine="878"/>
        <w:spacing w:after="0" w:line="277" w:lineRule="auto"/>
        <w:rPr>
          <w:sz w:val="20"/>
          <w:szCs w:val="20"/>
          <w:color w:val="auto"/>
        </w:rPr>
      </w:pPr>
      <w:r>
        <w:rPr>
          <w:rFonts w:ascii="Arial" w:cs="Arial" w:eastAsia="Arial" w:hAnsi="Arial"/>
          <w:sz w:val="18"/>
          <w:szCs w:val="18"/>
          <w:color w:val="auto"/>
        </w:rPr>
        <w:t>General and administrative expenses increased $2.6 million due to higher information technology project costs and inflationary cost increases, partially offset by $1.8 million of costs related to a refurbishment project in the prior year comparable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Royalty Fee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Royalty fee expense increased $0.6 million in the twelve weeks ended September 9, 2016 (from $14.0 million to $14.6 million), and included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$0.5 million of higher costs due to an increase in initial sales of our real estate inventory, which carry a higher royalty fee as compared to sales of pre-owned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inventory (two percent compared to one percent) and $0.1 million of higher costs due to a greater number of closings in the current period.</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25" w:lineRule="exact"/>
        <w:rPr>
          <w:sz w:val="20"/>
          <w:szCs w:val="20"/>
          <w:color w:val="auto"/>
        </w:rPr>
      </w:pPr>
    </w:p>
    <w:p>
      <w:pPr>
        <w:jc w:val="both"/>
        <w:ind w:right="120" w:firstLine="878"/>
        <w:spacing w:after="0" w:line="312" w:lineRule="auto"/>
        <w:rPr>
          <w:sz w:val="20"/>
          <w:szCs w:val="20"/>
          <w:color w:val="auto"/>
        </w:rPr>
      </w:pPr>
      <w:r>
        <w:rPr>
          <w:rFonts w:ascii="Arial" w:cs="Arial" w:eastAsia="Arial" w:hAnsi="Arial"/>
          <w:sz w:val="16"/>
          <w:szCs w:val="16"/>
          <w:color w:val="auto"/>
        </w:rPr>
        <w:t>Royalty fee expense increased $1.6 million in the thirty-six weeks ended September 9, 2016 (from $40.4 million to $42.0 million), and included $1.9 million of higher costs due to an increase in initial sales of our real estate inventory, which carry a higher royalty fee as compared to sales of pre-owned inventory (two percent compared to one percent), partially offset by $0.3 million of lower costs due to a lower number of closings in the current period.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Gains and Other Income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and Thirty-Six Weeks Ended September 9, 2016</w:t>
      </w:r>
    </w:p>
    <w:p>
      <w:pPr>
        <w:spacing w:after="0" w:line="225" w:lineRule="exact"/>
        <w:rPr>
          <w:sz w:val="20"/>
          <w:szCs w:val="20"/>
          <w:color w:val="auto"/>
        </w:rPr>
      </w:pPr>
    </w:p>
    <w:p>
      <w:pPr>
        <w:ind w:firstLine="878"/>
        <w:spacing w:after="0" w:line="255" w:lineRule="auto"/>
        <w:rPr>
          <w:sz w:val="20"/>
          <w:szCs w:val="20"/>
          <w:color w:val="auto"/>
        </w:rPr>
      </w:pPr>
      <w:r>
        <w:rPr>
          <w:rFonts w:ascii="Arial" w:cs="Arial" w:eastAsia="Arial" w:hAnsi="Arial"/>
          <w:sz w:val="18"/>
          <w:szCs w:val="18"/>
          <w:color w:val="auto"/>
        </w:rPr>
        <w:t>Gains and other income increased $0.5 million in the twelve weeks ended September 9, 2016 (from $0 to $0.5 million) due to the true-up of estimated costs related to the sale of the portion of the operating property in Australia that we did not intend to convert to vacation ownership inventory and increased $1.6 million in the thirty-six weeks ended September 9, 2016 (from $9.5 million to $11.1 million). In the thirty-six weeks ended September 9, 2016, we recorded a $10.5 million gain on the disposition of excess inventory at our Ritz-Carlton project in San Francisco, California, the reversal of the remaining $1.7 million accrual associated with the disposition of a golf course and related assets in Kauai, Hawaii because we no longer expect to incur additional costs in connection with this sale and a $1.0 million loss on the sale of the portion of the operating property in Australia that we did not intend to convert to vacation ownership inventory.</w:t>
      </w:r>
    </w:p>
    <w:p>
      <w:pPr>
        <w:spacing w:after="0" w:line="189" w:lineRule="exact"/>
        <w:rPr>
          <w:sz w:val="20"/>
          <w:szCs w:val="20"/>
          <w:color w:val="auto"/>
        </w:rPr>
      </w:pPr>
    </w:p>
    <w:p>
      <w:pPr>
        <w:ind w:right="80" w:firstLine="878"/>
        <w:spacing w:after="0" w:line="257" w:lineRule="auto"/>
        <w:rPr>
          <w:sz w:val="20"/>
          <w:szCs w:val="20"/>
          <w:color w:val="auto"/>
        </w:rPr>
      </w:pPr>
      <w:r>
        <w:rPr>
          <w:rFonts w:ascii="Arial" w:cs="Arial" w:eastAsia="Arial" w:hAnsi="Arial"/>
          <w:sz w:val="18"/>
          <w:szCs w:val="18"/>
          <w:color w:val="auto"/>
        </w:rPr>
        <w:t>During the second quarter of 2015, we recorded an $8.7 million gain on the disposition of undeveloped land in Kauai, Hawaii. During the first quarter of 2015, we recorded a $0.9 million gain from the disposition of a golf course and adjacent undeveloped land in Orlando, Florida. We disposed of the golf course and undeveloped land in Orlando, Florida in the first quarter of 2014 and, as a condition of the sale, we continued to operate the golf course through the end of the first quarter of 2015 at our own risk. We utilized the performance of services method to record a gain of $3.1 million over the period during which we operated the golf course following the sale.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25" w:lineRule="exact"/>
        <w:rPr>
          <w:sz w:val="20"/>
          <w:szCs w:val="20"/>
          <w:color w:val="auto"/>
        </w:rPr>
      </w:pPr>
    </w:p>
    <w:p>
      <w:pPr>
        <w:jc w:val="both"/>
        <w:ind w:right="20" w:firstLine="878"/>
        <w:spacing w:after="0" w:line="259" w:lineRule="auto"/>
        <w:rPr>
          <w:sz w:val="20"/>
          <w:szCs w:val="20"/>
          <w:color w:val="auto"/>
        </w:rPr>
      </w:pPr>
      <w:r>
        <w:rPr>
          <w:rFonts w:ascii="Arial" w:cs="Arial" w:eastAsia="Arial" w:hAnsi="Arial"/>
          <w:sz w:val="18"/>
          <w:szCs w:val="18"/>
          <w:color w:val="auto"/>
        </w:rPr>
        <w:t>Interest expense decreased $0.6 million due to an $0.8 million decline in expense associated with our liability for the Marriott Rewards customer loyalty program under our Marriott Rewards Affiliation Agreement with Marriott International, Inc. (“Marriott International”), partially offset by $0.2 million of higher other interest expense. Due to the payoff of the liability associated with the Marriott Rewards customer loyalty program at the end of 2015, we will not incur further interest expense associated with this liability in the future.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25" w:lineRule="exact"/>
        <w:rPr>
          <w:sz w:val="20"/>
          <w:szCs w:val="20"/>
          <w:color w:val="auto"/>
        </w:rPr>
      </w:pPr>
    </w:p>
    <w:p>
      <w:pPr>
        <w:jc w:val="both"/>
        <w:ind w:right="100" w:firstLine="878"/>
        <w:spacing w:after="0" w:line="286" w:lineRule="auto"/>
        <w:rPr>
          <w:sz w:val="20"/>
          <w:szCs w:val="20"/>
          <w:color w:val="auto"/>
        </w:rPr>
      </w:pPr>
      <w:r>
        <w:rPr>
          <w:rFonts w:ascii="Arial" w:cs="Arial" w:eastAsia="Arial" w:hAnsi="Arial"/>
          <w:sz w:val="17"/>
          <w:szCs w:val="17"/>
          <w:color w:val="auto"/>
        </w:rPr>
        <w:t>Interest expense decreased $2.5 million due to a $2.5 million decline in expense associated with our liability for the Marriott Rewards customer loyalty program under our Marriott Rewards Affiliation Agreement with Marriott International. Due to the payoff of the liability associated with the Marriott Rewards customer loyalty program at the end of 2015, we will not incur further interest expense associated with this liability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and Thirty-Six Weeks Ended September 9, 2016</w:t>
      </w:r>
    </w:p>
    <w:p>
      <w:pPr>
        <w:spacing w:after="0" w:line="225" w:lineRule="exact"/>
        <w:rPr>
          <w:sz w:val="20"/>
          <w:szCs w:val="20"/>
          <w:color w:val="auto"/>
        </w:rPr>
      </w:pPr>
    </w:p>
    <w:p>
      <w:pPr>
        <w:ind w:firstLine="878"/>
        <w:spacing w:after="0" w:line="257" w:lineRule="auto"/>
        <w:rPr>
          <w:sz w:val="20"/>
          <w:szCs w:val="20"/>
          <w:color w:val="auto"/>
        </w:rPr>
      </w:pPr>
      <w:r>
        <w:rPr>
          <w:rFonts w:ascii="Arial" w:cs="Arial" w:eastAsia="Arial" w:hAnsi="Arial"/>
          <w:sz w:val="18"/>
          <w:szCs w:val="18"/>
          <w:color w:val="auto"/>
        </w:rPr>
        <w:t>During the first quarter of 2016, we incurred $2.3 million of costs associated with the acquisition of an operating property in the South Beach area of Miami Beach and the anticipated future acquisition of the operating property in New York that we currently manage, and $0.2 million of transaction related costs associated with the then anticipated sale of the portion of the operating property located in Surfers Paradise, Australia that we did not intend to convert to vacation ownership inventory. See Footnote No. 5, “Acquisitions and Dispositions” and Footnote No. 8, “Contingencies and Commitments,” to our Financial Statements for further information related to these transactions.</w:t>
      </w:r>
    </w:p>
    <w:p>
      <w:pPr>
        <w:spacing w:after="0" w:line="188" w:lineRule="exact"/>
        <w:rPr>
          <w:sz w:val="20"/>
          <w:szCs w:val="20"/>
          <w:color w:val="auto"/>
        </w:rPr>
      </w:pPr>
    </w:p>
    <w:p>
      <w:pPr>
        <w:ind w:right="380" w:firstLine="878"/>
        <w:spacing w:after="0" w:line="342" w:lineRule="auto"/>
        <w:rPr>
          <w:sz w:val="20"/>
          <w:szCs w:val="20"/>
          <w:color w:val="auto"/>
        </w:rPr>
      </w:pPr>
      <w:r>
        <w:rPr>
          <w:rFonts w:ascii="Arial" w:cs="Arial" w:eastAsia="Arial" w:hAnsi="Arial"/>
          <w:sz w:val="16"/>
          <w:szCs w:val="16"/>
          <w:color w:val="auto"/>
        </w:rPr>
        <w:t>During the second quarter of 2016, we incurred $1.9 million of costs associated with the anticipated future acquisition of vacation ownership units located on the Big Island of Hawaii and the anticipated future acquisition of the operating property in New York that we currently manage.</w:t>
      </w:r>
    </w:p>
    <w:p>
      <w:pPr>
        <w:spacing w:after="0" w:line="124" w:lineRule="exact"/>
        <w:rPr>
          <w:sz w:val="20"/>
          <w:szCs w:val="20"/>
          <w:color w:val="auto"/>
        </w:rPr>
      </w:pPr>
    </w:p>
    <w:p>
      <w:pPr>
        <w:ind w:right="60" w:firstLine="878"/>
        <w:spacing w:after="0" w:line="259" w:lineRule="auto"/>
        <w:rPr>
          <w:sz w:val="20"/>
          <w:szCs w:val="20"/>
          <w:color w:val="auto"/>
        </w:rPr>
      </w:pPr>
      <w:r>
        <w:rPr>
          <w:rFonts w:ascii="Arial" w:cs="Arial" w:eastAsia="Arial" w:hAnsi="Arial"/>
          <w:sz w:val="18"/>
          <w:szCs w:val="18"/>
          <w:color w:val="auto"/>
        </w:rPr>
        <w:t>During the second quarter of 2015, we incurred $1.3 million of transaction related costs mainly associated with the purchase of the operating property located in Surfers Paradise, Australia that occurred in the third quarter of 2015. During the third quarter of 2015, we incurred $5.2 million of transaction related costs mainly associated with the purchase of the operating property located in Surfers Paradise, Australia. We did not incur any transaction related costs in the first quarter of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25" w:lineRule="exact"/>
        <w:rPr>
          <w:sz w:val="20"/>
          <w:szCs w:val="20"/>
          <w:color w:val="auto"/>
        </w:rPr>
      </w:pPr>
    </w:p>
    <w:p>
      <w:pPr>
        <w:ind w:right="40" w:firstLine="878"/>
        <w:spacing w:after="0" w:line="308" w:lineRule="auto"/>
        <w:rPr>
          <w:sz w:val="20"/>
          <w:szCs w:val="20"/>
          <w:color w:val="auto"/>
        </w:rPr>
      </w:pPr>
      <w:r>
        <w:rPr>
          <w:rFonts w:ascii="Arial" w:cs="Arial" w:eastAsia="Arial" w:hAnsi="Arial"/>
          <w:sz w:val="17"/>
          <w:szCs w:val="17"/>
          <w:color w:val="auto"/>
        </w:rPr>
        <w:t>Our provision for income taxes decreased $0.6 million (from $14.6 million to $14.0 million) from the prior year comparable period. The decrease was primarily due to U.S. federal tax incentives which related to multiple years recorded in the twelve weeks ended September 9, 2016.</w:t>
      </w:r>
    </w:p>
    <w:p>
      <w:pPr>
        <w:spacing w:after="0" w:line="14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25" w:lineRule="exact"/>
        <w:rPr>
          <w:sz w:val="20"/>
          <w:szCs w:val="20"/>
          <w:color w:val="auto"/>
        </w:rPr>
      </w:pPr>
    </w:p>
    <w:p>
      <w:pPr>
        <w:ind w:right="40" w:firstLine="878"/>
        <w:spacing w:after="0" w:line="264" w:lineRule="auto"/>
        <w:rPr>
          <w:sz w:val="20"/>
          <w:szCs w:val="20"/>
          <w:color w:val="auto"/>
        </w:rPr>
      </w:pPr>
      <w:r>
        <w:rPr>
          <w:rFonts w:ascii="Arial" w:cs="Arial" w:eastAsia="Arial" w:hAnsi="Arial"/>
          <w:sz w:val="18"/>
          <w:szCs w:val="18"/>
          <w:color w:val="auto"/>
        </w:rPr>
        <w:t>Our provision for income taxes decreased $6.6 million (from $61.3 million to $54.7 million) from the prior year comparable period. The decrease was primarily due to U.S. federal tax incentives which related to multiple years recorded in the thirty-six weeks ended September 9, 2016 and a decline in U.S. and non-U.S. income for the thirty-six weeks ended September 9,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Before Interest Expense, Taxes, Depreciation and Amortization (“EBITDA”) and Adjusted EBITDA</w:t>
      </w:r>
    </w:p>
    <w:p>
      <w:pPr>
        <w:spacing w:after="0" w:line="229" w:lineRule="exact"/>
        <w:rPr>
          <w:sz w:val="20"/>
          <w:szCs w:val="20"/>
          <w:color w:val="auto"/>
        </w:rPr>
      </w:pPr>
    </w:p>
    <w:p>
      <w:pPr>
        <w:ind w:right="200" w:firstLine="878"/>
        <w:spacing w:after="0" w:line="268" w:lineRule="auto"/>
        <w:rPr>
          <w:sz w:val="20"/>
          <w:szCs w:val="20"/>
          <w:color w:val="auto"/>
        </w:rPr>
      </w:pPr>
      <w:r>
        <w:rPr>
          <w:rFonts w:ascii="Arial" w:cs="Arial" w:eastAsia="Arial" w:hAnsi="Arial"/>
          <w:sz w:val="17"/>
          <w:szCs w:val="17"/>
          <w:color w:val="auto"/>
        </w:rPr>
        <w:t>EBITDA, a financial measure that is not prescribed or authorized by GAAP, is defined as earnings, or net income, before interest expense (excluding consumer financing interest expense), provision for income taxes, depreciation and amortization. For purposes of our EBITDA and Adjusted EBITDA calculations, we do not adjust for consumer financing interest expense because the associated debt is secured by vacation ownership notes receivable that have been sold to bankruptcy remote special purpose entities and is generally non-recourse to us. Further, we consider consumer financing interest expense to be an operating expense of our business. We consider EBITDA and Adjusted EBITDA to be indicators of operating performance, which we use to measure our ability to service debt, fund capital expenditures and expand our business. We also use EBITDA and Adjusted EBITDA, as do analysts, lenders, investors and others, because these measures exclude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variability in the relative costs of productive assets and the depreciation and amortization expense among companies. Adjusted EBITDA reflects additional adjustments for certain items described below, and excludes non-cash share-based compensation expense to address considerable variability among companies in recording compensation expense because companies use share-based payment awards differently, both in the type and quantity of awards granted. We evaluate Adjusted EBITDA as an indicator of operating performance because it allows for period-over-period comparisons of our on-going core operations before the impact of the excluded items. Together, EBITDA and Adjusted EBITDA facilitate our comparison of results from our on-going core operations before the impact of these items with results from other vacation ownership companies.</w:t>
      </w:r>
    </w:p>
    <w:p>
      <w:pPr>
        <w:spacing w:after="0" w:line="178" w:lineRule="exact"/>
        <w:rPr>
          <w:sz w:val="20"/>
          <w:szCs w:val="20"/>
          <w:color w:val="auto"/>
        </w:rPr>
      </w:pPr>
    </w:p>
    <w:p>
      <w:pPr>
        <w:ind w:right="20" w:firstLine="878"/>
        <w:spacing w:after="0" w:line="279" w:lineRule="auto"/>
        <w:rPr>
          <w:sz w:val="20"/>
          <w:szCs w:val="20"/>
          <w:color w:val="auto"/>
        </w:rPr>
      </w:pPr>
      <w:r>
        <w:rPr>
          <w:rFonts w:ascii="Arial" w:cs="Arial" w:eastAsia="Arial" w:hAnsi="Arial"/>
          <w:sz w:val="17"/>
          <w:szCs w:val="17"/>
          <w:color w:val="auto"/>
        </w:rPr>
        <w:t>EBITDA and Adjusted EBITDA have limitations and should not be considered in isolation or as a substitute for performance measures calculated in accordance with GAAP. In addition, other companies in our industry may calculate EBITDA and Adjusted EBITDA differently than we do or may not calculate them at all, limiting their usefulness as comparative measures. The table below shows our EBITDA and Adjusted EBITDA calculation and reconciles these measures with Net income, which is the most directly comparable GAAP financial measure.</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Thirty-Six Weeks Ended</w:t>
            </w:r>
          </w:p>
        </w:tc>
      </w:tr>
      <w:tr>
        <w:trPr>
          <w:trHeight w:val="264"/>
        </w:trPr>
        <w:tc>
          <w:tcPr>
            <w:tcW w:w="58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9, 2016</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11, 2015</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9, 2016</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11, 2015</w:t>
            </w: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21,555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89,650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2,262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2,839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6,331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8,822</w:t>
            </w:r>
          </w:p>
        </w:tc>
      </w:tr>
      <w:tr>
        <w:trPr>
          <w:trHeight w:val="27"/>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provision</w:t>
            </w: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14,041</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14,608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54,656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61,300</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4,679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5,292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14,856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13,850</w:t>
            </w:r>
          </w:p>
        </w:tc>
      </w:tr>
      <w:tr>
        <w:trPr>
          <w:trHeight w:val="27"/>
        </w:trPr>
        <w:tc>
          <w:tcPr>
            <w:tcW w:w="58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EBITDA</w:t>
            </w:r>
          </w:p>
        </w:tc>
        <w:tc>
          <w:tcPr>
            <w:tcW w:w="4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47,789</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8"/>
              </w:rPr>
              <w:t>44,294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163,367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173,622</w:t>
            </w:r>
          </w:p>
        </w:tc>
      </w:tr>
      <w:tr>
        <w:trPr>
          <w:trHeight w:val="237"/>
        </w:trPr>
        <w:tc>
          <w:tcPr>
            <w:tcW w:w="5820" w:type="dxa"/>
            <w:vAlign w:val="bottom"/>
          </w:tcPr>
          <w:p>
            <w:pPr>
              <w:ind w:left="40"/>
              <w:spacing w:after="0"/>
              <w:rPr>
                <w:sz w:val="20"/>
                <w:szCs w:val="20"/>
                <w:color w:val="auto"/>
              </w:rPr>
            </w:pPr>
            <w:r>
              <w:rPr>
                <w:rFonts w:ascii="Arial" w:cs="Arial" w:eastAsia="Arial" w:hAnsi="Arial"/>
                <w:sz w:val="18"/>
                <w:szCs w:val="18"/>
                <w:color w:val="auto"/>
              </w:rPr>
              <w:t>Non-cash share-based compensation</w:t>
            </w: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3,045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9,995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9,633</w:t>
            </w:r>
          </w:p>
        </w:tc>
      </w:tr>
      <w:tr>
        <w:trPr>
          <w:trHeight w:val="27"/>
        </w:trPr>
        <w:tc>
          <w:tcPr>
            <w:tcW w:w="5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Certain items</w:t>
            </w:r>
          </w:p>
        </w:tc>
        <w:tc>
          <w:tcPr>
            <w:tcW w:w="4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(6,994)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(6,691)</w:t>
            </w:r>
          </w:p>
        </w:tc>
      </w:tr>
      <w:tr>
        <w:trPr>
          <w:trHeight w:val="237"/>
        </w:trPr>
        <w:tc>
          <w:tcPr>
            <w:tcW w:w="5820" w:type="dxa"/>
            <w:vAlign w:val="bottom"/>
          </w:tcPr>
          <w:p>
            <w:pPr>
              <w:ind w:left="920"/>
              <w:spacing w:after="0"/>
              <w:rPr>
                <w:sz w:val="20"/>
                <w:szCs w:val="20"/>
                <w:color w:val="auto"/>
              </w:rPr>
            </w:pPr>
            <w:r>
              <w:rPr>
                <w:rFonts w:ascii="Arial" w:cs="Arial" w:eastAsia="Arial" w:hAnsi="Arial"/>
                <w:sz w:val="18"/>
                <w:szCs w:val="18"/>
                <w:color w:val="auto"/>
              </w:rPr>
              <w:t>Adjusted EBITDA</w:t>
            </w: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50,612</w:t>
            </w:r>
          </w:p>
        </w:tc>
        <w:tc>
          <w:tcPr>
            <w:tcW w:w="100" w:type="dxa"/>
            <w:vAlign w:val="bottom"/>
          </w:tcPr>
          <w:p>
            <w:pPr>
              <w:spacing w:after="0"/>
              <w:rPr>
                <w:sz w:val="20"/>
                <w:szCs w:val="20"/>
                <w:color w:val="auto"/>
              </w:rPr>
            </w:pPr>
          </w:p>
        </w:tc>
        <w:tc>
          <w:tcPr>
            <w:tcW w:w="700" w:type="dxa"/>
            <w:vAlign w:val="bottom"/>
            <w:tcBorders>
              <w:top w:val="single" w:sz="8" w:color="auto"/>
            </w:tcBorders>
          </w:tcPr>
          <w:p>
            <w:pPr>
              <w:jc w:val="right"/>
              <w:ind w:right="496"/>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8"/>
              </w:rPr>
              <w:t>54,746</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166,368</w:t>
            </w:r>
          </w:p>
        </w:tc>
        <w:tc>
          <w:tcPr>
            <w:tcW w:w="120" w:type="dxa"/>
            <w:vAlign w:val="bottom"/>
          </w:tcPr>
          <w:p>
            <w:pPr>
              <w:spacing w:after="0"/>
              <w:rPr>
                <w:sz w:val="20"/>
                <w:szCs w:val="20"/>
                <w:color w:val="auto"/>
              </w:rPr>
            </w:pPr>
          </w:p>
        </w:tc>
        <w:tc>
          <w:tcPr>
            <w:tcW w:w="400" w:type="dxa"/>
            <w:vAlign w:val="bottom"/>
            <w:tcBorders>
              <w:top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176,564</w:t>
            </w:r>
          </w:p>
        </w:tc>
      </w:tr>
      <w:tr>
        <w:trPr>
          <w:trHeight w:val="27"/>
        </w:trPr>
        <w:tc>
          <w:tcPr>
            <w:tcW w:w="58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25" w:lineRule="exact"/>
        <w:rPr>
          <w:sz w:val="20"/>
          <w:szCs w:val="20"/>
          <w:color w:val="auto"/>
        </w:rPr>
      </w:pPr>
    </w:p>
    <w:p>
      <w:pPr>
        <w:ind w:right="120" w:firstLine="878"/>
        <w:spacing w:after="0" w:line="308" w:lineRule="auto"/>
        <w:rPr>
          <w:sz w:val="20"/>
          <w:szCs w:val="20"/>
          <w:color w:val="auto"/>
        </w:rPr>
      </w:pPr>
      <w:r>
        <w:rPr>
          <w:rFonts w:ascii="Arial" w:cs="Arial" w:eastAsia="Arial" w:hAnsi="Arial"/>
          <w:sz w:val="17"/>
          <w:szCs w:val="17"/>
          <w:color w:val="auto"/>
        </w:rPr>
        <w:t>The certain items for the twelve weeks ended September 9, 2016 consisted of $0.5 million of gains and other income not associated with our on-going core operations and $0.1 million of transaction costs associated with acquisitions. These exclusions decreased EBITDA by $0.3 million.</w:t>
      </w:r>
    </w:p>
    <w:p>
      <w:pPr>
        <w:spacing w:after="0" w:line="147" w:lineRule="exact"/>
        <w:rPr>
          <w:sz w:val="20"/>
          <w:szCs w:val="20"/>
          <w:color w:val="auto"/>
        </w:rPr>
      </w:pPr>
    </w:p>
    <w:p>
      <w:pPr>
        <w:ind w:right="60" w:firstLine="878"/>
        <w:spacing w:after="0" w:line="264" w:lineRule="auto"/>
        <w:rPr>
          <w:sz w:val="20"/>
          <w:szCs w:val="20"/>
          <w:color w:val="auto"/>
        </w:rPr>
      </w:pPr>
      <w:r>
        <w:rPr>
          <w:rFonts w:ascii="Arial" w:cs="Arial" w:eastAsia="Arial" w:hAnsi="Arial"/>
          <w:sz w:val="18"/>
          <w:szCs w:val="18"/>
          <w:color w:val="auto"/>
        </w:rPr>
        <w:t>The certain items for the twelve weeks ended September 11, 2015 consisted of $5.2 million of transaction costs associated with acquisitions, $1.8 million of costs related to a refurbishment project and $0.4 million of organizational and separation related costs. These exclusions increased EBITDA by $7.4 million.</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25" w:lineRule="exact"/>
        <w:rPr>
          <w:sz w:val="20"/>
          <w:szCs w:val="20"/>
          <w:color w:val="auto"/>
        </w:rPr>
      </w:pPr>
    </w:p>
    <w:p>
      <w:pPr>
        <w:ind w:right="60" w:firstLine="878"/>
        <w:spacing w:after="0" w:line="259" w:lineRule="auto"/>
        <w:rPr>
          <w:sz w:val="20"/>
          <w:szCs w:val="20"/>
          <w:color w:val="auto"/>
        </w:rPr>
      </w:pPr>
      <w:r>
        <w:rPr>
          <w:rFonts w:ascii="Arial" w:cs="Arial" w:eastAsia="Arial" w:hAnsi="Arial"/>
          <w:sz w:val="18"/>
          <w:szCs w:val="18"/>
          <w:color w:val="auto"/>
        </w:rPr>
        <w:t>The certain items for the thirty-six weeks ended September 9, 2016 consisted of $11.1 million of gains and other income not associated with our on-going core operations, $4.7 million of transaction costs associated with acquisitions, $0.3 million of profit from the operations of the property we acquired in Australia in 2015 that we sold in the second quarter of 2016, and a $0.3 million reversal of litigation settlement expense. These exclusions decreased EBITDA by $7.0 million.</w:t>
      </w:r>
    </w:p>
    <w:p>
      <w:pPr>
        <w:spacing w:after="0" w:line="187" w:lineRule="exact"/>
        <w:rPr>
          <w:sz w:val="20"/>
          <w:szCs w:val="20"/>
          <w:color w:val="auto"/>
        </w:rPr>
      </w:pPr>
    </w:p>
    <w:p>
      <w:pPr>
        <w:ind w:right="140" w:firstLine="878"/>
        <w:spacing w:after="0" w:line="257" w:lineRule="auto"/>
        <w:rPr>
          <w:sz w:val="20"/>
          <w:szCs w:val="20"/>
          <w:color w:val="auto"/>
        </w:rPr>
      </w:pPr>
      <w:r>
        <w:rPr>
          <w:rFonts w:ascii="Arial" w:cs="Arial" w:eastAsia="Arial" w:hAnsi="Arial"/>
          <w:sz w:val="18"/>
          <w:szCs w:val="18"/>
          <w:color w:val="auto"/>
        </w:rPr>
        <w:t>The certain items for the thirty-six weeks ended September 11, 2015 consisted of $9.5 million of gains and other income not associated with our on-going core operations, $6.5 million of transaction costs associated with acquisitions, $5.9 million of development profit from the disposition of units in Macau as whole ownership residential units rather than through our Marriott Vacation Club, Asia Pacific points program, $1.8 million of costs related to a refurbishment project, $0.7 million of organizational and separation related costs and a $0.2 million reversal of litigation settlement expense. These exclusions decreased EBITDA by $6.7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229" w:lineRule="exact"/>
        <w:rPr>
          <w:sz w:val="20"/>
          <w:szCs w:val="20"/>
          <w:color w:val="auto"/>
        </w:rPr>
      </w:pPr>
    </w:p>
    <w:p>
      <w:pPr>
        <w:ind w:right="540" w:firstLine="878"/>
        <w:spacing w:after="0" w:line="277" w:lineRule="auto"/>
        <w:rPr>
          <w:sz w:val="20"/>
          <w:szCs w:val="20"/>
          <w:color w:val="auto"/>
        </w:rPr>
      </w:pPr>
      <w:r>
        <w:rPr>
          <w:rFonts w:ascii="Arial" w:cs="Arial" w:eastAsia="Arial" w:hAnsi="Arial"/>
          <w:sz w:val="18"/>
          <w:szCs w:val="18"/>
          <w:color w:val="auto"/>
        </w:rPr>
        <w:t>Our business is grouped into three reportable business segments: North America, Europe and Asia Pacific. See Footnote No. 14, “Business Segments,” to our Financial Statements for further information on our segments.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225" w:lineRule="exact"/>
        <w:rPr>
          <w:sz w:val="20"/>
          <w:szCs w:val="20"/>
          <w:color w:val="auto"/>
        </w:rPr>
      </w:pPr>
    </w:p>
    <w:p>
      <w:pPr>
        <w:ind w:right="420" w:firstLine="878"/>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North America segment for the twelve and thirty-six weeks ended September 9, 2016, compared to the twelve and thirty-six weeks ended September 11,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Thirty-Six Weeks Ended</w:t>
            </w:r>
          </w:p>
        </w:tc>
      </w:tr>
      <w:tr>
        <w:trPr>
          <w:trHeight w:val="264"/>
        </w:trPr>
        <w:tc>
          <w:tcPr>
            <w:tcW w:w="58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9, 2016</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11, 2015</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9, 2016</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11, 2015</w:t>
            </w: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Sale of vacation ownership products</w:t>
            </w: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116,184</w:t>
            </w:r>
          </w:p>
        </w:tc>
        <w:tc>
          <w:tcPr>
            <w:tcW w:w="100" w:type="dxa"/>
            <w:vAlign w:val="bottom"/>
          </w:tcPr>
          <w:p>
            <w:pPr>
              <w:spacing w:after="0"/>
              <w:rPr>
                <w:sz w:val="21"/>
                <w:szCs w:val="21"/>
                <w:color w:val="auto"/>
              </w:rPr>
            </w:pPr>
          </w:p>
        </w:tc>
        <w:tc>
          <w:tcPr>
            <w:tcW w:w="660" w:type="dxa"/>
            <w:vAlign w:val="bottom"/>
          </w:tcPr>
          <w:p>
            <w:pPr>
              <w:jc w:val="right"/>
              <w:ind w:right="45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w w:val="89"/>
              </w:rPr>
              <w:t>122,908</w:t>
            </w:r>
          </w:p>
        </w:tc>
        <w:tc>
          <w:tcPr>
            <w:tcW w:w="120" w:type="dxa"/>
            <w:vAlign w:val="bottom"/>
          </w:tcPr>
          <w:p>
            <w:pPr>
              <w:spacing w:after="0"/>
              <w:rPr>
                <w:sz w:val="21"/>
                <w:szCs w:val="21"/>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373,341</w:t>
            </w:r>
          </w:p>
        </w:tc>
        <w:tc>
          <w:tcPr>
            <w:tcW w:w="120" w:type="dxa"/>
            <w:vAlign w:val="bottom"/>
          </w:tcPr>
          <w:p>
            <w:pPr>
              <w:spacing w:after="0"/>
              <w:rPr>
                <w:sz w:val="21"/>
                <w:szCs w:val="21"/>
                <w:color w:val="auto"/>
              </w:rPr>
            </w:pP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406,784</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67,599</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64,437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198,621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189,206</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Financing</w:t>
            </w:r>
          </w:p>
        </w:tc>
        <w:tc>
          <w:tcPr>
            <w:tcW w:w="3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27,438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26,399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81,699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79,809</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63,387</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65,135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201,524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202,606</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Cost reimbursements</w:t>
            </w:r>
          </w:p>
        </w:tc>
        <w:tc>
          <w:tcPr>
            <w:tcW w:w="3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88,834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83,561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278,190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260,452</w:t>
            </w:r>
          </w:p>
        </w:tc>
      </w:tr>
      <w:tr>
        <w:trPr>
          <w:trHeight w:val="27"/>
        </w:trPr>
        <w:tc>
          <w:tcPr>
            <w:tcW w:w="5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REVENUES</w:t>
            </w: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363,442</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362,440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1,133,375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1,138,857</w:t>
            </w:r>
          </w:p>
        </w:tc>
      </w:tr>
      <w:tr>
        <w:trPr>
          <w:trHeight w:val="223"/>
        </w:trPr>
        <w:tc>
          <w:tcPr>
            <w:tcW w:w="582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r>
      <w:tr>
        <w:trPr>
          <w:trHeight w:val="41"/>
        </w:trPr>
        <w:tc>
          <w:tcPr>
            <w:tcW w:w="58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vacation ownership products</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30,134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89,876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117,071</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Marketing and sales</w:t>
            </w:r>
          </w:p>
        </w:tc>
        <w:tc>
          <w:tcPr>
            <w:tcW w:w="3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67,662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62,652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202,888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199,506</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38,831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39,175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116,320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115,244</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Rental</w:t>
            </w:r>
          </w:p>
        </w:tc>
        <w:tc>
          <w:tcPr>
            <w:tcW w:w="3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53,131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53,742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164,680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163,481</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Organizational and separation related</w:t>
            </w:r>
          </w:p>
        </w:tc>
        <w:tc>
          <w:tcPr>
            <w:tcW w:w="36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313</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Royalty fee</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5,174</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Cost reimbursements</w:t>
            </w:r>
          </w:p>
        </w:tc>
        <w:tc>
          <w:tcPr>
            <w:tcW w:w="36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88,834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83,561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278,190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260,452</w:t>
            </w:r>
          </w:p>
        </w:tc>
      </w:tr>
      <w:tr>
        <w:trPr>
          <w:trHeight w:val="27"/>
        </w:trPr>
        <w:tc>
          <w:tcPr>
            <w:tcW w:w="58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EXPENSES</w:t>
            </w: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281,405</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277,153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858,404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860,871</w:t>
            </w:r>
          </w:p>
        </w:tc>
      </w:tr>
      <w:tr>
        <w:trPr>
          <w:trHeight w:val="237"/>
        </w:trPr>
        <w:tc>
          <w:tcPr>
            <w:tcW w:w="5820" w:type="dxa"/>
            <w:vAlign w:val="bottom"/>
          </w:tcPr>
          <w:p>
            <w:pPr>
              <w:ind w:left="380"/>
              <w:spacing w:after="0"/>
              <w:rPr>
                <w:sz w:val="20"/>
                <w:szCs w:val="20"/>
                <w:color w:val="auto"/>
              </w:rPr>
            </w:pPr>
            <w:r>
              <w:rPr>
                <w:rFonts w:ascii="Arial" w:cs="Arial" w:eastAsia="Arial" w:hAnsi="Arial"/>
                <w:sz w:val="18"/>
                <w:szCs w:val="18"/>
                <w:color w:val="auto"/>
              </w:rPr>
              <w:t>(Losses) gains and other (expense) income</w:t>
            </w:r>
          </w:p>
        </w:tc>
        <w:tc>
          <w:tcPr>
            <w:tcW w:w="3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12,297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9,534</w:t>
            </w:r>
          </w:p>
        </w:tc>
      </w:tr>
      <w:tr>
        <w:trPr>
          <w:trHeight w:val="27"/>
        </w:trPr>
        <w:tc>
          <w:tcPr>
            <w:tcW w:w="5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w:t>
            </w:r>
          </w:p>
        </w:tc>
      </w:tr>
      <w:tr>
        <w:trPr>
          <w:trHeight w:val="237"/>
        </w:trPr>
        <w:tc>
          <w:tcPr>
            <w:tcW w:w="5820" w:type="dxa"/>
            <w:vAlign w:val="bottom"/>
          </w:tcPr>
          <w:p>
            <w:pPr>
              <w:ind w:left="720"/>
              <w:spacing w:after="0"/>
              <w:rPr>
                <w:sz w:val="20"/>
                <w:szCs w:val="20"/>
                <w:color w:val="auto"/>
              </w:rPr>
            </w:pPr>
            <w:r>
              <w:rPr>
                <w:rFonts w:ascii="Arial" w:cs="Arial" w:eastAsia="Arial" w:hAnsi="Arial"/>
                <w:sz w:val="18"/>
                <w:szCs w:val="18"/>
                <w:b w:val="1"/>
                <w:bCs w:val="1"/>
                <w:color w:val="auto"/>
              </w:rPr>
              <w:t>SEGMENT FINANCIAL RESULTS</w:t>
            </w: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81,955</w:t>
            </w:r>
          </w:p>
        </w:tc>
        <w:tc>
          <w:tcPr>
            <w:tcW w:w="100" w:type="dxa"/>
            <w:vAlign w:val="bottom"/>
          </w:tcPr>
          <w:p>
            <w:pPr>
              <w:spacing w:after="0"/>
              <w:rPr>
                <w:sz w:val="20"/>
                <w:szCs w:val="20"/>
                <w:color w:val="auto"/>
              </w:rPr>
            </w:pPr>
          </w:p>
        </w:tc>
        <w:tc>
          <w:tcPr>
            <w:tcW w:w="660" w:type="dxa"/>
            <w:vAlign w:val="bottom"/>
            <w:tcBorders>
              <w:top w:val="single" w:sz="8" w:color="auto"/>
            </w:tcBorders>
          </w:tcPr>
          <w:p>
            <w:pPr>
              <w:jc w:val="right"/>
              <w:ind w:right="456"/>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85,337</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283,200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287,676</w:t>
            </w:r>
          </w:p>
        </w:tc>
      </w:tr>
      <w:tr>
        <w:trPr>
          <w:trHeight w:val="27"/>
        </w:trPr>
        <w:tc>
          <w:tcPr>
            <w:tcW w:w="58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8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9, 2016</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11, 2015</w:t>
            </w:r>
          </w:p>
        </w:tc>
        <w:tc>
          <w:tcPr>
            <w:tcW w:w="240" w:type="dxa"/>
            <w:vAlign w:val="bottom"/>
          </w:tcPr>
          <w:p>
            <w:pPr>
              <w:spacing w:after="0"/>
              <w:rPr>
                <w:sz w:val="22"/>
                <w:szCs w:val="22"/>
                <w:color w:val="auto"/>
              </w:rPr>
            </w:pPr>
          </w:p>
        </w:tc>
        <w:tc>
          <w:tcPr>
            <w:tcW w:w="1000" w:type="dxa"/>
            <w:vAlign w:val="bottom"/>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Vacation ownership</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150,964</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142,787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8,177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6%</w:t>
            </w:r>
          </w:p>
        </w:tc>
      </w:tr>
      <w:tr>
        <w:trPr>
          <w:trHeight w:val="27"/>
        </w:trPr>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150,964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142,787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8,177</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6%</w:t>
            </w: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878"/>
        <w:spacing w:after="0" w:line="264" w:lineRule="auto"/>
        <w:rPr>
          <w:sz w:val="20"/>
          <w:szCs w:val="20"/>
          <w:color w:val="auto"/>
        </w:rPr>
      </w:pPr>
      <w:r>
        <w:rPr>
          <w:rFonts w:ascii="Arial" w:cs="Arial" w:eastAsia="Arial" w:hAnsi="Arial"/>
          <w:sz w:val="18"/>
          <w:szCs w:val="18"/>
          <w:color w:val="auto"/>
        </w:rPr>
        <w:t>The increase in vacation ownership contract sales reflected an $8.6 million increase in sales at on-site sales locations and a $0.4 million increase in sales at off-site (non tour-based) sales locations, partially offset by a $0.8 million decrease in fractional sales as we continue to sell through remaining luxury inventory.</w:t>
      </w:r>
    </w:p>
    <w:p>
      <w:pPr>
        <w:spacing w:after="0" w:line="181" w:lineRule="exact"/>
        <w:rPr>
          <w:sz w:val="20"/>
          <w:szCs w:val="20"/>
          <w:color w:val="auto"/>
        </w:rPr>
      </w:pPr>
    </w:p>
    <w:p>
      <w:pPr>
        <w:ind w:right="140" w:firstLine="878"/>
        <w:spacing w:after="0" w:line="272" w:lineRule="auto"/>
        <w:rPr>
          <w:sz w:val="20"/>
          <w:szCs w:val="20"/>
          <w:color w:val="auto"/>
        </w:rPr>
      </w:pPr>
      <w:r>
        <w:rPr>
          <w:rFonts w:ascii="Arial" w:cs="Arial" w:eastAsia="Arial" w:hAnsi="Arial"/>
          <w:sz w:val="17"/>
          <w:szCs w:val="17"/>
          <w:color w:val="auto"/>
        </w:rPr>
        <w:t>The increase in sales at on-site locations was driven by a 9.1 percent increase in the number of tours, partially offset by a 1.7 percent decrease in VPG to $3,371 in the twelve weeks ended September 9, 2016 from $3,428 in the prior year comparable period. The increase in the number of tours was driven by increases in both first time buyer and existing owner tours and was due to the new sales locations that were opened in the current period as well as programs that were implemented over the past two years to generate additional tours. Sales to Latin America customers at our on-site locations were down nearly $1.0 million due to the continued impact of the strong U.S. dollar. The decrease in VPG resulted from a 0.8 percentage point decrease in closing efficiency, partially offset by an increase in the number of points sold per contract and higher pricing. The sales at off-site locations included higher sales in Latin America, which were driven by targeted promotions in the current</w:t>
      </w:r>
    </w:p>
    <w:p>
      <w:pPr>
        <w:sectPr>
          <w:pgSz w:w="11900" w:h="16838" w:orient="portrait"/>
          <w:cols w:equalWidth="0" w:num="1">
            <w:col w:w="11420"/>
          </w:cols>
          <w:pgMar w:left="240" w:top="125" w:right="239" w:bottom="1440" w:gutter="0" w:footer="0" w:header="0"/>
        </w:sect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125"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period and the result of the negative impact the strength of the U.S. dollar had on our results in the third quarter of 2015 as compared to the current period.</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9, 2016</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11, 2015</w:t>
            </w:r>
          </w:p>
        </w:tc>
        <w:tc>
          <w:tcPr>
            <w:tcW w:w="240" w:type="dxa"/>
            <w:vAlign w:val="bottom"/>
          </w:tcPr>
          <w:p>
            <w:pPr>
              <w:spacing w:after="0"/>
              <w:rPr>
                <w:sz w:val="22"/>
                <w:szCs w:val="22"/>
                <w:color w:val="auto"/>
              </w:rPr>
            </w:pPr>
          </w:p>
        </w:tc>
        <w:tc>
          <w:tcPr>
            <w:tcW w:w="1000" w:type="dxa"/>
            <w:vAlign w:val="bottom"/>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Vacation ownership</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Pr>
          <w:p>
            <w:pPr>
              <w:ind w:left="220"/>
              <w:spacing w:after="0"/>
              <w:rPr>
                <w:sz w:val="20"/>
                <w:szCs w:val="20"/>
                <w:color w:val="auto"/>
              </w:rPr>
            </w:pPr>
            <w:r>
              <w:rPr>
                <w:rFonts w:ascii="Arial" w:cs="Arial" w:eastAsia="Arial" w:hAnsi="Arial"/>
                <w:sz w:val="18"/>
                <w:szCs w:val="18"/>
                <w:color w:val="auto"/>
              </w:rPr>
              <w:t>436,214</w:t>
            </w:r>
          </w:p>
        </w:tc>
        <w:tc>
          <w:tcPr>
            <w:tcW w:w="100" w:type="dxa"/>
            <w:vAlign w:val="bottom"/>
          </w:tcPr>
          <w:p>
            <w:pPr>
              <w:spacing w:after="0"/>
              <w:rPr>
                <w:sz w:val="21"/>
                <w:szCs w:val="21"/>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449,385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(13,171)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w:t>
            </w:r>
          </w:p>
        </w:tc>
      </w:tr>
      <w:tr>
        <w:trPr>
          <w:trHeight w:val="27"/>
        </w:trPr>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436,214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449,385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878"/>
        <w:spacing w:after="0" w:line="342" w:lineRule="auto"/>
        <w:rPr>
          <w:sz w:val="20"/>
          <w:szCs w:val="20"/>
          <w:color w:val="auto"/>
        </w:rPr>
      </w:pPr>
      <w:r>
        <w:rPr>
          <w:rFonts w:ascii="Arial" w:cs="Arial" w:eastAsia="Arial" w:hAnsi="Arial"/>
          <w:sz w:val="16"/>
          <w:szCs w:val="16"/>
          <w:color w:val="auto"/>
        </w:rPr>
        <w:t>The decrease in vacation ownership contract sales reflected a $3.9 million decrease in sales at on-site sales locations, a $6.4 million decrease in sales at off-site (non tour-based) sales locations and a $2.9 million decrease in fractional sales as we continue to sell through remaining luxury inventory.</w:t>
      </w:r>
    </w:p>
    <w:p>
      <w:pPr>
        <w:spacing w:after="0" w:line="124" w:lineRule="exact"/>
        <w:rPr>
          <w:sz w:val="20"/>
          <w:szCs w:val="20"/>
          <w:color w:val="auto"/>
        </w:rPr>
      </w:pPr>
    </w:p>
    <w:p>
      <w:pPr>
        <w:ind w:firstLine="878"/>
        <w:spacing w:after="0" w:line="269" w:lineRule="auto"/>
        <w:rPr>
          <w:sz w:val="20"/>
          <w:szCs w:val="20"/>
          <w:color w:val="auto"/>
        </w:rPr>
      </w:pPr>
      <w:r>
        <w:rPr>
          <w:rFonts w:ascii="Arial" w:cs="Arial" w:eastAsia="Arial" w:hAnsi="Arial"/>
          <w:sz w:val="17"/>
          <w:szCs w:val="17"/>
          <w:color w:val="auto"/>
        </w:rPr>
        <w:t>The decrease in sales at on-site locations was primarily driven by an increase in sales in the prior year comparable period as a result of enhancements during that period to our owner recognition levels that created a near-term incentive for existing owners to purchase additional points at that time. The decrease in sales at on-site sales locations also reflected a 1.8 percent increase in the number of tours and a 2.1 percent decrease in VPG to $3,414 in the thirty-six weeks ended September 9, 2016 from $3,489 in the prior year comparable period. The decrease in VPG resulted from a 1.4 percentage point decrease in closing efficiency, partially offset by an increase in the number of points sold per contract due to a shift in the mix of sales towards more first time buyers who, on average, purchase more points per contract than existing owners, and higher pricing. The increase in the number of tours was driven by an increase in first time buyer tours due to the new sales locations that were opened in the latter part of the current period and programs that were implemented over the past two years to generate additional tours, partially offset by fewer existing owner tours due to the prior year enhancements to our owner recognition levels that created a near-term incentive for existing owners to take a tour in the first half of the prior year comparable period. The sales at off-site locations were negatively impacted by the strength of the U.S. dollar, primarily in Latin America, which is a trend that has impacted the comparison to prior year results to date in 2016, as well as lower sales to existing owners due to the enhancements in the owner recognition levels that drove higher sales in the first half of 2015.</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150,964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8,177</w:t>
            </w:r>
          </w:p>
        </w:tc>
        <w:tc>
          <w:tcPr>
            <w:tcW w:w="1480" w:type="dxa"/>
            <w:vAlign w:val="bottom"/>
            <w:tcBorders>
              <w:bottom w:val="single" w:sz="8" w:color="CCEEFF"/>
            </w:tcBorders>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Reportability</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Sales reserve</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(6,022)</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(6,004)</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(4,129)</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116,184</w:t>
            </w:r>
          </w:p>
        </w:tc>
        <w:tc>
          <w:tcPr>
            <w:tcW w:w="100" w:type="dxa"/>
            <w:vAlign w:val="bottom"/>
          </w:tcPr>
          <w:p>
            <w:pPr>
              <w:spacing w:after="0"/>
              <w:rPr>
                <w:sz w:val="22"/>
                <w:szCs w:val="22"/>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122,908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(6,724)</w:t>
            </w:r>
          </w:p>
        </w:tc>
        <w:tc>
          <w:tcPr>
            <w:tcW w:w="1480" w:type="dxa"/>
            <w:vAlign w:val="bottom"/>
            <w:gridSpan w:val="2"/>
          </w:tcPr>
          <w:p>
            <w:pPr>
              <w:jc w:val="right"/>
              <w:ind w:right="428"/>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9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203" w:lineRule="exact"/>
        <w:rPr>
          <w:sz w:val="20"/>
          <w:szCs w:val="20"/>
          <w:color w:val="auto"/>
        </w:rPr>
      </w:pPr>
    </w:p>
    <w:p>
      <w:pPr>
        <w:ind w:right="40" w:firstLine="878"/>
        <w:spacing w:after="0" w:line="276" w:lineRule="auto"/>
        <w:rPr>
          <w:sz w:val="20"/>
          <w:szCs w:val="20"/>
          <w:color w:val="auto"/>
        </w:rPr>
      </w:pPr>
      <w:r>
        <w:rPr>
          <w:rFonts w:ascii="Arial" w:cs="Arial" w:eastAsia="Arial" w:hAnsi="Arial"/>
          <w:sz w:val="17"/>
          <w:szCs w:val="17"/>
          <w:color w:val="auto"/>
        </w:rPr>
        <w:t>Revenue reportability had a $16.9 million negative impact in the current period, compared to a $9.8 million negative impact in the prior year comparable period. The unfavorable impact compared to the prior year comparable period was due to an increase in the amount of sales that remained in the rescission period as of the end of the current period as compared to the prior year comparable period as a result of the higher contract sales near the end of the current period and fewer sales meeting the down payment requirement for revenue reportability in the current period as a result of sales incentives and a 9.7 percentage point increase in financing propensity in the current period compared to the prior year comparable period.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200" w:firstLine="878"/>
        <w:spacing w:after="0" w:line="277" w:lineRule="auto"/>
        <w:rPr>
          <w:sz w:val="20"/>
          <w:szCs w:val="20"/>
          <w:color w:val="auto"/>
        </w:rPr>
      </w:pPr>
      <w:r>
        <w:rPr>
          <w:rFonts w:ascii="Arial" w:cs="Arial" w:eastAsia="Arial" w:hAnsi="Arial"/>
          <w:sz w:val="18"/>
          <w:szCs w:val="18"/>
          <w:color w:val="auto"/>
        </w:rPr>
        <w:t>The higher sales reserve reflected the increases in financing propensity (approximately half of the increase) and Latin American default activity (approximately half of the increase).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increase in other adjustments was primarily driven by an increase in the utilization of plus points as a sales incentive in the current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revenues are deferred and recognized as rental revenue when those points are redeemed or expire.</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436,214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449,385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Reportability</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Sales reserve</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(26,960)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(17,886)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(9,074)</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(9,567)</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373,341</w:t>
            </w:r>
          </w:p>
        </w:tc>
        <w:tc>
          <w:tcPr>
            <w:tcW w:w="100" w:type="dxa"/>
            <w:vAlign w:val="bottom"/>
          </w:tcPr>
          <w:p>
            <w:pPr>
              <w:spacing w:after="0"/>
              <w:rPr>
                <w:sz w:val="22"/>
                <w:szCs w:val="22"/>
                <w:color w:val="auto"/>
              </w:rPr>
            </w:pPr>
          </w:p>
        </w:tc>
        <w:tc>
          <w:tcPr>
            <w:tcW w:w="3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406,784</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(33,443)</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(8%)</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9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27"/>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203" w:lineRule="exact"/>
        <w:rPr>
          <w:sz w:val="20"/>
          <w:szCs w:val="20"/>
          <w:color w:val="auto"/>
        </w:rPr>
      </w:pPr>
    </w:p>
    <w:p>
      <w:pPr>
        <w:ind w:right="40" w:firstLine="878"/>
        <w:spacing w:after="0" w:line="273" w:lineRule="auto"/>
        <w:rPr>
          <w:sz w:val="20"/>
          <w:szCs w:val="20"/>
          <w:color w:val="auto"/>
        </w:rPr>
      </w:pPr>
      <w:r>
        <w:rPr>
          <w:rFonts w:ascii="Arial" w:cs="Arial" w:eastAsia="Arial" w:hAnsi="Arial"/>
          <w:sz w:val="17"/>
          <w:szCs w:val="17"/>
          <w:color w:val="auto"/>
        </w:rPr>
        <w:t>Revenue reportability had a $13.0 million negative impact in the current period, compared to an $11.4 million negative impact in the prior year comparable period. The unfavorable impact compared to the prior year comparable period was due to an increase in the amount of sales that remained in the rescission period as of the end of the current period as compared to the prior year comparable period as a result of the higher contract sales near the end of the current period, partially offset by an increase in the amount of sales meeting the down payment requirement for revenue reportability prior to the end of the current period. The increase in the amount of sales meeting the down payment requirement for revenue reportability was due to an increase in down payment amounts in the first half of 2016 compared to the prior year comparable period.</w:t>
      </w:r>
    </w:p>
    <w:p>
      <w:pPr>
        <w:spacing w:after="0" w:line="178" w:lineRule="exact"/>
        <w:rPr>
          <w:sz w:val="20"/>
          <w:szCs w:val="20"/>
          <w:color w:val="auto"/>
        </w:rPr>
      </w:pPr>
    </w:p>
    <w:p>
      <w:pPr>
        <w:ind w:right="200" w:firstLine="878"/>
        <w:spacing w:after="0" w:line="277" w:lineRule="auto"/>
        <w:rPr>
          <w:sz w:val="20"/>
          <w:szCs w:val="20"/>
          <w:color w:val="auto"/>
        </w:rPr>
      </w:pPr>
      <w:r>
        <w:rPr>
          <w:rFonts w:ascii="Arial" w:cs="Arial" w:eastAsia="Arial" w:hAnsi="Arial"/>
          <w:sz w:val="18"/>
          <w:szCs w:val="18"/>
          <w:color w:val="auto"/>
        </w:rPr>
        <w:t>The higher sales reserve reflected the increases in financing propensity (approximately half of the increase) and Latin American default activity (approximately half of the increase).</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increase in other adjustments was primarily driven by an increase in the utilization of plus points as a sales incentive in the current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revenues are deferred and recognized as rental revenue when those points are redeemed or expire.</w:t>
      </w:r>
    </w:p>
    <w:p>
      <w:pPr>
        <w:sectPr>
          <w:pgSz w:w="11900" w:h="16838" w:orient="portrait"/>
          <w:cols w:equalWidth="0" w:num="1">
            <w:col w:w="11420"/>
          </w:cols>
          <w:pgMar w:left="240" w:top="125" w:right="23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Sale of vacation ownership products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vacation ownership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Marketing and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margin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margin percentage</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43"/>
        </w:trPr>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116,184</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122,908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(6,724)</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(5%)</w:t>
            </w:r>
          </w:p>
        </w:tc>
      </w:tr>
      <w:tr>
        <w:trPr>
          <w:trHeight w:val="270"/>
        </w:trPr>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(30,134)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(35,736)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5,602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16%</w:t>
            </w:r>
          </w:p>
        </w:tc>
      </w:tr>
      <w:tr>
        <w:trPr>
          <w:trHeight w:val="270"/>
        </w:trPr>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(67,662)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(62,652)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(5,010)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(8%)</w:t>
            </w:r>
          </w:p>
        </w:tc>
      </w:tr>
      <w:tr>
        <w:trPr>
          <w:trHeight w:val="27"/>
        </w:trPr>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18,388</w:t>
            </w:r>
          </w:p>
        </w:tc>
        <w:tc>
          <w:tcPr>
            <w:tcW w:w="100" w:type="dxa"/>
            <w:vAlign w:val="bottom"/>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24,520</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(25%)</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260" w:type="dxa"/>
            <w:vAlign w:val="bottom"/>
          </w:tcPr>
          <w:p>
            <w:pPr>
              <w:spacing w:after="0"/>
              <w:rPr>
                <w:sz w:val="20"/>
                <w:szCs w:val="20"/>
                <w:color w:val="auto"/>
              </w:rPr>
            </w:pPr>
          </w:p>
        </w:tc>
        <w:tc>
          <w:tcPr>
            <w:tcW w:w="1000" w:type="dxa"/>
            <w:vAlign w:val="bottom"/>
          </w:tcPr>
          <w:p>
            <w:pPr>
              <w:jc w:val="right"/>
              <w:ind w:right="313"/>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(4.2 pts)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-882650</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-530860</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-170815</wp:posOffset>
            </wp:positionV>
            <wp:extent cx="7246620" cy="1885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5280" w:space="680"/>
            <w:col w:w="5460"/>
          </w:cols>
          <w:pgMar w:left="240" w:top="125" w:right="239" w:bottom="1440" w:gutter="0" w:footer="0" w:header="0"/>
          <w:type w:val="continuous"/>
        </w:sectPr>
      </w:pPr>
    </w:p>
    <w:p>
      <w:pPr>
        <w:ind w:left="1800" w:hanging="333"/>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$4.7 million of lower revenue reportability compared to the prior year comparable period;</w:t>
      </w:r>
    </w:p>
    <w:p>
      <w:pPr>
        <w:spacing w:after="0" w:line="117" w:lineRule="exact"/>
        <w:rPr>
          <w:rFonts w:ascii="Arial" w:cs="Arial" w:eastAsia="Arial" w:hAnsi="Arial"/>
          <w:sz w:val="18"/>
          <w:szCs w:val="18"/>
          <w:color w:val="auto"/>
        </w:rPr>
      </w:pPr>
    </w:p>
    <w:p>
      <w:pPr>
        <w:ind w:left="1800" w:right="400" w:hanging="333"/>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$3.9 million of higher sales reserve activity in the current period due to the increase in financing propensity and Latin American default activity;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800" w:hanging="333"/>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$2.3 million of pre-opening and startup expenses in support of new sales locations; and</w:t>
      </w:r>
    </w:p>
    <w:p>
      <w:pPr>
        <w:spacing w:after="0" w:line="117" w:lineRule="exact"/>
        <w:rPr>
          <w:rFonts w:ascii="Arial" w:cs="Arial" w:eastAsia="Arial" w:hAnsi="Arial"/>
          <w:sz w:val="18"/>
          <w:szCs w:val="18"/>
          <w:color w:val="auto"/>
        </w:rPr>
      </w:pPr>
    </w:p>
    <w:p>
      <w:pPr>
        <w:ind w:left="1800" w:right="160" w:hanging="333"/>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$1.3 million of additional deferred revenue in the current period due to higher usage of plus points as a sales incentive; this revenue will be recognized as rental revenue when the plus points are redeemed or expire.</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These decreases were partially offset by the following:</w:t>
      </w:r>
    </w:p>
    <w:p>
      <w:pPr>
        <w:spacing w:after="0" w:line="117" w:lineRule="exact"/>
        <w:rPr>
          <w:sz w:val="20"/>
          <w:szCs w:val="20"/>
          <w:color w:val="auto"/>
        </w:rPr>
      </w:pPr>
    </w:p>
    <w:p>
      <w:pPr>
        <w:ind w:left="1800" w:hanging="333"/>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$3.4 million from a favorable mix of lower cost real estate inventory being sold;</w:t>
      </w:r>
    </w:p>
    <w:p>
      <w:pPr>
        <w:spacing w:after="0" w:line="117" w:lineRule="exact"/>
        <w:rPr>
          <w:rFonts w:ascii="Arial" w:cs="Arial" w:eastAsia="Arial" w:hAnsi="Arial"/>
          <w:sz w:val="18"/>
          <w:szCs w:val="18"/>
          <w:color w:val="auto"/>
        </w:rPr>
      </w:pPr>
    </w:p>
    <w:p>
      <w:pPr>
        <w:ind w:left="1800" w:right="420" w:hanging="333"/>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$1.9 million of higher vacation ownership contract sales volume net of direct variable expenses (i.e., cost of vacation ownership products and marketing and sales); and</w:t>
      </w:r>
    </w:p>
    <w:p>
      <w:pPr>
        <w:spacing w:after="0" w:line="62" w:lineRule="exact"/>
        <w:rPr>
          <w:rFonts w:ascii="Arial" w:cs="Arial" w:eastAsia="Arial" w:hAnsi="Arial"/>
          <w:sz w:val="18"/>
          <w:szCs w:val="18"/>
          <w:color w:val="auto"/>
        </w:rPr>
      </w:pPr>
    </w:p>
    <w:p>
      <w:pPr>
        <w:ind w:left="1800" w:right="300" w:hanging="333"/>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$0.8 million from higher favorable product cost true-ups ($1.0 million in the twelve weeks ended September 9, 2016 compared to $0.2 million in the prior year comparable period).</w:t>
      </w:r>
    </w:p>
    <w:p>
      <w:pPr>
        <w:spacing w:after="0" w:line="170" w:lineRule="exact"/>
        <w:rPr>
          <w:sz w:val="20"/>
          <w:szCs w:val="20"/>
          <w:color w:val="auto"/>
        </w:rPr>
      </w:pPr>
    </w:p>
    <w:p>
      <w:pPr>
        <w:ind w:right="20" w:firstLine="878"/>
        <w:spacing w:after="0" w:line="255" w:lineRule="auto"/>
        <w:rPr>
          <w:sz w:val="20"/>
          <w:szCs w:val="20"/>
          <w:color w:val="auto"/>
        </w:rPr>
      </w:pPr>
      <w:r>
        <w:rPr>
          <w:rFonts w:ascii="Arial" w:cs="Arial" w:eastAsia="Arial" w:hAnsi="Arial"/>
          <w:sz w:val="18"/>
          <w:szCs w:val="18"/>
          <w:color w:val="auto"/>
        </w:rPr>
        <w:t>The 4.2 percentage point decline in the development margin percentage reflected a 3.1 percentage point decrease due to the unfavorable revenue reportability year-over-year, a 2.3 percentage point decline due to the higher sales reserve rate, a 1.5 percentage point decline due to the higher marketing and sales spending (including a 1.9 percentage point impact from the pre-opening and startup expenses), and a 0.8 percentage point decline due to the higher usage of plus points as a sales incentive. These decreases were partially offset by a 2.9 percentage point increase due to a favorable mix of lower cost vacation ownership real estate inventory being sold in the twelve weeks ended September 9, 2016 and a 0.6 percentage point increase due to the higher favorable product cost true-up activity year-over-year.</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Sale of vacation ownership products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vacation ownership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Marketing and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margin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margin percentage</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43"/>
        </w:trPr>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373,341</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406,784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(33,443)</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(8%)</w:t>
            </w:r>
          </w:p>
        </w:tc>
      </w:tr>
      <w:tr>
        <w:trPr>
          <w:trHeight w:val="270"/>
        </w:trPr>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(89,876)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(117,071)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27,195</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23%</w:t>
            </w:r>
          </w:p>
        </w:tc>
      </w:tr>
      <w:tr>
        <w:trPr>
          <w:trHeight w:val="270"/>
        </w:trPr>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(202,888)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(199,506)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(2%)</w:t>
            </w:r>
          </w:p>
        </w:tc>
      </w:tr>
      <w:tr>
        <w:trPr>
          <w:trHeight w:val="27"/>
        </w:trPr>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7"/>
        </w:trPr>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80,577</w:t>
            </w:r>
          </w:p>
        </w:tc>
        <w:tc>
          <w:tcPr>
            <w:tcW w:w="100" w:type="dxa"/>
            <w:vAlign w:val="bottom"/>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90,207</w:t>
            </w:r>
          </w:p>
        </w:tc>
        <w:tc>
          <w:tcPr>
            <w:tcW w:w="12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(11%)</w:t>
            </w: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260" w:type="dxa"/>
            <w:vAlign w:val="bottom"/>
          </w:tcPr>
          <w:p>
            <w:pPr>
              <w:spacing w:after="0"/>
              <w:rPr>
                <w:sz w:val="20"/>
                <w:szCs w:val="20"/>
                <w:color w:val="auto"/>
              </w:rPr>
            </w:pPr>
          </w:p>
        </w:tc>
        <w:tc>
          <w:tcPr>
            <w:tcW w:w="1000" w:type="dxa"/>
            <w:vAlign w:val="bottom"/>
          </w:tcPr>
          <w:p>
            <w:pPr>
              <w:jc w:val="right"/>
              <w:ind w:right="313"/>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(0.6 pts)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-3778885</wp:posOffset>
            </wp:positionH>
            <wp:positionV relativeFrom="paragraph">
              <wp:posOffset>-882650</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-530860</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-3778885</wp:posOffset>
            </wp:positionH>
            <wp:positionV relativeFrom="paragraph">
              <wp:posOffset>-170815</wp:posOffset>
            </wp:positionV>
            <wp:extent cx="724662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5280" w:space="680"/>
            <w:col w:w="5460"/>
          </w:cols>
          <w:pgMar w:left="240" w:top="125" w:right="239" w:bottom="1440" w:gutter="0" w:footer="0" w:header="0"/>
          <w:type w:val="continuous"/>
        </w:sectPr>
      </w:pPr>
    </w:p>
    <w:p>
      <w:pPr>
        <w:ind w:left="1800" w:right="260" w:hanging="333"/>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$6.9 million from lower vacation ownership contract sales volume net of direct variable expenses (i.e., cost of vacation ownership products and marketing and sales);</w:t>
      </w:r>
    </w:p>
    <w:p>
      <w:pPr>
        <w:spacing w:after="0" w:line="62" w:lineRule="exact"/>
        <w:rPr>
          <w:rFonts w:ascii="Arial" w:cs="Arial" w:eastAsia="Arial" w:hAnsi="Arial"/>
          <w:sz w:val="18"/>
          <w:szCs w:val="18"/>
          <w:color w:val="auto"/>
        </w:rPr>
      </w:pPr>
    </w:p>
    <w:p>
      <w:pPr>
        <w:ind w:left="1800" w:right="160" w:hanging="333"/>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$6.9 million of additional deferred revenue in the current period due to higher usage of plus points as a sales incentive; this revenue will be recognized as rental revenue when the plus points are redeemed or expire;</w:t>
      </w:r>
    </w:p>
    <w:p>
      <w:pPr>
        <w:spacing w:after="0" w:line="62" w:lineRule="exact"/>
        <w:rPr>
          <w:rFonts w:ascii="Arial" w:cs="Arial" w:eastAsia="Arial" w:hAnsi="Arial"/>
          <w:sz w:val="18"/>
          <w:szCs w:val="18"/>
          <w:color w:val="auto"/>
        </w:rPr>
      </w:pPr>
    </w:p>
    <w:p>
      <w:pPr>
        <w:ind w:left="1800" w:right="400" w:hanging="333"/>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$6.7 million of higher sales reserve activity in the current period due to the increase in financing propensity and Latin American default activity;</w:t>
      </w:r>
    </w:p>
    <w:p>
      <w:pPr>
        <w:spacing w:after="0" w:line="62" w:lineRule="exact"/>
        <w:rPr>
          <w:rFonts w:ascii="Arial" w:cs="Arial" w:eastAsia="Arial" w:hAnsi="Arial"/>
          <w:sz w:val="18"/>
          <w:szCs w:val="18"/>
          <w:color w:val="auto"/>
        </w:rPr>
      </w:pPr>
    </w:p>
    <w:p>
      <w:pPr>
        <w:ind w:left="1800" w:hanging="333"/>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$3.9 million of pre-opening and startup expenses in support of new sales locations;</w:t>
      </w:r>
    </w:p>
    <w:p>
      <w:pPr>
        <w:spacing w:after="0" w:line="117" w:lineRule="exact"/>
        <w:rPr>
          <w:rFonts w:ascii="Arial" w:cs="Arial" w:eastAsia="Arial" w:hAnsi="Arial"/>
          <w:sz w:val="18"/>
          <w:szCs w:val="18"/>
          <w:color w:val="auto"/>
        </w:rPr>
      </w:pPr>
    </w:p>
    <w:p>
      <w:pPr>
        <w:ind w:left="1800" w:right="700" w:hanging="333"/>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$2.0 million of higher marketing and sales costs due to investment in new programs to help generate future incremental tour volumes; and</w:t>
      </w:r>
    </w:p>
    <w:p>
      <w:pPr>
        <w:spacing w:after="0" w:line="62" w:lineRule="exact"/>
        <w:rPr>
          <w:rFonts w:ascii="Arial" w:cs="Arial" w:eastAsia="Arial" w:hAnsi="Arial"/>
          <w:sz w:val="18"/>
          <w:szCs w:val="18"/>
          <w:color w:val="auto"/>
        </w:rPr>
      </w:pPr>
    </w:p>
    <w:p>
      <w:pPr>
        <w:ind w:left="1800" w:hanging="333"/>
        <w:spacing w:after="0"/>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$1.3 million of lower revenue reportability compared to the prior year comparable period.</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These decreases were partially offset by the following:</w:t>
      </w:r>
    </w:p>
    <w:p>
      <w:pPr>
        <w:spacing w:after="0" w:line="117" w:lineRule="exact"/>
        <w:rPr>
          <w:sz w:val="20"/>
          <w:szCs w:val="20"/>
          <w:color w:val="auto"/>
        </w:rPr>
      </w:pPr>
    </w:p>
    <w:p>
      <w:pPr>
        <w:ind w:left="1800" w:right="20" w:hanging="333"/>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$9.7 million from higher favorable product cost true-ups ($11.4 million in the thirty-six weeks ended September 9, 2016 compared to $1.7 million in the prior year comparable period) of which $5.7 million was attributed to projected increases in development revenue primarily from a reduction in our estimate of future sales incentives and $4.0 million resulted from lower development spending for completion of common elements at multiple projects;</w:t>
      </w:r>
    </w:p>
    <w:p>
      <w:pPr>
        <w:spacing w:after="0" w:line="78" w:lineRule="exact"/>
        <w:rPr>
          <w:rFonts w:ascii="Arial" w:cs="Arial" w:eastAsia="Arial" w:hAnsi="Arial"/>
          <w:sz w:val="18"/>
          <w:szCs w:val="18"/>
          <w:color w:val="auto"/>
        </w:rPr>
      </w:pPr>
    </w:p>
    <w:p>
      <w:pPr>
        <w:ind w:left="1800" w:hanging="333"/>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$8.2 million from a favorable mix of lower cost real estate inventory being sold; and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ind w:left="1800" w:hanging="333"/>
        <w:spacing w:after="0"/>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$0.2 million of lower other development expenses.</w:t>
      </w:r>
    </w:p>
    <w:p>
      <w:pPr>
        <w:spacing w:after="0" w:line="225" w:lineRule="exact"/>
        <w:rPr>
          <w:sz w:val="20"/>
          <w:szCs w:val="20"/>
          <w:color w:val="auto"/>
        </w:rPr>
      </w:pPr>
    </w:p>
    <w:p>
      <w:pPr>
        <w:ind w:right="60" w:firstLine="878"/>
        <w:spacing w:after="0" w:line="255" w:lineRule="auto"/>
        <w:rPr>
          <w:sz w:val="20"/>
          <w:szCs w:val="20"/>
          <w:color w:val="auto"/>
        </w:rPr>
      </w:pPr>
      <w:r>
        <w:rPr>
          <w:rFonts w:ascii="Arial" w:cs="Arial" w:eastAsia="Arial" w:hAnsi="Arial"/>
          <w:sz w:val="18"/>
          <w:szCs w:val="18"/>
          <w:color w:val="auto"/>
        </w:rPr>
        <w:t>The 0.6 percentage point decrease in the development margin percentage reflected a 1.5 percentage point decline due to the higher marketing and sales spending (including a 1.0 percentage point impact from the pre-opening and startup expenses), a 1.2 percentage point decline due to the higher usage of plus points as a sales incentive, a 1.1 percentage point decline due to the higher sales reserve rate, a 0.9 percentage point decline due to an inability to leverage fixed marketing and sales costs on lower vacation ownership contract sales, and a 0.3 percentage point decrease due to the unfavorable revenue reportability year-over-year. These decreases were partially offset by a 2.4 percentage point increase due to the higher favorable product cost true-up activity year-over-year and a 2.0 percentage point increase due to a favorable mix of lower cost vacation ownership real estate inventory being sold in the thirty-six weeks ended September 9, 2016.</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900" w:type="dxa"/>
            <w:vAlign w:val="bottom"/>
          </w:tcPr>
          <w:p>
            <w:pPr>
              <w:spacing w:after="0"/>
              <w:rPr>
                <w:sz w:val="13"/>
                <w:szCs w:val="13"/>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2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11,</w:t>
            </w:r>
          </w:p>
        </w:tc>
        <w:tc>
          <w:tcPr>
            <w:tcW w:w="260" w:type="dxa"/>
            <w:vAlign w:val="bottom"/>
          </w:tcPr>
          <w:p>
            <w:pPr>
              <w:spacing w:after="0"/>
              <w:rPr>
                <w:sz w:val="13"/>
                <w:szCs w:val="13"/>
                <w:color w:val="auto"/>
              </w:rPr>
            </w:pPr>
          </w:p>
        </w:tc>
        <w:tc>
          <w:tcPr>
            <w:tcW w:w="98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3"/>
                <w:szCs w:val="13"/>
                <w:color w:val="auto"/>
              </w:rPr>
            </w:pPr>
          </w:p>
        </w:tc>
        <w:tc>
          <w:tcPr>
            <w:tcW w:w="134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59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15,926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1,323</w:t>
            </w:r>
          </w:p>
        </w:tc>
        <w:tc>
          <w:tcPr>
            <w:tcW w:w="146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Other services revenues</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50,350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48,511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1,839</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67,599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64,437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3,162</w:t>
            </w:r>
          </w:p>
        </w:tc>
        <w:tc>
          <w:tcPr>
            <w:tcW w:w="146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43"/>
        </w:trPr>
        <w:tc>
          <w:tcPr>
            <w:tcW w:w="5900" w:type="dxa"/>
            <w:vAlign w:val="bottom"/>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(38,831)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(39,175)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344</w:t>
            </w:r>
          </w:p>
        </w:tc>
        <w:tc>
          <w:tcPr>
            <w:tcW w:w="146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7"/>
        </w:trPr>
        <w:tc>
          <w:tcPr>
            <w:tcW w:w="5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28,768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25,262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3,506</w:t>
            </w:r>
          </w:p>
        </w:tc>
        <w:tc>
          <w:tcPr>
            <w:tcW w:w="146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00" w:type="dxa"/>
            <w:vAlign w:val="bottom"/>
          </w:tcPr>
          <w:p>
            <w:pPr>
              <w:ind w:left="40"/>
              <w:spacing w:after="0"/>
              <w:rPr>
                <w:sz w:val="20"/>
                <w:szCs w:val="20"/>
                <w:color w:val="auto"/>
              </w:rPr>
            </w:pPr>
            <w:r>
              <w:rPr>
                <w:rFonts w:ascii="Arial" w:cs="Arial" w:eastAsia="Arial" w:hAnsi="Arial"/>
                <w:sz w:val="18"/>
                <w:szCs w:val="18"/>
                <w:color w:val="auto"/>
              </w:rPr>
              <w:t>Resort management and other services margin percentage</w:t>
            </w:r>
          </w:p>
        </w:tc>
        <w:tc>
          <w:tcPr>
            <w:tcW w:w="260" w:type="dxa"/>
            <w:vAlign w:val="bottom"/>
          </w:tcPr>
          <w:p>
            <w:pPr>
              <w:spacing w:after="0"/>
              <w:rPr>
                <w:sz w:val="20"/>
                <w:szCs w:val="20"/>
                <w:color w:val="auto"/>
              </w:rPr>
            </w:pPr>
          </w:p>
        </w:tc>
        <w:tc>
          <w:tcPr>
            <w:tcW w:w="1000" w:type="dxa"/>
            <w:vAlign w:val="bottom"/>
          </w:tcPr>
          <w:p>
            <w:pPr>
              <w:jc w:val="right"/>
              <w:ind w:right="313"/>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314"/>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293"/>
              <w:spacing w:after="0"/>
              <w:rPr>
                <w:sz w:val="20"/>
                <w:szCs w:val="20"/>
                <w:color w:val="auto"/>
              </w:rPr>
            </w:pPr>
            <w:r>
              <w:rPr>
                <w:rFonts w:ascii="Arial" w:cs="Arial" w:eastAsia="Arial" w:hAnsi="Arial"/>
                <w:sz w:val="18"/>
                <w:szCs w:val="18"/>
                <w:color w:val="auto"/>
              </w:rPr>
              <w:t>3.4 pts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878"/>
        <w:spacing w:after="0" w:line="255" w:lineRule="auto"/>
        <w:rPr>
          <w:sz w:val="20"/>
          <w:szCs w:val="20"/>
          <w:color w:val="auto"/>
        </w:rPr>
      </w:pPr>
      <w:r>
        <w:rPr>
          <w:rFonts w:ascii="Arial" w:cs="Arial" w:eastAsia="Arial" w:hAnsi="Arial"/>
          <w:sz w:val="18"/>
          <w:szCs w:val="18"/>
          <w:color w:val="auto"/>
        </w:rPr>
        <w:t>The increase in resort management and other services revenues reflected $1.4 million of additional annual club dues earned in connection with the MVCD program due to the cumulative increase in owners enrolled in the program as well as an increase in the dues charged for each owner recognition level, $1.3 million of higher management fees, $0.4 million of higher ancillary revenues and $0.4 million of higher customer service fees, partially offset by $0.3 million of lower resales commissions and other revenues compared to the prior year comparable period. The increase in ancillary revenues included $0.7 million of ancillary revenues in the current period at the property in New York that we did not operate in the prior year comparable period and a $0.2 million increase in ancillary revenues from food and beverage and golf offerings at our other resorts, partially offset by $0.5 million of lower revenues due to outsourcing the operation of one restaurant.</w:t>
      </w:r>
    </w:p>
    <w:p>
      <w:pPr>
        <w:spacing w:after="0" w:line="189" w:lineRule="exact"/>
        <w:rPr>
          <w:sz w:val="20"/>
          <w:szCs w:val="20"/>
          <w:color w:val="auto"/>
        </w:rPr>
      </w:pPr>
    </w:p>
    <w:p>
      <w:pPr>
        <w:ind w:right="20" w:firstLine="878"/>
        <w:spacing w:after="0" w:line="259"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and $0.3 million of lower expenses. The lower expenses included an $0.8 million decrease in other miscellaneous expenses in the current period and $0.3 million of lower expenses due to outsourcing the operation of one restaurant, partially offset by $0.8 million of current period expenses from the operation of the ancillary businesses at the property in New York.</w:t>
      </w:r>
    </w:p>
    <w:p>
      <w:pPr>
        <w:spacing w:after="0" w:line="187"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50,941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47,403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3,538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services revenues</w:t>
            </w:r>
          </w:p>
        </w:tc>
        <w:tc>
          <w:tcPr>
            <w:tcW w:w="26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147,680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141,803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5,877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4%</w:t>
            </w:r>
          </w:p>
        </w:tc>
      </w:tr>
      <w:tr>
        <w:trPr>
          <w:trHeight w:val="27"/>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198,621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189,206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9,415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5%</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(116,320)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(115,244)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(1,076)</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(1%)</w:t>
            </w:r>
          </w:p>
        </w:tc>
      </w:tr>
      <w:tr>
        <w:trPr>
          <w:trHeight w:val="27"/>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82,301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73,962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8,339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11%</w:t>
            </w: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0"/>
        </w:trPr>
        <w:tc>
          <w:tcPr>
            <w:tcW w:w="5960" w:type="dxa"/>
            <w:vAlign w:val="bottom"/>
          </w:tcPr>
          <w:p>
            <w:pPr>
              <w:ind w:left="40"/>
              <w:spacing w:after="0"/>
              <w:rPr>
                <w:sz w:val="20"/>
                <w:szCs w:val="20"/>
                <w:color w:val="auto"/>
              </w:rPr>
            </w:pPr>
            <w:r>
              <w:rPr>
                <w:rFonts w:ascii="Arial" w:cs="Arial" w:eastAsia="Arial" w:hAnsi="Arial"/>
                <w:sz w:val="18"/>
                <w:szCs w:val="18"/>
                <w:color w:val="auto"/>
              </w:rPr>
              <w:t>Resort management and other services margin percentage</w:t>
            </w:r>
          </w:p>
        </w:tc>
        <w:tc>
          <w:tcPr>
            <w:tcW w:w="260" w:type="dxa"/>
            <w:vAlign w:val="bottom"/>
          </w:tcPr>
          <w:p>
            <w:pPr>
              <w:spacing w:after="0"/>
              <w:rPr>
                <w:sz w:val="20"/>
                <w:szCs w:val="20"/>
                <w:color w:val="auto"/>
              </w:rPr>
            </w:pPr>
          </w:p>
        </w:tc>
        <w:tc>
          <w:tcPr>
            <w:tcW w:w="1000" w:type="dxa"/>
            <w:vAlign w:val="bottom"/>
          </w:tcPr>
          <w:p>
            <w:pPr>
              <w:jc w:val="right"/>
              <w:ind w:right="313"/>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2.3 pts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229" w:lineRule="exact"/>
        <w:rPr>
          <w:sz w:val="20"/>
          <w:szCs w:val="20"/>
          <w:color w:val="auto"/>
        </w:rPr>
      </w:pPr>
    </w:p>
    <w:p>
      <w:pPr>
        <w:jc w:val="both"/>
        <w:ind w:right="200" w:firstLine="878"/>
        <w:spacing w:after="0" w:line="264" w:lineRule="auto"/>
        <w:rPr>
          <w:sz w:val="20"/>
          <w:szCs w:val="20"/>
          <w:color w:val="auto"/>
        </w:rPr>
      </w:pPr>
      <w:r>
        <w:rPr>
          <w:rFonts w:ascii="Arial" w:cs="Arial" w:eastAsia="Arial" w:hAnsi="Arial"/>
          <w:sz w:val="18"/>
          <w:szCs w:val="18"/>
          <w:color w:val="auto"/>
        </w:rPr>
        <w:t>The increase in resort management and other services revenues reflected $4.0 million of additional annual club dues earned in connection with the MVCD program due to the cumulative increase in owners enrolled in the program as well as an increase in the dues charged for each owner recognition level, $3.5 million of higher management fees, $2.2 million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higher ancillary revenues, $1.3 million of higher customer service fees and $0.3 million of higher resales commissions and other revenues, in each case, compared to the prior year comparable period. These increases were partially offset by $1.3 million of lower settlement and lien fees due to a decrease in the number of contracts closed and fewer lien fees assessed and $0.6 million of lower brand fees due to fewer closings, in each case, compared to the prior year comparable period. The increase in ancillary revenues included $1.9 million of ancillary revenues in the current period at the property in New York that we did not operate in the prior year comparable period and an $0.8 million increase in ancillary revenues from food and beverage and golf offerings at our other resorts, partially offset by $0.5 million of lower revenues due to outsourcing the operation of one restaurant.</w:t>
      </w:r>
    </w:p>
    <w:p>
      <w:pPr>
        <w:spacing w:after="0" w:line="178" w:lineRule="exact"/>
        <w:rPr>
          <w:sz w:val="20"/>
          <w:szCs w:val="20"/>
          <w:color w:val="auto"/>
        </w:rPr>
      </w:pPr>
    </w:p>
    <w:p>
      <w:pPr>
        <w:ind w:right="20" w:firstLine="878"/>
        <w:spacing w:after="0" w:line="259" w:lineRule="auto"/>
        <w:rPr>
          <w:sz w:val="20"/>
          <w:szCs w:val="20"/>
          <w:color w:val="auto"/>
        </w:rPr>
      </w:pPr>
      <w:r>
        <w:rPr>
          <w:rFonts w:ascii="Arial" w:cs="Arial" w:eastAsia="Arial" w:hAnsi="Arial"/>
          <w:sz w:val="18"/>
          <w:szCs w:val="18"/>
          <w:color w:val="auto"/>
        </w:rPr>
        <w:t>The improvement in the resort management and other services margin reflected the changes in revenue, partially offset by $1.1 million of higher expenses. The higher expenses included $2.3 million in the current period from the operation of the ancillary businesses at the property in New York, partially offset by a $0.9 million decrease in other miscellaneous expenses in the current period and $0.3 million of lower expenses due to outsourcing the operation of one restaurant.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Revenues, Expenses and Margin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26,107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25,066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1,331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1,333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27,438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26,399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1,039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Financing propensity</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52.7%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878"/>
        <w:spacing w:after="0" w:line="255" w:lineRule="auto"/>
        <w:rPr>
          <w:sz w:val="20"/>
          <w:szCs w:val="20"/>
          <w:color w:val="auto"/>
        </w:rPr>
      </w:pPr>
      <w:r>
        <w:rPr>
          <w:rFonts w:ascii="Arial" w:cs="Arial" w:eastAsia="Arial" w:hAnsi="Arial"/>
          <w:sz w:val="18"/>
          <w:szCs w:val="18"/>
          <w:color w:val="auto"/>
        </w:rPr>
        <w:t>The increase in financing revenues was due to an increase in the average gross vacation ownership notes receivable balance, partially offset by a slight decrease in the weighted average coupon rate of our vacation ownership notes receivable. The increase in financing propensity resulted from new programs implemented in the first half of 2015 to help increase financing propensity above the 40 to 45 percent rate that the company had averaged in recent years. As a result of these programs, we expect that interest income will continue to increase as new originations of vacation ownership notes receivable outpace the decline in principal of existing vacation ownership notes receivables. We expect financing propensity to continue to be higher for the remainder of fiscal year 2016.</w:t>
      </w:r>
    </w:p>
    <w:p>
      <w:pPr>
        <w:spacing w:after="0" w:line="19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77,582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75,702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financing revenues</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4,117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4,107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revenues</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81,699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79,809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1,890</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Financing propensity</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4"/>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45.0%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878"/>
        <w:spacing w:after="0" w:line="255" w:lineRule="auto"/>
        <w:rPr>
          <w:sz w:val="20"/>
          <w:szCs w:val="20"/>
          <w:color w:val="auto"/>
        </w:rPr>
      </w:pPr>
      <w:r>
        <w:rPr>
          <w:rFonts w:ascii="Arial" w:cs="Arial" w:eastAsia="Arial" w:hAnsi="Arial"/>
          <w:sz w:val="18"/>
          <w:szCs w:val="18"/>
          <w:color w:val="auto"/>
        </w:rPr>
        <w:t>The increase in financing revenues was due to an increase in the average gross vacation ownership notes receivable balance, partially offset by a slight decrease in the weighted average coupon rate of our vacation ownership notes receivable. The increase in financing propensity resulted from new programs implemented in the first half of 2015 to help increase financing propensity above the 40 to 45 percent rate that the company had averaged in recent years. As a result of these programs, we expect that interest income will continue to increase as new originations of vacation ownership notes receivable outpace the decline in principal of existing vacation ownership notes receivables. We expect financing propensity to continue to be higher for the remainder of fiscal year 2016.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9"/>
          </w:tcPr>
          <w:p>
            <w:pPr>
              <w:ind w:left="480"/>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 in thousands)</w:t>
            </w:r>
          </w:p>
        </w:tc>
        <w:tc>
          <w:tcPr>
            <w:tcW w:w="26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1"/>
              </w:rPr>
              <w:t>September 9, 2016</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3"/>
              </w:rPr>
              <w:t>September 11, 2015</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Rental revenues</w:t>
            </w:r>
          </w:p>
        </w:tc>
        <w:tc>
          <w:tcPr>
            <w:tcW w:w="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63,387</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65,135</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(1,748)</w:t>
            </w:r>
          </w:p>
        </w:tc>
        <w:tc>
          <w:tcPr>
            <w:tcW w:w="1480" w:type="dxa"/>
            <w:vAlign w:val="bottom"/>
            <w:tcBorders>
              <w:bottom w:val="single" w:sz="8" w:color="CCEEFF"/>
            </w:tcBorders>
            <w:gridSpan w:val="4"/>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r>
      <w:tr>
        <w:trPr>
          <w:trHeight w:val="243"/>
        </w:trPr>
        <w:tc>
          <w:tcPr>
            <w:tcW w:w="20" w:type="dxa"/>
            <w:vAlign w:val="bottom"/>
          </w:tcPr>
          <w:p>
            <w:pPr>
              <w:spacing w:after="0"/>
              <w:rPr>
                <w:sz w:val="21"/>
                <w:szCs w:val="21"/>
                <w:color w:val="auto"/>
              </w:rPr>
            </w:pPr>
          </w:p>
        </w:tc>
        <w:tc>
          <w:tcPr>
            <w:tcW w:w="5680" w:type="dxa"/>
            <w:vAlign w:val="bottom"/>
          </w:tcPr>
          <w:p>
            <w:pPr>
              <w:ind w:left="360"/>
              <w:spacing w:after="0"/>
              <w:rPr>
                <w:sz w:val="20"/>
                <w:szCs w:val="20"/>
                <w:color w:val="auto"/>
              </w:rPr>
            </w:pPr>
            <w:r>
              <w:rPr>
                <w:rFonts w:ascii="Arial" w:cs="Arial" w:eastAsia="Arial" w:hAnsi="Arial"/>
                <w:sz w:val="18"/>
                <w:szCs w:val="18"/>
                <w:color w:val="auto"/>
              </w:rPr>
              <w:t>Unsold maintenance fees — upscale</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(16,147)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(12,178)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(3,969)</w:t>
            </w:r>
          </w:p>
        </w:tc>
        <w:tc>
          <w:tcPr>
            <w:tcW w:w="1480" w:type="dxa"/>
            <w:vAlign w:val="bottom"/>
            <w:gridSpan w:val="4"/>
          </w:tcPr>
          <w:p>
            <w:pPr>
              <w:jc w:val="center"/>
              <w:ind w:left="30"/>
              <w:spacing w:after="0"/>
              <w:rPr>
                <w:sz w:val="20"/>
                <w:szCs w:val="20"/>
                <w:color w:val="auto"/>
              </w:rPr>
            </w:pPr>
            <w:r>
              <w:rPr>
                <w:rFonts w:ascii="Arial" w:cs="Arial" w:eastAsia="Arial" w:hAnsi="Arial"/>
                <w:sz w:val="18"/>
                <w:szCs w:val="18"/>
                <w:color w:val="auto"/>
                <w:w w:val="91"/>
              </w:rPr>
              <w:t>(33%)</w:t>
            </w: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Unsold maintenance fees — luxury</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1,191</w:t>
            </w:r>
          </w:p>
        </w:tc>
        <w:tc>
          <w:tcPr>
            <w:tcW w:w="1480" w:type="dxa"/>
            <w:vAlign w:val="bottom"/>
            <w:tcBorders>
              <w:bottom w:val="single" w:sz="8" w:color="CCEEFF"/>
            </w:tcBorders>
            <w:gridSpan w:val="4"/>
            <w:shd w:val="clear" w:color="auto" w:fill="CCEEFF"/>
          </w:tcPr>
          <w:p>
            <w:pPr>
              <w:jc w:val="center"/>
              <w:ind w:left="30"/>
              <w:spacing w:after="0"/>
              <w:rPr>
                <w:sz w:val="20"/>
                <w:szCs w:val="20"/>
                <w:color w:val="auto"/>
              </w:rPr>
            </w:pPr>
            <w:r>
              <w:rPr>
                <w:rFonts w:ascii="Arial" w:cs="Arial" w:eastAsia="Arial" w:hAnsi="Arial"/>
                <w:sz w:val="18"/>
                <w:szCs w:val="18"/>
                <w:color w:val="auto"/>
                <w:w w:val="88"/>
              </w:rPr>
              <w:t>69%</w:t>
            </w:r>
          </w:p>
        </w:tc>
      </w:tr>
      <w:tr>
        <w:trPr>
          <w:trHeight w:val="237"/>
        </w:trPr>
        <w:tc>
          <w:tcPr>
            <w:tcW w:w="2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Unsold maintenance fees</w:t>
            </w:r>
          </w:p>
        </w:tc>
        <w:tc>
          <w:tcPr>
            <w:tcW w:w="2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(16,688)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(13,910)</w:t>
            </w: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480" w:type="dxa"/>
            <w:vAlign w:val="bottom"/>
            <w:gridSpan w:val="4"/>
          </w:tcPr>
          <w:p>
            <w:pPr>
              <w:jc w:val="center"/>
              <w:ind w:left="30"/>
              <w:spacing w:after="0"/>
              <w:rPr>
                <w:sz w:val="20"/>
                <w:szCs w:val="20"/>
                <w:color w:val="auto"/>
              </w:rPr>
            </w:pPr>
            <w:r>
              <w:rPr>
                <w:rFonts w:ascii="Arial" w:cs="Arial" w:eastAsia="Arial" w:hAnsi="Arial"/>
                <w:sz w:val="18"/>
                <w:szCs w:val="18"/>
                <w:color w:val="auto"/>
                <w:w w:val="91"/>
              </w:rPr>
              <w:t>(20%)</w:t>
            </w: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rental expenses</w:t>
            </w:r>
          </w:p>
        </w:tc>
        <w:tc>
          <w:tcPr>
            <w:tcW w:w="2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(36,443)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(39,832)</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3,389</w:t>
            </w:r>
          </w:p>
        </w:tc>
        <w:tc>
          <w:tcPr>
            <w:tcW w:w="1480" w:type="dxa"/>
            <w:vAlign w:val="bottom"/>
            <w:tcBorders>
              <w:bottom w:val="single" w:sz="8" w:color="CCEEFF"/>
            </w:tcBorders>
            <w:gridSpan w:val="4"/>
            <w:shd w:val="clear" w:color="auto" w:fill="CCEEFF"/>
          </w:tcPr>
          <w:p>
            <w:pPr>
              <w:jc w:val="center"/>
              <w:ind w:left="30"/>
              <w:spacing w:after="0"/>
              <w:rPr>
                <w:sz w:val="20"/>
                <w:szCs w:val="20"/>
                <w:color w:val="auto"/>
              </w:rPr>
            </w:pPr>
            <w:r>
              <w:rPr>
                <w:rFonts w:ascii="Arial" w:cs="Arial" w:eastAsia="Arial" w:hAnsi="Arial"/>
                <w:sz w:val="18"/>
                <w:szCs w:val="18"/>
                <w:color w:val="auto"/>
                <w:w w:val="92"/>
              </w:rPr>
              <w:t>9%</w:t>
            </w:r>
          </w:p>
        </w:tc>
      </w:tr>
      <w:tr>
        <w:trPr>
          <w:trHeight w:val="297"/>
        </w:trPr>
        <w:tc>
          <w:tcPr>
            <w:tcW w:w="20" w:type="dxa"/>
            <w:vAlign w:val="bottom"/>
          </w:tcPr>
          <w:p>
            <w:pPr>
              <w:spacing w:after="0"/>
              <w:rPr>
                <w:sz w:val="24"/>
                <w:szCs w:val="24"/>
                <w:color w:val="auto"/>
              </w:rPr>
            </w:pPr>
          </w:p>
        </w:tc>
        <w:tc>
          <w:tcPr>
            <w:tcW w:w="5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Rental margin</w:t>
            </w:r>
          </w:p>
        </w:tc>
        <w:tc>
          <w:tcPr>
            <w:tcW w:w="26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10,256</w:t>
            </w: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11,393</w:t>
            </w:r>
          </w:p>
        </w:tc>
        <w:tc>
          <w:tcPr>
            <w:tcW w:w="20" w:type="dxa"/>
            <w:vAlign w:val="bottom"/>
            <w:tcBorders>
              <w:top w:val="single" w:sz="8" w:color="auto"/>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w:t>
            </w:r>
          </w:p>
        </w:tc>
        <w:tc>
          <w:tcPr>
            <w:tcW w:w="1480" w:type="dxa"/>
            <w:vAlign w:val="bottom"/>
            <w:tcBorders>
              <w:bottom w:val="single" w:sz="8" w:color="CCEEFF"/>
            </w:tcBorders>
            <w:gridSpan w:val="4"/>
          </w:tcPr>
          <w:p>
            <w:pPr>
              <w:jc w:val="center"/>
              <w:ind w:left="30"/>
              <w:spacing w:after="0"/>
              <w:rPr>
                <w:sz w:val="20"/>
                <w:szCs w:val="20"/>
                <w:color w:val="auto"/>
              </w:rPr>
            </w:pPr>
            <w:r>
              <w:rPr>
                <w:rFonts w:ascii="Arial" w:cs="Arial" w:eastAsia="Arial" w:hAnsi="Arial"/>
                <w:sz w:val="18"/>
                <w:szCs w:val="18"/>
                <w:color w:val="auto"/>
                <w:w w:val="91"/>
              </w:rPr>
              <w:t>(10%)</w:t>
            </w:r>
          </w:p>
        </w:tc>
      </w:tr>
      <w:tr>
        <w:trPr>
          <w:trHeight w:val="237"/>
        </w:trPr>
        <w:tc>
          <w:tcPr>
            <w:tcW w:w="20" w:type="dxa"/>
            <w:vAlign w:val="bottom"/>
          </w:tcPr>
          <w:p>
            <w:pPr>
              <w:spacing w:after="0"/>
              <w:rPr>
                <w:sz w:val="20"/>
                <w:szCs w:val="20"/>
                <w:color w:val="auto"/>
              </w:rPr>
            </w:pPr>
          </w:p>
        </w:tc>
        <w:tc>
          <w:tcPr>
            <w:tcW w:w="568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Rental margin percentage</w:t>
            </w:r>
          </w:p>
        </w:tc>
        <w:tc>
          <w:tcPr>
            <w:tcW w:w="2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17.5%</w:t>
            </w: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33"/>
              <w:spacing w:after="0"/>
              <w:rPr>
                <w:sz w:val="20"/>
                <w:szCs w:val="20"/>
                <w:color w:val="auto"/>
              </w:rPr>
            </w:pPr>
            <w:r>
              <w:rPr>
                <w:rFonts w:ascii="Arial" w:cs="Arial" w:eastAsia="Arial" w:hAnsi="Arial"/>
                <w:sz w:val="18"/>
                <w:szCs w:val="18"/>
                <w:color w:val="auto"/>
              </w:rPr>
              <w:t>(1.3 pts)</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r>
      <w:tr>
        <w:trPr>
          <w:trHeight w:val="615"/>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7"/>
          </w:tcPr>
          <w:p>
            <w:pPr>
              <w:jc w:val="right"/>
              <w:ind w:right="630"/>
              <w:spacing w:after="0"/>
              <w:rPr>
                <w:sz w:val="20"/>
                <w:szCs w:val="20"/>
                <w:color w:val="auto"/>
              </w:rPr>
            </w:pPr>
            <w:r>
              <w:rPr>
                <w:rFonts w:ascii="Arial" w:cs="Arial" w:eastAsia="Arial" w:hAnsi="Arial"/>
                <w:sz w:val="14"/>
                <w:szCs w:val="14"/>
                <w:b w:val="1"/>
                <w:bCs w:val="1"/>
                <w:color w:val="auto"/>
              </w:rPr>
              <w:t>Twelve Weeks Ended</w:t>
            </w:r>
          </w:p>
        </w:tc>
        <w:tc>
          <w:tcPr>
            <w:tcW w:w="14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68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gridSpan w:val="3"/>
          </w:tcPr>
          <w:p>
            <w:pPr>
              <w:jc w:val="right"/>
              <w:ind w:right="13"/>
              <w:spacing w:after="0"/>
              <w:rPr>
                <w:sz w:val="20"/>
                <w:szCs w:val="20"/>
                <w:color w:val="auto"/>
              </w:rPr>
            </w:pPr>
            <w:r>
              <w:rPr>
                <w:rFonts w:ascii="Arial" w:cs="Arial" w:eastAsia="Arial" w:hAnsi="Arial"/>
                <w:sz w:val="14"/>
                <w:szCs w:val="14"/>
                <w:b w:val="1"/>
                <w:bCs w:val="1"/>
                <w:color w:val="auto"/>
                <w:w w:val="99"/>
              </w:rPr>
              <w:t>September 9, 2016</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3"/>
              </w:rPr>
              <w:t>September 11, 2015</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Change</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 Change</w:t>
            </w:r>
          </w:p>
        </w:tc>
      </w:tr>
      <w:tr>
        <w:trPr>
          <w:trHeight w:val="270"/>
        </w:trPr>
        <w:tc>
          <w:tcPr>
            <w:tcW w:w="20" w:type="dxa"/>
            <w:vAlign w:val="bottom"/>
          </w:tcPr>
          <w:p>
            <w:pPr>
              <w:spacing w:after="0"/>
              <w:rPr>
                <w:sz w:val="23"/>
                <w:szCs w:val="23"/>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18"/>
                <w:szCs w:val="18"/>
                <w:color w:val="auto"/>
                <w:vertAlign w:val="superscript"/>
              </w:rPr>
              <w:t>(1)</w:t>
            </w:r>
          </w:p>
        </w:tc>
        <w:tc>
          <w:tcPr>
            <w:tcW w:w="2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262,038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253,873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8,165</w:t>
            </w:r>
          </w:p>
        </w:tc>
        <w:tc>
          <w:tcPr>
            <w:tcW w:w="1480" w:type="dxa"/>
            <w:vAlign w:val="bottom"/>
            <w:gridSpan w:val="4"/>
            <w:shd w:val="clear" w:color="auto" w:fill="CCEEFF"/>
          </w:tcPr>
          <w:p>
            <w:pPr>
              <w:jc w:val="right"/>
              <w:ind w:right="468"/>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568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204.89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240" w:type="dxa"/>
            <w:vAlign w:val="bottom"/>
          </w:tcPr>
          <w:p>
            <w:pPr>
              <w:spacing w:after="0"/>
              <w:rPr>
                <w:sz w:val="21"/>
                <w:szCs w:val="21"/>
                <w:color w:val="auto"/>
              </w:rPr>
            </w:pPr>
          </w:p>
        </w:tc>
        <w:tc>
          <w:tcPr>
            <w:tcW w:w="900" w:type="dxa"/>
            <w:vAlign w:val="bottom"/>
          </w:tcPr>
          <w:p>
            <w:pPr>
              <w:jc w:val="right"/>
              <w:ind w:right="90"/>
              <w:spacing w:after="0"/>
              <w:rPr>
                <w:sz w:val="20"/>
                <w:szCs w:val="20"/>
                <w:color w:val="auto"/>
              </w:rPr>
            </w:pPr>
            <w:r>
              <w:rPr>
                <w:rFonts w:ascii="Arial" w:cs="Arial" w:eastAsia="Arial" w:hAnsi="Arial"/>
                <w:sz w:val="18"/>
                <w:szCs w:val="18"/>
                <w:color w:val="auto"/>
              </w:rPr>
              <w:t>209.70</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1"/>
                <w:szCs w:val="21"/>
                <w:color w:val="auto"/>
              </w:rPr>
            </w:pPr>
          </w:p>
        </w:tc>
        <w:tc>
          <w:tcPr>
            <w:tcW w:w="1020" w:type="dxa"/>
            <w:vAlign w:val="bottom"/>
          </w:tcPr>
          <w:p>
            <w:pPr>
              <w:jc w:val="right"/>
              <w:ind w:right="93"/>
              <w:spacing w:after="0"/>
              <w:rPr>
                <w:sz w:val="20"/>
                <w:szCs w:val="20"/>
                <w:color w:val="auto"/>
              </w:rPr>
            </w:pPr>
            <w:r>
              <w:rPr>
                <w:rFonts w:ascii="Arial" w:cs="Arial" w:eastAsia="Arial" w:hAnsi="Arial"/>
                <w:sz w:val="18"/>
                <w:szCs w:val="18"/>
                <w:color w:val="auto"/>
              </w:rPr>
              <w:t>(4.81)</w:t>
            </w:r>
          </w:p>
        </w:tc>
        <w:tc>
          <w:tcPr>
            <w:tcW w:w="1480" w:type="dxa"/>
            <w:vAlign w:val="bottom"/>
            <w:gridSpan w:val="4"/>
          </w:tcPr>
          <w:p>
            <w:pPr>
              <w:jc w:val="right"/>
              <w:ind w:right="408"/>
              <w:spacing w:after="0"/>
              <w:rPr>
                <w:sz w:val="20"/>
                <w:szCs w:val="20"/>
                <w:color w:val="auto"/>
              </w:rPr>
            </w:pPr>
            <w:r>
              <w:rPr>
                <w:rFonts w:ascii="Arial" w:cs="Arial" w:eastAsia="Arial" w:hAnsi="Arial"/>
                <w:sz w:val="18"/>
                <w:szCs w:val="18"/>
                <w:color w:val="auto"/>
              </w:rPr>
              <w:t>(2%)</w:t>
            </w:r>
          </w:p>
        </w:tc>
      </w:tr>
      <w:tr>
        <w:trPr>
          <w:trHeight w:val="27"/>
        </w:trPr>
        <w:tc>
          <w:tcPr>
            <w:tcW w:w="20" w:type="dxa"/>
            <w:vAlign w:val="bottom"/>
          </w:tcPr>
          <w:p>
            <w:pPr>
              <w:spacing w:after="0"/>
              <w:rPr>
                <w:sz w:val="2"/>
                <w:szCs w:val="2"/>
                <w:color w:val="auto"/>
              </w:rPr>
            </w:pPr>
          </w:p>
        </w:tc>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pts</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12"/>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r>
    </w:tbl>
    <w:p>
      <w:pPr>
        <w:ind w:left="340" w:right="20" w:hanging="332"/>
        <w:spacing w:after="0" w:line="211"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property in San Diego, California prior to conversion to vacation ownership inventory.</w:t>
      </w:r>
    </w:p>
    <w:p>
      <w:pPr>
        <w:spacing w:after="0" w:line="203" w:lineRule="exact"/>
        <w:rPr>
          <w:sz w:val="20"/>
          <w:szCs w:val="20"/>
          <w:color w:val="auto"/>
        </w:rPr>
      </w:pPr>
    </w:p>
    <w:p>
      <w:pPr>
        <w:ind w:right="60" w:firstLine="878"/>
        <w:spacing w:after="0" w:line="255" w:lineRule="auto"/>
        <w:rPr>
          <w:sz w:val="20"/>
          <w:szCs w:val="20"/>
          <w:color w:val="auto"/>
        </w:rPr>
      </w:pPr>
      <w:r>
        <w:rPr>
          <w:rFonts w:ascii="Arial" w:cs="Arial" w:eastAsia="Arial" w:hAnsi="Arial"/>
          <w:sz w:val="18"/>
          <w:szCs w:val="18"/>
          <w:color w:val="auto"/>
        </w:rPr>
        <w:t>The decrease in rental revenues was due to $1.9 million of lower revenue from our operating property in San Diego due to rooms being out of service during the conversion of the inventory to vacation ownership inventory, a 2 percent decrease in average transient rate ($1.2 million) due to an unfavorable mix of inventory available for rent and $0.6 million of lower plus points revenue (which is recognized upon utilization or expiration of the points), partially offset by a $1.1 million increase in preview keys and other revenue and a 2 percent increase in transient keys rented ($0.9 million, excluding the year over year impact of rooms being out of service at our operating property in San Diego ) primarily due to a 2 percent increase in available keys (excluding the impact of the San Diego inventory).</w:t>
      </w:r>
    </w:p>
    <w:p>
      <w:pPr>
        <w:spacing w:after="0" w:line="193" w:lineRule="exact"/>
        <w:rPr>
          <w:sz w:val="20"/>
          <w:szCs w:val="20"/>
          <w:color w:val="auto"/>
        </w:rPr>
      </w:pPr>
    </w:p>
    <w:p>
      <w:pPr>
        <w:ind w:right="300" w:firstLine="878"/>
        <w:spacing w:after="0" w:line="342" w:lineRule="auto"/>
        <w:rPr>
          <w:sz w:val="20"/>
          <w:szCs w:val="20"/>
          <w:color w:val="auto"/>
        </w:rPr>
      </w:pPr>
      <w:r>
        <w:rPr>
          <w:rFonts w:ascii="Arial" w:cs="Arial" w:eastAsia="Arial" w:hAnsi="Arial"/>
          <w:sz w:val="16"/>
          <w:szCs w:val="16"/>
          <w:color w:val="auto"/>
        </w:rPr>
        <w:t>The decrease in rental margin reflected the $0.6 million decrease in plus points revenue and $0.5 million of lower rental revenues net of direct variable expenses (such as housekeeping), expenses incurred due to owners choosing alternative usage options, and unsold maintenance fees.</w:t>
      </w:r>
    </w:p>
    <w:p>
      <w:pPr>
        <w:spacing w:after="0" w:line="12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64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revenues</w:t>
            </w:r>
          </w:p>
        </w:tc>
        <w:tc>
          <w:tcPr>
            <w:tcW w:w="1900" w:type="dxa"/>
            <w:vAlign w:val="bottom"/>
            <w:tcBorders>
              <w:bottom w:val="single" w:sz="8" w:color="CCEEFF"/>
            </w:tcBorders>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201,524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202,606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w:t>
            </w:r>
          </w:p>
        </w:tc>
      </w:tr>
      <w:tr>
        <w:trPr>
          <w:trHeight w:val="243"/>
        </w:trPr>
        <w:tc>
          <w:tcPr>
            <w:tcW w:w="4320" w:type="dxa"/>
            <w:vAlign w:val="bottom"/>
          </w:tcPr>
          <w:p>
            <w:pPr>
              <w:ind w:left="380"/>
              <w:spacing w:after="0"/>
              <w:rPr>
                <w:sz w:val="20"/>
                <w:szCs w:val="20"/>
                <w:color w:val="auto"/>
              </w:rPr>
            </w:pPr>
            <w:r>
              <w:rPr>
                <w:rFonts w:ascii="Arial" w:cs="Arial" w:eastAsia="Arial" w:hAnsi="Arial"/>
                <w:sz w:val="18"/>
                <w:szCs w:val="18"/>
                <w:color w:val="auto"/>
              </w:rPr>
              <w:t>Unsold maintenance fees — upscale</w:t>
            </w:r>
          </w:p>
        </w:tc>
        <w:tc>
          <w:tcPr>
            <w:tcW w:w="1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(43,077)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(35,521)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(7,556)</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(21%)</w:t>
            </w:r>
          </w:p>
        </w:tc>
      </w:tr>
      <w:tr>
        <w:trPr>
          <w:trHeight w:val="27"/>
        </w:trPr>
        <w:tc>
          <w:tcPr>
            <w:tcW w:w="4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Unsold maintenance fees — luxury</w:t>
            </w:r>
          </w:p>
        </w:tc>
        <w:tc>
          <w:tcPr>
            <w:tcW w:w="16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4,566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74%</w:t>
            </w:r>
          </w:p>
        </w:tc>
      </w:tr>
      <w:tr>
        <w:trPr>
          <w:trHeight w:val="237"/>
        </w:trPr>
        <w:tc>
          <w:tcPr>
            <w:tcW w:w="4320" w:type="dxa"/>
            <w:vAlign w:val="bottom"/>
          </w:tcPr>
          <w:p>
            <w:pPr>
              <w:ind w:left="40"/>
              <w:spacing w:after="0"/>
              <w:rPr>
                <w:sz w:val="20"/>
                <w:szCs w:val="20"/>
                <w:color w:val="auto"/>
              </w:rPr>
            </w:pPr>
            <w:r>
              <w:rPr>
                <w:rFonts w:ascii="Arial" w:cs="Arial" w:eastAsia="Arial" w:hAnsi="Arial"/>
                <w:sz w:val="18"/>
                <w:szCs w:val="18"/>
                <w:color w:val="auto"/>
              </w:rPr>
              <w:t>Unsold maintenance fees</w:t>
            </w:r>
          </w:p>
        </w:tc>
        <w:tc>
          <w:tcPr>
            <w:tcW w:w="16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(44,659)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(2,990)</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(7%)</w:t>
            </w:r>
          </w:p>
        </w:tc>
      </w:tr>
      <w:tr>
        <w:trPr>
          <w:trHeight w:val="27"/>
        </w:trPr>
        <w:tc>
          <w:tcPr>
            <w:tcW w:w="43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4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rental expenses</w:t>
            </w:r>
          </w:p>
        </w:tc>
        <w:tc>
          <w:tcPr>
            <w:tcW w:w="16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(120,021)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(121,812)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1,791</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1%</w:t>
            </w:r>
          </w:p>
        </w:tc>
      </w:tr>
      <w:tr>
        <w:trPr>
          <w:trHeight w:val="297"/>
        </w:trPr>
        <w:tc>
          <w:tcPr>
            <w:tcW w:w="4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Rental margin</w:t>
            </w:r>
          </w:p>
        </w:tc>
        <w:tc>
          <w:tcPr>
            <w:tcW w:w="164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36,844</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39,125</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(2,281)</w:t>
            </w:r>
          </w:p>
        </w:tc>
        <w:tc>
          <w:tcPr>
            <w:tcW w:w="148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94"/>
              </w:rPr>
              <w:t>(6%)</w:t>
            </w:r>
          </w:p>
        </w:tc>
      </w:tr>
      <w:tr>
        <w:trPr>
          <w:trHeight w:val="237"/>
        </w:trPr>
        <w:tc>
          <w:tcPr>
            <w:tcW w:w="432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Rental margin percentage</w:t>
            </w:r>
          </w:p>
        </w:tc>
        <w:tc>
          <w:tcPr>
            <w:tcW w:w="16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32"/>
              <w:spacing w:after="0"/>
              <w:rPr>
                <w:sz w:val="20"/>
                <w:szCs w:val="20"/>
                <w:color w:val="auto"/>
              </w:rPr>
            </w:pPr>
            <w:r>
              <w:rPr>
                <w:rFonts w:ascii="Arial" w:cs="Arial" w:eastAsia="Arial" w:hAnsi="Arial"/>
                <w:sz w:val="18"/>
                <w:szCs w:val="18"/>
                <w:color w:val="auto"/>
              </w:rPr>
              <w:t>(1.0 pts)</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459"/>
        </w:trPr>
        <w:tc>
          <w:tcPr>
            <w:tcW w:w="4320" w:type="dxa"/>
            <w:vAlign w:val="bottom"/>
          </w:tcPr>
          <w:p>
            <w:pPr>
              <w:spacing w:after="0"/>
              <w:rPr>
                <w:sz w:val="24"/>
                <w:szCs w:val="24"/>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640" w:type="dxa"/>
            <w:vAlign w:val="bottom"/>
          </w:tcPr>
          <w:p>
            <w:pPr>
              <w:spacing w:after="0"/>
              <w:rPr>
                <w:sz w:val="22"/>
                <w:szCs w:val="22"/>
                <w:color w:val="auto"/>
              </w:rPr>
            </w:pPr>
          </w:p>
        </w:tc>
        <w:tc>
          <w:tcPr>
            <w:tcW w:w="14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9, 2016</w:t>
            </w:r>
          </w:p>
        </w:tc>
        <w:tc>
          <w:tcPr>
            <w:tcW w:w="13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September 11, 2015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gridSpan w:val="2"/>
          </w:tcPr>
          <w:p>
            <w:pPr>
              <w:ind w:left="200"/>
              <w:spacing w:after="0"/>
              <w:rPr>
                <w:sz w:val="20"/>
                <w:szCs w:val="20"/>
                <w:color w:val="auto"/>
              </w:rPr>
            </w:pPr>
            <w:r>
              <w:rPr>
                <w:rFonts w:ascii="Arial" w:cs="Arial" w:eastAsia="Arial" w:hAnsi="Arial"/>
                <w:sz w:val="14"/>
                <w:szCs w:val="14"/>
                <w:b w:val="1"/>
                <w:bCs w:val="1"/>
                <w:color w:val="auto"/>
              </w:rPr>
              <w:t>Change</w:t>
            </w:r>
          </w:p>
        </w:tc>
        <w:tc>
          <w:tcPr>
            <w:tcW w:w="1320" w:type="dxa"/>
            <w:vAlign w:val="bottom"/>
          </w:tcPr>
          <w:p>
            <w:pPr>
              <w:jc w:val="right"/>
              <w:ind w:right="256"/>
              <w:spacing w:after="0"/>
              <w:rPr>
                <w:sz w:val="20"/>
                <w:szCs w:val="20"/>
                <w:color w:val="auto"/>
              </w:rPr>
            </w:pPr>
            <w:r>
              <w:rPr>
                <w:rFonts w:ascii="Arial" w:cs="Arial" w:eastAsia="Arial" w:hAnsi="Arial"/>
                <w:sz w:val="14"/>
                <w:szCs w:val="14"/>
                <w:b w:val="1"/>
                <w:bCs w:val="1"/>
                <w:color w:val="auto"/>
              </w:rPr>
              <w:t>% Change</w:t>
            </w:r>
          </w:p>
        </w:tc>
      </w:tr>
      <w:tr>
        <w:trPr>
          <w:trHeight w:val="270"/>
        </w:trPr>
        <w:tc>
          <w:tcPr>
            <w:tcW w:w="20" w:type="dxa"/>
            <w:vAlign w:val="bottom"/>
          </w:tcPr>
          <w:p>
            <w:pPr>
              <w:spacing w:after="0"/>
              <w:rPr>
                <w:sz w:val="23"/>
                <w:szCs w:val="23"/>
                <w:color w:val="auto"/>
              </w:rPr>
            </w:pPr>
          </w:p>
        </w:tc>
        <w:tc>
          <w:tcPr>
            <w:tcW w:w="5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Transient keys rented</w:t>
            </w:r>
            <w:r>
              <w:rPr>
                <w:rFonts w:ascii="Arial" w:cs="Arial" w:eastAsia="Arial" w:hAnsi="Arial"/>
                <w:sz w:val="18"/>
                <w:szCs w:val="18"/>
                <w:color w:val="auto"/>
                <w:vertAlign w:val="superscript"/>
              </w:rPr>
              <w:t>(1)</w:t>
            </w:r>
          </w:p>
        </w:tc>
        <w:tc>
          <w:tcPr>
            <w:tcW w:w="3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8"/>
                <w:szCs w:val="18"/>
                <w:color w:val="auto"/>
              </w:rPr>
              <w:t>797,729</w:t>
            </w:r>
          </w:p>
        </w:tc>
        <w:tc>
          <w:tcPr>
            <w:tcW w:w="10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785,833</w:t>
            </w: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11,896</w:t>
            </w:r>
          </w:p>
        </w:tc>
        <w:tc>
          <w:tcPr>
            <w:tcW w:w="12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456"/>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5640" w:type="dxa"/>
            <w:vAlign w:val="bottom"/>
          </w:tcPr>
          <w:p>
            <w:pPr>
              <w:ind w:left="20"/>
              <w:spacing w:after="0"/>
              <w:rPr>
                <w:sz w:val="20"/>
                <w:szCs w:val="20"/>
                <w:color w:val="auto"/>
              </w:rPr>
            </w:pPr>
            <w:r>
              <w:rPr>
                <w:rFonts w:ascii="Arial" w:cs="Arial" w:eastAsia="Arial" w:hAnsi="Arial"/>
                <w:sz w:val="18"/>
                <w:szCs w:val="18"/>
                <w:color w:val="auto"/>
              </w:rPr>
              <w:t>Average transient key rate</w:t>
            </w: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4"/>
              <w:spacing w:after="0"/>
              <w:rPr>
                <w:sz w:val="20"/>
                <w:szCs w:val="20"/>
                <w:color w:val="auto"/>
              </w:rPr>
            </w:pPr>
            <w:r>
              <w:rPr>
                <w:rFonts w:ascii="Arial" w:cs="Arial" w:eastAsia="Arial" w:hAnsi="Arial"/>
                <w:sz w:val="18"/>
                <w:szCs w:val="18"/>
                <w:color w:val="auto"/>
              </w:rPr>
              <w:t>214.84</w:t>
            </w:r>
          </w:p>
        </w:tc>
        <w:tc>
          <w:tcPr>
            <w:tcW w:w="100" w:type="dxa"/>
            <w:vAlign w:val="bottom"/>
          </w:tcPr>
          <w:p>
            <w:pPr>
              <w:spacing w:after="0"/>
              <w:rPr>
                <w:sz w:val="21"/>
                <w:szCs w:val="21"/>
                <w:color w:val="auto"/>
              </w:rPr>
            </w:pPr>
          </w:p>
        </w:tc>
        <w:tc>
          <w:tcPr>
            <w:tcW w:w="340" w:type="dxa"/>
            <w:vAlign w:val="bottom"/>
          </w:tcPr>
          <w:p>
            <w:pPr>
              <w:jc w:val="right"/>
              <w:ind w:right="139"/>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217.06</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4"/>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1"/>
                <w:szCs w:val="21"/>
                <w:color w:val="auto"/>
              </w:rPr>
            </w:pPr>
          </w:p>
        </w:tc>
        <w:tc>
          <w:tcPr>
            <w:tcW w:w="1320" w:type="dxa"/>
            <w:vAlign w:val="bottom"/>
          </w:tcPr>
          <w:p>
            <w:pPr>
              <w:jc w:val="right"/>
              <w:ind w:right="396"/>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Resort occupancy</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(0.2 pts)</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12"/>
        </w:trPr>
        <w:tc>
          <w:tcPr>
            <w:tcW w:w="20" w:type="dxa"/>
            <w:vAlign w:val="bottom"/>
          </w:tcPr>
          <w:p>
            <w:pPr>
              <w:spacing w:after="0"/>
              <w:rPr>
                <w:sz w:val="18"/>
                <w:szCs w:val="18"/>
                <w:color w:val="auto"/>
              </w:rPr>
            </w:pPr>
          </w:p>
        </w:tc>
        <w:tc>
          <w:tcPr>
            <w:tcW w:w="5640" w:type="dxa"/>
            <w:vAlign w:val="bottom"/>
          </w:tcPr>
          <w:p>
            <w:pPr>
              <w:jc w:val="right"/>
              <w:ind w:right="3310"/>
              <w:spacing w:after="0"/>
              <w:rPr>
                <w:sz w:val="20"/>
                <w:szCs w:val="20"/>
                <w:color w:val="auto"/>
              </w:rPr>
            </w:pPr>
            <w:r>
              <w:rPr>
                <w:rFonts w:ascii="Arial" w:cs="Arial" w:eastAsia="Arial" w:hAnsi="Arial"/>
                <w:sz w:val="18"/>
                <w:szCs w:val="18"/>
                <w:color w:val="auto"/>
                <w:w w:val="88"/>
              </w:rPr>
              <w:t>_________________________</w:t>
            </w: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r>
    </w:tbl>
    <w:p>
      <w:pPr>
        <w:ind w:left="340" w:right="20" w:hanging="332"/>
        <w:spacing w:after="0" w:line="211"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Transient keys rented exclude those obtained through the use of plus points, preview stays and those associated with our operating property in San Diego, California prior to conversion to vacation ownership inventory.</w:t>
      </w:r>
    </w:p>
    <w:p>
      <w:pPr>
        <w:spacing w:after="0" w:line="203" w:lineRule="exact"/>
        <w:rPr>
          <w:sz w:val="20"/>
          <w:szCs w:val="20"/>
          <w:color w:val="auto"/>
        </w:rPr>
      </w:pPr>
    </w:p>
    <w:p>
      <w:pPr>
        <w:ind w:left="60" w:firstLine="878"/>
        <w:spacing w:after="0" w:line="255" w:lineRule="auto"/>
        <w:rPr>
          <w:sz w:val="20"/>
          <w:szCs w:val="20"/>
          <w:color w:val="auto"/>
        </w:rPr>
      </w:pPr>
      <w:r>
        <w:rPr>
          <w:rFonts w:ascii="Arial" w:cs="Arial" w:eastAsia="Arial" w:hAnsi="Arial"/>
          <w:sz w:val="18"/>
          <w:szCs w:val="18"/>
          <w:color w:val="auto"/>
        </w:rPr>
        <w:t>The decrease in rental revenues was due to $2.3 million of lower revenue from the operation of our operating property in San Diego due to rooms being out of service during the conversion of the inventory to vacation ownership inventory, a 1 percent decrease in average transient rate ($1.6 million) due to an unfavorable mix of inventory available for rent and $0.1 million of lower plus points revenue (which is recognized upon utilization or expiration of the points), partially offset by a 1 percent increase in transient keys rented ($1.8 million, excluding the year over year impact of rooms being out of service at our operating property in San Diego ) primarily due to a 3 percent increase in available keys (excluding the impact of the San Diego inventory) and a $1.1 million increase in preview keys and other revenue.</w:t>
      </w:r>
    </w:p>
    <w:p>
      <w:pPr>
        <w:spacing w:after="0" w:line="193" w:lineRule="exact"/>
        <w:rPr>
          <w:sz w:val="20"/>
          <w:szCs w:val="20"/>
          <w:color w:val="auto"/>
        </w:rPr>
      </w:pPr>
    </w:p>
    <w:p>
      <w:pPr>
        <w:ind w:right="320" w:firstLine="878"/>
        <w:spacing w:after="0" w:line="342" w:lineRule="auto"/>
        <w:rPr>
          <w:sz w:val="20"/>
          <w:szCs w:val="20"/>
          <w:color w:val="auto"/>
        </w:rPr>
      </w:pPr>
      <w:r>
        <w:rPr>
          <w:rFonts w:ascii="Arial" w:cs="Arial" w:eastAsia="Arial" w:hAnsi="Arial"/>
          <w:sz w:val="16"/>
          <w:szCs w:val="16"/>
          <w:color w:val="auto"/>
        </w:rPr>
        <w:t>The decrease in rental margin reflected $2.2 million of lower rental revenues net of direct variable expenses (such as housekeeping), expenses incurred due to owners choosing alternative usage options, and unsold maintenance fees as well as the $0.1 million decrease in plus points revenue.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w:t>
      </w:r>
    </w:p>
    <w:p>
      <w:pPr>
        <w:spacing w:after="0" w:line="225"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Europe segment for the twelve and thirty-six weeks ended September 9, 2016, compared to the twelve and thirty-six weeks ended September 11,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Thirty-Six Weeks Ended</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9, 2016</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11, 2015</w:t>
            </w:r>
          </w:p>
        </w:tc>
        <w:tc>
          <w:tcPr>
            <w:tcW w:w="16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9, 2016</w:t>
            </w:r>
          </w:p>
        </w:tc>
        <w:tc>
          <w:tcPr>
            <w:tcW w:w="140" w:type="dxa"/>
            <w:vAlign w:val="bottom"/>
          </w:tcPr>
          <w:p>
            <w:pPr>
              <w:spacing w:after="0"/>
              <w:rPr>
                <w:sz w:val="22"/>
                <w:szCs w:val="22"/>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September 11, 2015</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4,818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7,591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15,845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19,138</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6,963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19,063</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2,339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2,774</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14,836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15,850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8,072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23,533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23,378</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28,628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74,983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80,203</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1,599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4,155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Marketing and sales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4,189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13,388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15,243</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16,285</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4,509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4,696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11,094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11,660</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Royalty fee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8,072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8,003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23,533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23,378</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24,092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71,011</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Losses and other expense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SEGMENT FINANCIAL RESULTS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4,536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7,079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9,179</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878"/>
        <w:spacing w:after="0" w:line="277" w:lineRule="auto"/>
        <w:rPr>
          <w:sz w:val="20"/>
          <w:szCs w:val="20"/>
          <w:color w:val="auto"/>
        </w:rPr>
      </w:pPr>
      <w:r>
        <w:rPr>
          <w:rFonts w:ascii="Arial" w:cs="Arial" w:eastAsia="Arial" w:hAnsi="Arial"/>
          <w:sz w:val="18"/>
          <w:szCs w:val="18"/>
          <w:color w:val="auto"/>
        </w:rPr>
        <w:t>In our Europe segment, we are focused on selling our existing projects and managing existing resorts. We do not have any current plans for new development in this segment.</w:t>
      </w:r>
    </w:p>
    <w:p>
      <w:pPr>
        <w:sectPr>
          <w:pgSz w:w="11900" w:h="16838" w:orient="portrait"/>
          <w:cols w:equalWidth="0" w:num="1">
            <w:col w:w="11420"/>
          </w:cols>
          <w:pgMar w:left="240" w:top="125"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125" w:right="239" w:bottom="1440" w:gutter="0" w:footer="0" w:header="0"/>
          <w:type w:val="continuous"/>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1"/>
              </w:rPr>
              <w:t>Twelve Weeks Ended</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9, 2016</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11, 2015</w:t>
            </w:r>
          </w:p>
        </w:tc>
        <w:tc>
          <w:tcPr>
            <w:tcW w:w="240" w:type="dxa"/>
            <w:vAlign w:val="bottom"/>
          </w:tcPr>
          <w:p>
            <w:pPr>
              <w:spacing w:after="0"/>
              <w:rPr>
                <w:sz w:val="22"/>
                <w:szCs w:val="22"/>
                <w:color w:val="auto"/>
              </w:rPr>
            </w:pPr>
          </w:p>
        </w:tc>
        <w:tc>
          <w:tcPr>
            <w:tcW w:w="1000" w:type="dxa"/>
            <w:vAlign w:val="bottom"/>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Vacation ownership</w:t>
            </w: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6"/>
              <w:spacing w:after="0"/>
              <w:rPr>
                <w:sz w:val="20"/>
                <w:szCs w:val="20"/>
                <w:color w:val="auto"/>
              </w:rPr>
            </w:pPr>
            <w:r>
              <w:rPr>
                <w:rFonts w:ascii="Arial" w:cs="Arial" w:eastAsia="Arial" w:hAnsi="Arial"/>
                <w:sz w:val="18"/>
                <w:szCs w:val="18"/>
                <w:color w:val="auto"/>
              </w:rPr>
              <w:t>7,698</w:t>
            </w:r>
          </w:p>
        </w:tc>
        <w:tc>
          <w:tcPr>
            <w:tcW w:w="100" w:type="dxa"/>
            <w:vAlign w:val="bottom"/>
          </w:tcPr>
          <w:p>
            <w:pPr>
              <w:spacing w:after="0"/>
              <w:rPr>
                <w:sz w:val="21"/>
                <w:szCs w:val="21"/>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10,093</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(2,395)</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(24%)</w:t>
            </w:r>
          </w:p>
        </w:tc>
      </w:tr>
      <w:tr>
        <w:trPr>
          <w:trHeight w:val="27"/>
        </w:trPr>
        <w:tc>
          <w:tcPr>
            <w:tcW w:w="5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7,698</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10,093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(24%)</w:t>
            </w:r>
          </w:p>
        </w:tc>
      </w:tr>
      <w:tr>
        <w:trPr>
          <w:trHeight w:val="20"/>
        </w:trPr>
        <w:tc>
          <w:tcPr>
            <w:tcW w:w="5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878"/>
        <w:spacing w:after="0" w:line="277" w:lineRule="auto"/>
        <w:rPr>
          <w:sz w:val="20"/>
          <w:szCs w:val="20"/>
          <w:color w:val="auto"/>
        </w:rPr>
      </w:pPr>
      <w:r>
        <w:rPr>
          <w:rFonts w:ascii="Arial" w:cs="Arial" w:eastAsia="Arial" w:hAnsi="Arial"/>
          <w:sz w:val="18"/>
          <w:szCs w:val="18"/>
          <w:color w:val="auto"/>
        </w:rPr>
        <w:t>The decrease in Europe vacation ownership contract sales was due to $2.6 million of lower fractional sales due to the near sell-out of developer inventory in 2015, partially offset by $0.2 million of higher timeshare sales across the region.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9, 2016</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11, 2015</w:t>
            </w:r>
          </w:p>
        </w:tc>
        <w:tc>
          <w:tcPr>
            <w:tcW w:w="240" w:type="dxa"/>
            <w:vAlign w:val="bottom"/>
          </w:tcPr>
          <w:p>
            <w:pPr>
              <w:spacing w:after="0"/>
              <w:rPr>
                <w:sz w:val="22"/>
                <w:szCs w:val="22"/>
                <w:color w:val="auto"/>
              </w:rPr>
            </w:pPr>
          </w:p>
        </w:tc>
        <w:tc>
          <w:tcPr>
            <w:tcW w:w="1000" w:type="dxa"/>
            <w:vAlign w:val="bottom"/>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Vacation ownership</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6"/>
              <w:spacing w:after="0"/>
              <w:rPr>
                <w:sz w:val="20"/>
                <w:szCs w:val="20"/>
                <w:color w:val="auto"/>
              </w:rPr>
            </w:pPr>
            <w:r>
              <w:rPr>
                <w:rFonts w:ascii="Arial" w:cs="Arial" w:eastAsia="Arial" w:hAnsi="Arial"/>
                <w:sz w:val="18"/>
                <w:szCs w:val="18"/>
                <w:color w:val="auto"/>
              </w:rPr>
              <w:t>22,054</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22,732</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(3%)</w:t>
            </w:r>
          </w:p>
        </w:tc>
      </w:tr>
      <w:tr>
        <w:trPr>
          <w:trHeight w:val="27"/>
        </w:trPr>
        <w:tc>
          <w:tcPr>
            <w:tcW w:w="59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22,054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22,732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(3%)</w:t>
            </w: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878"/>
        <w:spacing w:after="0" w:line="277" w:lineRule="auto"/>
        <w:rPr>
          <w:sz w:val="20"/>
          <w:szCs w:val="20"/>
          <w:color w:val="auto"/>
        </w:rPr>
      </w:pPr>
      <w:r>
        <w:rPr>
          <w:rFonts w:ascii="Arial" w:cs="Arial" w:eastAsia="Arial" w:hAnsi="Arial"/>
          <w:sz w:val="18"/>
          <w:szCs w:val="18"/>
          <w:color w:val="auto"/>
        </w:rPr>
        <w:t>The decrease in Europe vacation ownership contract sales was due to $5.2 million of lower fractional sales due to the near sell-out of developer inventory in 2015, partially offset by $4.5 million of higher timeshare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1"/>
              </w:rPr>
              <w:t>Twelve Weeks Ended</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7,698</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10,093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(24%)</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Revenue recognition adjustments: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Reportability</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(1,345)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Sales reserve</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22"/>
                <w:szCs w:val="22"/>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7,591</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(2,773)</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(37%)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9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203" w:lineRule="exact"/>
        <w:rPr>
          <w:sz w:val="20"/>
          <w:szCs w:val="20"/>
          <w:color w:val="auto"/>
        </w:rPr>
      </w:pPr>
    </w:p>
    <w:p>
      <w:pPr>
        <w:ind w:firstLine="878"/>
        <w:spacing w:after="0" w:line="342" w:lineRule="auto"/>
        <w:rPr>
          <w:sz w:val="20"/>
          <w:szCs w:val="20"/>
          <w:color w:val="auto"/>
        </w:rPr>
      </w:pPr>
      <w:r>
        <w:rPr>
          <w:rFonts w:ascii="Arial" w:cs="Arial" w:eastAsia="Arial" w:hAnsi="Arial"/>
          <w:sz w:val="16"/>
          <w:szCs w:val="16"/>
          <w:color w:val="auto"/>
        </w:rPr>
        <w:t>Revenue reportability had a larger unfavorable impact in the current period compared to the prior year comparable period because fewer sales met the down payment requirement for revenue recognition purposes prior to the end of the current period than in the prior year comparable period.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22,054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480" w:type="dxa"/>
            <w:vAlign w:val="bottom"/>
            <w:tcBorders>
              <w:bottom w:val="single" w:sz="8" w:color="CCEEFF"/>
            </w:tcBorders>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Revenue recognition adjustments: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Reportability</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Sales reserve</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(3,098)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15,845</w:t>
            </w:r>
          </w:p>
        </w:tc>
        <w:tc>
          <w:tcPr>
            <w:tcW w:w="100" w:type="dxa"/>
            <w:vAlign w:val="bottom"/>
          </w:tcPr>
          <w:p>
            <w:pPr>
              <w:spacing w:after="0"/>
              <w:rPr>
                <w:sz w:val="22"/>
                <w:szCs w:val="22"/>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19,138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(3,293)</w:t>
            </w:r>
          </w:p>
        </w:tc>
        <w:tc>
          <w:tcPr>
            <w:tcW w:w="1480" w:type="dxa"/>
            <w:vAlign w:val="bottom"/>
            <w:gridSpan w:val="2"/>
          </w:tcPr>
          <w:p>
            <w:pPr>
              <w:jc w:val="right"/>
              <w:ind w:right="388"/>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9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37"/>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203" w:lineRule="exact"/>
        <w:rPr>
          <w:sz w:val="20"/>
          <w:szCs w:val="20"/>
          <w:color w:val="auto"/>
        </w:rPr>
      </w:pPr>
    </w:p>
    <w:p>
      <w:pPr>
        <w:ind w:firstLine="878"/>
        <w:spacing w:after="0" w:line="297" w:lineRule="auto"/>
        <w:rPr>
          <w:sz w:val="20"/>
          <w:szCs w:val="20"/>
          <w:color w:val="auto"/>
        </w:rPr>
      </w:pPr>
      <w:r>
        <w:rPr>
          <w:rFonts w:ascii="Arial" w:cs="Arial" w:eastAsia="Arial" w:hAnsi="Arial"/>
          <w:sz w:val="16"/>
          <w:szCs w:val="16"/>
          <w:color w:val="auto"/>
        </w:rPr>
        <w:t>Revenue reportability had a larger unfavorable impact in the current period compared to the prior year comparable period because fewer sales met the down payment requirement for revenue recognition purposes prior to the end of the current period than in the prior year comparable period. This was driven by a large multi-week sale that was not reportable at the end of the current period. The decrease in the sales reserve was due to an unfavorable adjustment to the reserve in the prior year comparable period and the lower contract sales volume in the current period, partially offset by an unfavorable adjustment in the current year to correct an immaterial error of $0.5 million in the current period with respect to historical static pool data.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7,591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(37%)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(2,070)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471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23%</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15%</w:t>
            </w:r>
          </w:p>
        </w:tc>
      </w:tr>
      <w:tr>
        <w:trPr>
          <w:trHeight w:val="29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14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(271%)</w:t>
            </w:r>
          </w:p>
        </w:tc>
      </w:tr>
      <w:tr>
        <w:trPr>
          <w:trHeight w:val="230"/>
        </w:trPr>
        <w:tc>
          <w:tcPr>
            <w:tcW w:w="59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Development margin percentage</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97"/>
              </w:rPr>
              <w:t>(27.6 pts)</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7"/>
        </w:trPr>
        <w:tc>
          <w:tcPr>
            <w:tcW w:w="5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878"/>
        <w:spacing w:after="0" w:line="264" w:lineRule="auto"/>
        <w:rPr>
          <w:sz w:val="20"/>
          <w:szCs w:val="20"/>
          <w:color w:val="auto"/>
        </w:rPr>
      </w:pPr>
      <w:r>
        <w:rPr>
          <w:rFonts w:ascii="Arial" w:cs="Arial" w:eastAsia="Arial" w:hAnsi="Arial"/>
          <w:sz w:val="18"/>
          <w:szCs w:val="18"/>
          <w:color w:val="auto"/>
        </w:rPr>
        <w:t>The decrease in development margin reflected $0.6 million of lower revenue reportability year-over-year, $0.6 million of lower vacation ownership contract sales volume net of direct variable expenses (i.e., cost of vacation ownership products and marketing and sales) and $0.3 million of higher other development expenses.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15,845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(17%)</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w:t>
            </w:r>
          </w:p>
        </w:tc>
      </w:tr>
      <w:tr>
        <w:trPr>
          <w:trHeight w:val="27"/>
        </w:trPr>
        <w:tc>
          <w:tcPr>
            <w:tcW w:w="5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(15,243)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12%</w:t>
            </w:r>
          </w:p>
        </w:tc>
      </w:tr>
      <w:tr>
        <w:trPr>
          <w:trHeight w:val="297"/>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(1,441)</w:t>
            </w:r>
          </w:p>
        </w:tc>
        <w:tc>
          <w:tcPr>
            <w:tcW w:w="1480" w:type="dxa"/>
            <w:vAlign w:val="bottom"/>
            <w:tcBorders>
              <w:bottom w:val="single" w:sz="8" w:color="CCEEFF"/>
            </w:tcBorders>
            <w:gridSpan w:val="2"/>
          </w:tcPr>
          <w:p>
            <w:pPr>
              <w:jc w:val="center"/>
              <w:ind w:left="10"/>
              <w:spacing w:after="0"/>
              <w:rPr>
                <w:sz w:val="20"/>
                <w:szCs w:val="20"/>
                <w:color w:val="auto"/>
              </w:rPr>
            </w:pPr>
            <w:r>
              <w:rPr>
                <w:rFonts w:ascii="Arial" w:cs="Arial" w:eastAsia="Arial" w:hAnsi="Arial"/>
                <w:sz w:val="18"/>
                <w:szCs w:val="18"/>
                <w:color w:val="auto"/>
                <w:w w:val="92"/>
              </w:rPr>
              <w:t>(554%)</w:t>
            </w:r>
          </w:p>
        </w:tc>
      </w:tr>
      <w:tr>
        <w:trPr>
          <w:trHeight w:val="230"/>
        </w:trPr>
        <w:tc>
          <w:tcPr>
            <w:tcW w:w="59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Development margin percentage</w:t>
            </w: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(9.3 pts)</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7"/>
        </w:trPr>
        <w:tc>
          <w:tcPr>
            <w:tcW w:w="59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20" w:firstLine="878"/>
        <w:spacing w:after="0" w:line="259" w:lineRule="auto"/>
        <w:rPr>
          <w:sz w:val="20"/>
          <w:szCs w:val="20"/>
          <w:color w:val="auto"/>
        </w:rPr>
      </w:pPr>
      <w:r>
        <w:rPr>
          <w:rFonts w:ascii="Arial" w:cs="Arial" w:eastAsia="Arial" w:hAnsi="Arial"/>
          <w:sz w:val="18"/>
          <w:szCs w:val="18"/>
          <w:color w:val="auto"/>
        </w:rPr>
        <w:t>The decrease in development margin reflected $2.1 million of lower revenue reportability year-over-year and $0.5 million of lower product cost true-ups ($0.2 million unfavorable true-up in the thirty-six weeks ended September 9, 2016 compared to a $0.3 million favorable true-up in the prior year comparable period), partially offset by $0.9 million from the change in vacation ownership contract sales volume net of direct variable expenses (i.e., cost of vacation ownership products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25" w:right="239" w:bottom="1440" w:gutter="0" w:footer="0" w:header="0"/>
          <w:type w:val="continuous"/>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and marketing and sales) due to lower marketing and sales costs, as well as $0.3 million from the year over year change in the sales reserve.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Asia Pacific</w:t>
      </w:r>
    </w:p>
    <w:p>
      <w:pPr>
        <w:spacing w:after="0" w:line="225" w:lineRule="exact"/>
        <w:rPr>
          <w:sz w:val="20"/>
          <w:szCs w:val="20"/>
          <w:color w:val="auto"/>
        </w:rPr>
      </w:pPr>
    </w:p>
    <w:p>
      <w:pPr>
        <w:ind w:right="600" w:firstLine="432"/>
        <w:spacing w:after="0" w:line="277" w:lineRule="auto"/>
        <w:rPr>
          <w:sz w:val="20"/>
          <w:szCs w:val="20"/>
          <w:color w:val="auto"/>
        </w:rPr>
      </w:pPr>
      <w:r>
        <w:rPr>
          <w:rFonts w:ascii="Arial" w:cs="Arial" w:eastAsia="Arial" w:hAnsi="Arial"/>
          <w:sz w:val="18"/>
          <w:szCs w:val="18"/>
          <w:color w:val="auto"/>
        </w:rPr>
        <w:t>The following discussion presents an analysis of our results of operations for the Asia Pacific segment for the twelve and thirty-six weeks ended September 9, 2016, compared to the twelve and thirty-six weeks ended September 11, 2015.</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4"/>
          </w:tcPr>
          <w:p>
            <w:pPr>
              <w:jc w:val="right"/>
              <w:ind w:right="791"/>
              <w:spacing w:after="0"/>
              <w:rPr>
                <w:sz w:val="20"/>
                <w:szCs w:val="20"/>
                <w:color w:val="auto"/>
              </w:rPr>
            </w:pPr>
            <w:r>
              <w:rPr>
                <w:rFonts w:ascii="Arial" w:cs="Arial" w:eastAsia="Arial" w:hAnsi="Arial"/>
                <w:sz w:val="14"/>
                <w:szCs w:val="14"/>
                <w:b w:val="1"/>
                <w:bCs w:val="1"/>
                <w:color w:val="auto"/>
              </w:rPr>
              <w:t>Twelve Weeks Ended</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Thirty-Six Weeks Ended</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 w:type="dxa"/>
            <w:vAlign w:val="bottom"/>
          </w:tcPr>
          <w:p>
            <w:pPr>
              <w:spacing w:after="0"/>
              <w:rPr>
                <w:sz w:val="22"/>
                <w:szCs w:val="22"/>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9, 2016</w:t>
            </w:r>
          </w:p>
        </w:tc>
        <w:tc>
          <w:tcPr>
            <w:tcW w:w="140" w:type="dxa"/>
            <w:vAlign w:val="bottom"/>
          </w:tcPr>
          <w:p>
            <w:pPr>
              <w:spacing w:after="0"/>
              <w:rPr>
                <w:sz w:val="22"/>
                <w:szCs w:val="22"/>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September 11, 2015</w:t>
            </w:r>
          </w:p>
        </w:tc>
        <w:tc>
          <w:tcPr>
            <w:tcW w:w="160" w:type="dxa"/>
            <w:vAlign w:val="bottom"/>
          </w:tcPr>
          <w:p>
            <w:pPr>
              <w:spacing w:after="0"/>
              <w:rPr>
                <w:sz w:val="22"/>
                <w:szCs w:val="22"/>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9, 2016</w:t>
            </w:r>
          </w:p>
        </w:tc>
        <w:tc>
          <w:tcPr>
            <w:tcW w:w="140" w:type="dxa"/>
            <w:vAlign w:val="bottom"/>
          </w:tcPr>
          <w:p>
            <w:pPr>
              <w:spacing w:after="0"/>
              <w:rPr>
                <w:sz w:val="22"/>
                <w:szCs w:val="22"/>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September 11, 2015</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Sale of vacation ownership products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10,010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6,303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26,645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50,156</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Financing</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918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2,906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3,057</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Rental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6,424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2,107</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REVENUES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14,921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53,621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65,783</w:t>
            </w:r>
          </w:p>
        </w:tc>
      </w:tr>
      <w:tr>
        <w:trPr>
          <w:trHeight w:val="22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41"/>
        </w:trPr>
        <w:tc>
          <w:tcPr>
            <w:tcW w:w="5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vacation ownership products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25,231</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Marketing and sales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7,166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4,022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20,072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14,011</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Resort management and other services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3,769</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Rental</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3,330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4,129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15,884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9,419</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Royalty fee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446</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Cost reimbursements</w:t>
            </w:r>
          </w:p>
        </w:tc>
        <w:tc>
          <w:tcPr>
            <w:tcW w:w="140" w:type="dxa"/>
            <w:vAlign w:val="bottom"/>
          </w:tcPr>
          <w:p>
            <w:pPr>
              <w:spacing w:after="0"/>
              <w:rPr>
                <w:sz w:val="21"/>
                <w:szCs w:val="21"/>
                <w:color w:val="auto"/>
              </w:rPr>
            </w:pPr>
          </w:p>
        </w:tc>
        <w:tc>
          <w:tcPr>
            <w:tcW w:w="1360" w:type="dxa"/>
            <w:vAlign w:val="bottom"/>
          </w:tcPr>
          <w:p>
            <w:pPr>
              <w:jc w:val="right"/>
              <w:ind w:right="32"/>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2"/>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2,107</w:t>
            </w:r>
          </w:p>
        </w:tc>
      </w:tr>
      <w:tr>
        <w:trPr>
          <w:trHeight w:val="27"/>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14,119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52,546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54,983</w:t>
            </w:r>
          </w:p>
        </w:tc>
      </w:tr>
      <w:tr>
        <w:trPr>
          <w:trHeight w:val="237"/>
        </w:trPr>
        <w:tc>
          <w:tcPr>
            <w:tcW w:w="5160" w:type="dxa"/>
            <w:vAlign w:val="bottom"/>
          </w:tcPr>
          <w:p>
            <w:pPr>
              <w:ind w:left="380"/>
              <w:spacing w:after="0"/>
              <w:rPr>
                <w:sz w:val="20"/>
                <w:szCs w:val="20"/>
                <w:color w:val="auto"/>
              </w:rPr>
            </w:pPr>
            <w:r>
              <w:rPr>
                <w:rFonts w:ascii="Arial" w:cs="Arial" w:eastAsia="Arial" w:hAnsi="Arial"/>
                <w:sz w:val="18"/>
                <w:szCs w:val="18"/>
                <w:color w:val="auto"/>
              </w:rPr>
              <w:t>Gains (losses) and other income (expense)</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(5,439)</w:t>
            </w:r>
          </w:p>
        </w:tc>
      </w:tr>
      <w:tr>
        <w:trPr>
          <w:trHeight w:val="237"/>
        </w:trPr>
        <w:tc>
          <w:tcPr>
            <w:tcW w:w="5160" w:type="dxa"/>
            <w:vAlign w:val="bottom"/>
          </w:tcPr>
          <w:p>
            <w:pPr>
              <w:ind w:left="720"/>
              <w:spacing w:after="0"/>
              <w:rPr>
                <w:sz w:val="20"/>
                <w:szCs w:val="20"/>
                <w:color w:val="auto"/>
              </w:rPr>
            </w:pPr>
            <w:r>
              <w:rPr>
                <w:rFonts w:ascii="Arial" w:cs="Arial" w:eastAsia="Arial" w:hAnsi="Arial"/>
                <w:sz w:val="18"/>
                <w:szCs w:val="18"/>
                <w:b w:val="1"/>
                <w:bCs w:val="1"/>
                <w:color w:val="auto"/>
              </w:rPr>
              <w:t>SEGMENT FINANCIAL RESULTS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5,332</w:t>
            </w:r>
          </w:p>
        </w:tc>
      </w:tr>
      <w:tr>
        <w:trPr>
          <w:trHeight w:val="27"/>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firstLine="878"/>
        <w:spacing w:after="0" w:line="254" w:lineRule="auto"/>
        <w:rPr>
          <w:sz w:val="20"/>
          <w:szCs w:val="20"/>
          <w:color w:val="auto"/>
        </w:rPr>
      </w:pPr>
      <w:r>
        <w:rPr>
          <w:rFonts w:ascii="Arial" w:cs="Arial" w:eastAsia="Arial" w:hAnsi="Arial"/>
          <w:sz w:val="18"/>
          <w:szCs w:val="18"/>
          <w:color w:val="auto"/>
        </w:rPr>
        <w:t>In our Asia Pacific segment, we continue to identify opportunities for development margin improvement. We plan to continue to focus on future inventory acquisitions with strong on-site sales locations. Due to operational constraints, regulatory conditions and certain other conditions related to our 18 units in Macau, we decided not to sell these units through our Marriott Vacation Club, Asia Pacific points program, and instead disposed of the units as whole ownership residential units during the first quarter of 2015. In the third quarter of 2015, we reinvested the proceeds from this disposition into the purchase of an operating property located in Surfers Paradise, Australia. We have converted a portion of this hotel into vacation ownership inventory, a portion of which has been contributed to our new Marriott Vacation Club Destinations, Australia program. During the second quarter of 2016, we sold the portion of this operating property that we did not intend to convert to vacation ownership inventory. We began selling from this new location at the end of the first quarter of 2016.</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Sales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4"/>
              </w:rPr>
              <w:t>Twelve Weeks Ended</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9, 2016</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11, 2015</w:t>
            </w:r>
          </w:p>
        </w:tc>
        <w:tc>
          <w:tcPr>
            <w:tcW w:w="240" w:type="dxa"/>
            <w:vAlign w:val="bottom"/>
          </w:tcPr>
          <w:p>
            <w:pPr>
              <w:spacing w:after="0"/>
              <w:rPr>
                <w:sz w:val="22"/>
                <w:szCs w:val="22"/>
                <w:color w:val="auto"/>
              </w:rPr>
            </w:pPr>
          </w:p>
        </w:tc>
        <w:tc>
          <w:tcPr>
            <w:tcW w:w="1000" w:type="dxa"/>
            <w:vAlign w:val="bottom"/>
          </w:tcPr>
          <w:p>
            <w:pPr>
              <w:jc w:val="right"/>
              <w:ind w:right="296"/>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4"/>
              </w:rPr>
              <w:t>% Change</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Vacation ownership</w:t>
            </w: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Pr>
          <w:p>
            <w:pPr>
              <w:ind w:left="280"/>
              <w:spacing w:after="0"/>
              <w:rPr>
                <w:sz w:val="20"/>
                <w:szCs w:val="20"/>
                <w:color w:val="auto"/>
              </w:rPr>
            </w:pPr>
            <w:r>
              <w:rPr>
                <w:rFonts w:ascii="Arial" w:cs="Arial" w:eastAsia="Arial" w:hAnsi="Arial"/>
                <w:sz w:val="18"/>
                <w:szCs w:val="18"/>
                <w:color w:val="auto"/>
              </w:rPr>
              <w:t>11,169</w:t>
            </w:r>
          </w:p>
        </w:tc>
        <w:tc>
          <w:tcPr>
            <w:tcW w:w="100" w:type="dxa"/>
            <w:vAlign w:val="bottom"/>
          </w:tcPr>
          <w:p>
            <w:pPr>
              <w:spacing w:after="0"/>
              <w:rPr>
                <w:sz w:val="21"/>
                <w:szCs w:val="21"/>
                <w:color w:val="auto"/>
              </w:rPr>
            </w:pPr>
          </w:p>
        </w:tc>
        <w:tc>
          <w:tcPr>
            <w:tcW w:w="680" w:type="dxa"/>
            <w:vAlign w:val="bottom"/>
          </w:tcPr>
          <w:p>
            <w:pPr>
              <w:ind w:left="4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6,877</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4,292</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62%</w:t>
            </w:r>
          </w:p>
        </w:tc>
      </w:tr>
      <w:tr>
        <w:trPr>
          <w:trHeight w:val="27"/>
        </w:trPr>
        <w:tc>
          <w:tcPr>
            <w:tcW w:w="5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r>
      <w:tr>
        <w:trPr>
          <w:trHeight w:val="257"/>
        </w:trPr>
        <w:tc>
          <w:tcPr>
            <w:tcW w:w="5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contract sales</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11,169</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4,292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62%</w:t>
            </w:r>
          </w:p>
        </w:tc>
      </w:tr>
      <w:tr>
        <w:trPr>
          <w:trHeight w:val="20"/>
        </w:trPr>
        <w:tc>
          <w:tcPr>
            <w:tcW w:w="5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increase in Asia Pacific vacation ownership contract sales was driven by a 21 percent increase in VPG and a 35 percent increase in tours.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increases were both driven by an increase in sales to existing owners, and the increase in tours was also driven by the new sales location in Australia.</w:t>
      </w:r>
    </w:p>
    <w:p>
      <w:pPr>
        <w:spacing w:after="0" w:line="234"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96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9, 2016</w:t>
            </w: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11, 2015</w:t>
            </w:r>
          </w:p>
        </w:tc>
        <w:tc>
          <w:tcPr>
            <w:tcW w:w="240" w:type="dxa"/>
            <w:vAlign w:val="bottom"/>
          </w:tcPr>
          <w:p>
            <w:pPr>
              <w:spacing w:after="0"/>
              <w:rPr>
                <w:sz w:val="22"/>
                <w:szCs w:val="22"/>
                <w:color w:val="auto"/>
              </w:rPr>
            </w:pPr>
          </w:p>
        </w:tc>
        <w:tc>
          <w:tcPr>
            <w:tcW w:w="1000" w:type="dxa"/>
            <w:vAlign w:val="bottom"/>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Vacation ownership</w:t>
            </w: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31,049</w:t>
            </w:r>
          </w:p>
        </w:tc>
        <w:tc>
          <w:tcPr>
            <w:tcW w:w="100" w:type="dxa"/>
            <w:vAlign w:val="bottom"/>
          </w:tcPr>
          <w:p>
            <w:pPr>
              <w:spacing w:after="0"/>
              <w:rPr>
                <w:sz w:val="21"/>
                <w:szCs w:val="21"/>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23,528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7,521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32%</w:t>
            </w: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Residential products</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(28,420)</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(100%)</w:t>
            </w:r>
          </w:p>
        </w:tc>
      </w:tr>
      <w:tr>
        <w:trPr>
          <w:trHeight w:val="257"/>
        </w:trPr>
        <w:tc>
          <w:tcPr>
            <w:tcW w:w="5960" w:type="dxa"/>
            <w:vAlign w:val="bottom"/>
          </w:tcPr>
          <w:p>
            <w:pPr>
              <w:ind w:left="720"/>
              <w:spacing w:after="0"/>
              <w:rPr>
                <w:sz w:val="20"/>
                <w:szCs w:val="20"/>
                <w:color w:val="auto"/>
              </w:rPr>
            </w:pPr>
            <w:r>
              <w:rPr>
                <w:rFonts w:ascii="Arial" w:cs="Arial" w:eastAsia="Arial" w:hAnsi="Arial"/>
                <w:sz w:val="18"/>
                <w:szCs w:val="18"/>
                <w:color w:val="auto"/>
              </w:rPr>
              <w:t>Total contract sales</w:t>
            </w:r>
          </w:p>
        </w:tc>
        <w:tc>
          <w:tcPr>
            <w:tcW w:w="3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31,049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51,948</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(20,899)</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(40%)</w:t>
            </w: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878"/>
        <w:spacing w:after="0" w:line="259" w:lineRule="auto"/>
        <w:rPr>
          <w:sz w:val="20"/>
          <w:szCs w:val="20"/>
          <w:color w:val="auto"/>
        </w:rPr>
      </w:pPr>
      <w:r>
        <w:rPr>
          <w:rFonts w:ascii="Arial" w:cs="Arial" w:eastAsia="Arial" w:hAnsi="Arial"/>
          <w:sz w:val="18"/>
          <w:szCs w:val="18"/>
          <w:color w:val="auto"/>
        </w:rPr>
        <w:t>The increase in Asia Pacific vacation ownership contract sales was driven by an 11 percent increase in VPG and a 19 percent increase in tours. These increases were both driven by an increase in sales to existing owners, and the increase in tours was also driven by the new sales location in Australia. The decrease in Asia Pacific residential sales was due to the bulk sale of 18 whole ownership residential units in Macau during the first quarter of 2015 for $28.4 million, following which no residential inventory remained in this segment.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Vacation Ownership Products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4"/>
              </w:rPr>
              <w:t>Twelve Weeks Ended</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8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11,169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4,292</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62%</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Reportability</w:t>
            </w: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Sales reserve</w:t>
            </w:r>
          </w:p>
        </w:tc>
        <w:tc>
          <w:tcPr>
            <w:tcW w:w="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3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38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10,010</w:t>
            </w:r>
          </w:p>
        </w:tc>
        <w:tc>
          <w:tcPr>
            <w:tcW w:w="100" w:type="dxa"/>
            <w:vAlign w:val="bottom"/>
          </w:tcPr>
          <w:p>
            <w:pPr>
              <w:spacing w:after="0"/>
              <w:rPr>
                <w:sz w:val="22"/>
                <w:szCs w:val="22"/>
                <w:color w:val="auto"/>
              </w:rPr>
            </w:pPr>
          </w:p>
        </w:tc>
        <w:tc>
          <w:tcPr>
            <w:tcW w:w="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6,303</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3,707</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59%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9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increase in the sales reserve was due to the higher vacation ownership contract sales volume in the current period.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sales</w:t>
            </w:r>
          </w:p>
        </w:tc>
        <w:tc>
          <w:tcPr>
            <w:tcW w:w="34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31,049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(20,899)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(40%)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Revenue recognition adjustments:</w:t>
            </w:r>
          </w:p>
        </w:tc>
        <w:tc>
          <w:tcPr>
            <w:tcW w:w="3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Reportability</w:t>
            </w: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Sales reserve</w:t>
            </w: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(1,586)</w:t>
            </w: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Other</w:t>
            </w:r>
            <w:r>
              <w:rPr>
                <w:rFonts w:ascii="Arial" w:cs="Arial" w:eastAsia="Arial" w:hAnsi="Arial"/>
                <w:sz w:val="18"/>
                <w:szCs w:val="18"/>
                <w:color w:val="auto"/>
                <w:vertAlign w:val="superscript"/>
              </w:rPr>
              <w:t>(1)</w:t>
            </w:r>
          </w:p>
        </w:tc>
        <w:tc>
          <w:tcPr>
            <w:tcW w:w="3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5960" w:type="dxa"/>
            <w:vAlign w:val="bottom"/>
          </w:tcPr>
          <w:p>
            <w:pPr>
              <w:ind w:left="40"/>
              <w:spacing w:after="0"/>
              <w:rPr>
                <w:sz w:val="20"/>
                <w:szCs w:val="20"/>
                <w:color w:val="auto"/>
              </w:rPr>
            </w:pPr>
            <w:r>
              <w:rPr>
                <w:rFonts w:ascii="Arial" w:cs="Arial" w:eastAsia="Arial" w:hAnsi="Arial"/>
                <w:sz w:val="18"/>
                <w:szCs w:val="18"/>
                <w:color w:val="auto"/>
              </w:rPr>
              <w:t>Sale of vacation ownership products</w:t>
            </w:r>
          </w:p>
        </w:tc>
        <w:tc>
          <w:tcPr>
            <w:tcW w:w="340" w:type="dxa"/>
            <w:vAlign w:val="bottom"/>
            <w:tcBorders>
              <w:bottom w:val="single" w:sz="8" w:color="auto"/>
            </w:tcBorders>
          </w:tcPr>
          <w:p>
            <w:pPr>
              <w:jc w:val="right"/>
              <w:ind w:right="1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26,645</w:t>
            </w:r>
          </w:p>
        </w:tc>
        <w:tc>
          <w:tcPr>
            <w:tcW w:w="100" w:type="dxa"/>
            <w:vAlign w:val="bottom"/>
          </w:tcPr>
          <w:p>
            <w:pPr>
              <w:spacing w:after="0"/>
              <w:rPr>
                <w:sz w:val="22"/>
                <w:szCs w:val="22"/>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50,156</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(23,511)</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(47%)</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9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Adjustment for sales incentives that will not be recognized as Sale of vacation ownership products revenue.</w:t>
      </w:r>
    </w:p>
    <w:p>
      <w:pPr>
        <w:spacing w:after="0" w:line="203" w:lineRule="exact"/>
        <w:rPr>
          <w:sz w:val="20"/>
          <w:szCs w:val="20"/>
          <w:color w:val="auto"/>
        </w:rPr>
      </w:pPr>
    </w:p>
    <w:p>
      <w:pPr>
        <w:ind w:right="280" w:firstLine="878"/>
        <w:spacing w:after="0" w:line="277" w:lineRule="auto"/>
        <w:rPr>
          <w:sz w:val="20"/>
          <w:szCs w:val="20"/>
          <w:color w:val="auto"/>
        </w:rPr>
      </w:pPr>
      <w:r>
        <w:rPr>
          <w:rFonts w:ascii="Arial" w:cs="Arial" w:eastAsia="Arial" w:hAnsi="Arial"/>
          <w:sz w:val="18"/>
          <w:szCs w:val="18"/>
          <w:color w:val="auto"/>
        </w:rPr>
        <w:t>The increase in the sales reserve was due to an unfavorable adjustment to correct an immaterial error of $1.3 million in the current period with respect to historical static pool data and the higher vacation ownership contract sales volume in the current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Development Margin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 of vacation ownership products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10,010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3,707</w:t>
            </w:r>
          </w:p>
        </w:tc>
        <w:tc>
          <w:tcPr>
            <w:tcW w:w="136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59%</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vacation ownership products</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(1,432)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(20%)</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Marketing and sales</w:t>
            </w:r>
          </w:p>
        </w:tc>
        <w:tc>
          <w:tcPr>
            <w:tcW w:w="2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36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(78%)</w:t>
            </w: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Development margin</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283</w:t>
            </w:r>
          </w:p>
        </w:tc>
        <w:tc>
          <w:tcPr>
            <w:tcW w:w="1360" w:type="dxa"/>
            <w:vAlign w:val="bottom"/>
            <w:tcBorders>
              <w:bottom w:val="single" w:sz="8" w:color="CCEEFF"/>
            </w:tcBorders>
            <w:gridSpan w:val="2"/>
          </w:tcPr>
          <w:p>
            <w:pPr>
              <w:jc w:val="right"/>
              <w:ind w:right="388"/>
              <w:spacing w:after="0"/>
              <w:rPr>
                <w:sz w:val="20"/>
                <w:szCs w:val="20"/>
                <w:color w:val="auto"/>
              </w:rPr>
            </w:pPr>
            <w:r>
              <w:rPr>
                <w:rFonts w:ascii="Arial" w:cs="Arial" w:eastAsia="Arial" w:hAnsi="Arial"/>
                <w:sz w:val="18"/>
                <w:szCs w:val="18"/>
                <w:color w:val="auto"/>
              </w:rPr>
              <w:t>33%</w:t>
            </w:r>
          </w:p>
        </w:tc>
      </w:tr>
      <w:tr>
        <w:trPr>
          <w:trHeight w:val="230"/>
        </w:trPr>
        <w:tc>
          <w:tcPr>
            <w:tcW w:w="606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Development margin percentage</w:t>
            </w: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(2.2 pts)</w:t>
            </w:r>
          </w:p>
        </w:tc>
        <w:tc>
          <w:tcPr>
            <w:tcW w:w="1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r>
      <w:tr>
        <w:trPr>
          <w:trHeight w:val="27"/>
        </w:trPr>
        <w:tc>
          <w:tcPr>
            <w:tcW w:w="60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increase in development margin reflected the following:</w:t>
      </w:r>
    </w:p>
    <w:p>
      <w:pPr>
        <w:spacing w:after="0" w:line="117" w:lineRule="exact"/>
        <w:rPr>
          <w:sz w:val="20"/>
          <w:szCs w:val="20"/>
          <w:color w:val="auto"/>
        </w:rPr>
      </w:pPr>
    </w:p>
    <w:p>
      <w:pPr>
        <w:ind w:left="1800" w:right="440" w:hanging="333"/>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$1.3 million of higher sales volume net of direct variable expenses (i.e., cost of vacation ownership products and marketing and sales); and</w:t>
      </w:r>
    </w:p>
    <w:p>
      <w:pPr>
        <w:spacing w:after="0" w:line="62" w:lineRule="exact"/>
        <w:rPr>
          <w:rFonts w:ascii="Arial" w:cs="Arial" w:eastAsia="Arial" w:hAnsi="Arial"/>
          <w:sz w:val="18"/>
          <w:szCs w:val="18"/>
          <w:color w:val="auto"/>
        </w:rPr>
      </w:pPr>
    </w:p>
    <w:p>
      <w:pPr>
        <w:ind w:left="1800" w:right="80" w:hanging="333"/>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$0.2 million of higher favorable product cost true-ups ($0.3 million in the twelve weeks ended September 9, 2016, compared to $0.1 million in the prior year comparable period).</w:t>
      </w:r>
    </w:p>
    <w:p>
      <w:pPr>
        <w:spacing w:after="0" w:line="170" w:lineRule="exact"/>
        <w:rPr>
          <w:sz w:val="20"/>
          <w:szCs w:val="20"/>
          <w:color w:val="auto"/>
        </w:rPr>
      </w:pPr>
    </w:p>
    <w:p>
      <w:pPr>
        <w:ind w:right="120" w:firstLine="878"/>
        <w:spacing w:after="0" w:line="277" w:lineRule="auto"/>
        <w:rPr>
          <w:sz w:val="20"/>
          <w:szCs w:val="20"/>
          <w:color w:val="auto"/>
        </w:rPr>
      </w:pPr>
      <w:r>
        <w:rPr>
          <w:rFonts w:ascii="Arial" w:cs="Arial" w:eastAsia="Arial" w:hAnsi="Arial"/>
          <w:sz w:val="18"/>
          <w:szCs w:val="18"/>
          <w:color w:val="auto"/>
        </w:rPr>
        <w:t>The increases were partially offset by $1.1 million of pre-opening and startup expenses in support of the new sales location in Australia and $0.1 million of lower revenue reportability compared to the prior year comparable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40"/>
        <w:spacing w:after="0"/>
        <w:rPr>
          <w:sz w:val="20"/>
          <w:szCs w:val="20"/>
          <w:color w:val="auto"/>
        </w:rPr>
      </w:pPr>
      <w:r>
        <w:rPr>
          <w:rFonts w:ascii="Arial" w:cs="Arial" w:eastAsia="Arial" w:hAnsi="Arial"/>
          <w:sz w:val="14"/>
          <w:szCs w:val="14"/>
          <w:b w:val="1"/>
          <w:bCs w:val="1"/>
          <w:i w:val="1"/>
          <w:iCs w:val="1"/>
          <w:color w:val="auto"/>
        </w:rPr>
        <w:t>($ in thousands)</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Sale of vacation ownership products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vacation ownership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Marketing and sales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margin</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Development margin percentage</w:t>
      </w:r>
    </w:p>
    <w:p>
      <w:pPr>
        <w:spacing w:after="0" w:line="27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The decrease in development margin reflected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4"/>
        </w:trPr>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r>
      <w:tr>
        <w:trPr>
          <w:trHeight w:val="243"/>
        </w:trPr>
        <w:tc>
          <w:tcPr>
            <w:tcW w:w="280" w:type="dxa"/>
            <w:vAlign w:val="bottom"/>
          </w:tcPr>
          <w:p>
            <w:pPr>
              <w:jc w:val="right"/>
              <w:ind w:right="7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26,645</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50,156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(23,511)</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(47%)</w:t>
            </w:r>
          </w:p>
        </w:tc>
      </w:tr>
      <w:tr>
        <w:trPr>
          <w:trHeight w:val="270"/>
        </w:trPr>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(25,231)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20,213</w:t>
            </w:r>
          </w:p>
        </w:tc>
        <w:tc>
          <w:tcPr>
            <w:tcW w:w="1360" w:type="dxa"/>
            <w:vAlign w:val="bottom"/>
            <w:gridSpan w:val="2"/>
          </w:tcPr>
          <w:p>
            <w:pPr>
              <w:jc w:val="right"/>
              <w:ind w:right="388"/>
              <w:spacing w:after="0"/>
              <w:rPr>
                <w:sz w:val="20"/>
                <w:szCs w:val="20"/>
                <w:color w:val="auto"/>
              </w:rPr>
            </w:pPr>
            <w:r>
              <w:rPr>
                <w:rFonts w:ascii="Arial" w:cs="Arial" w:eastAsia="Arial" w:hAnsi="Arial"/>
                <w:sz w:val="18"/>
                <w:szCs w:val="18"/>
                <w:color w:val="auto"/>
              </w:rPr>
              <w:t>80%</w:t>
            </w:r>
          </w:p>
        </w:tc>
      </w:tr>
      <w:tr>
        <w:trPr>
          <w:trHeight w:val="270"/>
        </w:trPr>
        <w:tc>
          <w:tcPr>
            <w:tcW w:w="2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(14,011)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(6,061)</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(43%)</w:t>
            </w:r>
          </w:p>
        </w:tc>
      </w:tr>
      <w:tr>
        <w:trPr>
          <w:trHeight w:val="27"/>
        </w:trPr>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7"/>
        </w:trPr>
        <w:tc>
          <w:tcPr>
            <w:tcW w:w="2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10,914</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(9,359)</w:t>
            </w:r>
          </w:p>
        </w:tc>
        <w:tc>
          <w:tcPr>
            <w:tcW w:w="1360" w:type="dxa"/>
            <w:vAlign w:val="bottom"/>
            <w:gridSpan w:val="2"/>
          </w:tcPr>
          <w:p>
            <w:pPr>
              <w:jc w:val="right"/>
              <w:ind w:right="328"/>
              <w:spacing w:after="0"/>
              <w:rPr>
                <w:sz w:val="20"/>
                <w:szCs w:val="20"/>
                <w:color w:val="auto"/>
              </w:rPr>
            </w:pPr>
            <w:r>
              <w:rPr>
                <w:rFonts w:ascii="Arial" w:cs="Arial" w:eastAsia="Arial" w:hAnsi="Arial"/>
                <w:sz w:val="18"/>
                <w:szCs w:val="18"/>
                <w:color w:val="auto"/>
              </w:rPr>
              <w:t>(86%)</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280" w:type="dxa"/>
            <w:vAlign w:val="bottom"/>
          </w:tcPr>
          <w:p>
            <w:pPr>
              <w:spacing w:after="0"/>
              <w:rPr>
                <w:sz w:val="20"/>
                <w:szCs w:val="20"/>
                <w:color w:val="auto"/>
              </w:rPr>
            </w:pPr>
          </w:p>
        </w:tc>
        <w:tc>
          <w:tcPr>
            <w:tcW w:w="1000" w:type="dxa"/>
            <w:vAlign w:val="bottom"/>
          </w:tcPr>
          <w:p>
            <w:pPr>
              <w:jc w:val="right"/>
              <w:ind w:right="37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3"/>
              <w:spacing w:after="0"/>
              <w:rPr>
                <w:sz w:val="20"/>
                <w:szCs w:val="20"/>
                <w:color w:val="auto"/>
              </w:rPr>
            </w:pPr>
            <w:r>
              <w:rPr>
                <w:rFonts w:ascii="Arial" w:cs="Arial" w:eastAsia="Arial" w:hAnsi="Arial"/>
                <w:sz w:val="18"/>
                <w:szCs w:val="18"/>
                <w:color w:val="auto"/>
                <w:w w:val="97"/>
              </w:rPr>
              <w:t>(16.0 pts)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-882650</wp:posOffset>
            </wp:positionV>
            <wp:extent cx="724662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-530860</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-170815</wp:posOffset>
            </wp:positionV>
            <wp:extent cx="7246620" cy="1885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552" w:lineRule="exact"/>
        <w:rPr>
          <w:sz w:val="20"/>
          <w:szCs w:val="20"/>
          <w:color w:val="auto"/>
        </w:rPr>
      </w:pPr>
    </w:p>
    <w:p>
      <w:pPr>
        <w:sectPr>
          <w:pgSz w:w="11900" w:h="16838" w:orient="portrait"/>
          <w:cols w:equalWidth="0" w:num="2">
            <w:col w:w="5340" w:space="720"/>
            <w:col w:w="5360"/>
          </w:cols>
          <w:pgMar w:left="240" w:top="125" w:right="239" w:bottom="1440" w:gutter="0" w:footer="0" w:header="0"/>
        </w:sectPr>
      </w:pPr>
    </w:p>
    <w:p>
      <w:pPr>
        <w:ind w:left="1800" w:right="300" w:hanging="333"/>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$5.9 million of lower residential contract sales (no residential sales in the thirty-six weeks ended September 9, 2016, compared to $5.9 million from the sale of residential inventory in the prior year comparable period);</w:t>
      </w:r>
    </w:p>
    <w:p>
      <w:pPr>
        <w:spacing w:after="0" w:line="62" w:lineRule="exact"/>
        <w:rPr>
          <w:rFonts w:ascii="Arial" w:cs="Arial" w:eastAsia="Arial" w:hAnsi="Arial"/>
          <w:sz w:val="18"/>
          <w:szCs w:val="18"/>
          <w:color w:val="auto"/>
        </w:rPr>
      </w:pPr>
    </w:p>
    <w:p>
      <w:pPr>
        <w:ind w:left="1800" w:hanging="333"/>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$2.8 million of pre-opening and startup expenses in support of the new sales location in Australia;</w:t>
      </w:r>
    </w:p>
    <w:p>
      <w:pPr>
        <w:spacing w:after="0" w:line="117" w:lineRule="exact"/>
        <w:rPr>
          <w:rFonts w:ascii="Arial" w:cs="Arial" w:eastAsia="Arial" w:hAnsi="Arial"/>
          <w:sz w:val="18"/>
          <w:szCs w:val="18"/>
          <w:color w:val="auto"/>
        </w:rPr>
      </w:pPr>
    </w:p>
    <w:p>
      <w:pPr>
        <w:ind w:left="1800" w:hanging="333"/>
        <w:spacing w:after="0" w:line="277"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$0.6 million of lower favorable product cost true-ups ($1.0 million in the thirty-six weeks ended September 9, 2016 compared to $1.6 million in the prior year comparable period);</w:t>
      </w:r>
    </w:p>
    <w:p>
      <w:pPr>
        <w:spacing w:after="0" w:line="62" w:lineRule="exact"/>
        <w:rPr>
          <w:rFonts w:ascii="Arial" w:cs="Arial" w:eastAsia="Arial" w:hAnsi="Arial"/>
          <w:sz w:val="18"/>
          <w:szCs w:val="18"/>
          <w:color w:val="auto"/>
        </w:rPr>
      </w:pPr>
    </w:p>
    <w:p>
      <w:pPr>
        <w:ind w:left="1800" w:right="80" w:hanging="333"/>
        <w:spacing w:after="0" w:line="264" w:lineRule="auto"/>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$0.9 million of the higher sales reserve activity compared to the prior year comparable period due to an unfavorable adjustment to correct an immaterial error in the current period with respect to historical static pool data and the higher vacation ownership contract sales volume; and</w:t>
      </w:r>
    </w:p>
    <w:p>
      <w:pPr>
        <w:spacing w:after="0" w:line="73" w:lineRule="exact"/>
        <w:rPr>
          <w:rFonts w:ascii="Arial" w:cs="Arial" w:eastAsia="Arial" w:hAnsi="Arial"/>
          <w:sz w:val="18"/>
          <w:szCs w:val="18"/>
          <w:color w:val="auto"/>
        </w:rPr>
      </w:pPr>
    </w:p>
    <w:p>
      <w:pPr>
        <w:ind w:left="1800" w:hanging="333"/>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$0.6 million of lower revenue reportability compared to the prior year comparable period.</w:t>
      </w:r>
    </w:p>
    <w:p>
      <w:pPr>
        <w:spacing w:after="0" w:line="225" w:lineRule="exact"/>
        <w:rPr>
          <w:sz w:val="20"/>
          <w:szCs w:val="20"/>
          <w:color w:val="auto"/>
        </w:rPr>
      </w:pPr>
    </w:p>
    <w:p>
      <w:pPr>
        <w:ind w:right="120" w:firstLine="878"/>
        <w:spacing w:after="0" w:line="277" w:lineRule="auto"/>
        <w:rPr>
          <w:sz w:val="20"/>
          <w:szCs w:val="20"/>
          <w:color w:val="auto"/>
        </w:rPr>
      </w:pPr>
      <w:r>
        <w:rPr>
          <w:rFonts w:ascii="Arial" w:cs="Arial" w:eastAsia="Arial" w:hAnsi="Arial"/>
          <w:sz w:val="18"/>
          <w:szCs w:val="18"/>
          <w:color w:val="auto"/>
        </w:rPr>
        <w:t>The decreases were partially offset by $1.4 million of higher sales volume net of higher direct variable expenses (i.e., cost of vacation ownership products and marketing and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 Management and Other Services Revenues, Expenses and Margin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services revenues</w:t>
            </w:r>
          </w:p>
        </w:tc>
        <w:tc>
          <w:tcPr>
            <w:tcW w:w="2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314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1,582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(1,268)</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(80%)</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(56%)</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1,284</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88"/>
              </w:rPr>
              <w:t>57%</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94%</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Resort management and other services margin percentage</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6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93"/>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93"/>
              <w:spacing w:after="0"/>
              <w:rPr>
                <w:sz w:val="20"/>
                <w:szCs w:val="20"/>
                <w:color w:val="auto"/>
              </w:rPr>
            </w:pPr>
            <w:r>
              <w:rPr>
                <w:rFonts w:ascii="Arial" w:cs="Arial" w:eastAsia="Arial" w:hAnsi="Arial"/>
                <w:sz w:val="18"/>
                <w:szCs w:val="18"/>
                <w:color w:val="auto"/>
              </w:rPr>
              <w:t>2.1 pts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20" w:firstLine="878"/>
        <w:spacing w:after="0" w:line="277" w:lineRule="auto"/>
        <w:rPr>
          <w:sz w:val="20"/>
          <w:szCs w:val="20"/>
          <w:color w:val="auto"/>
        </w:rPr>
      </w:pPr>
      <w:r>
        <w:rPr>
          <w:rFonts w:ascii="Arial" w:cs="Arial" w:eastAsia="Arial" w:hAnsi="Arial"/>
          <w:sz w:val="18"/>
          <w:szCs w:val="18"/>
          <w:color w:val="auto"/>
        </w:rPr>
        <w:t>The decrease in resort management and other services revenues reflected $1.3 million of ancillary revenues in the prior year comparable period from the operating property in Australia that was disposed of in the second quarter of 2016.</w:t>
      </w:r>
    </w:p>
    <w:p>
      <w:pPr>
        <w:spacing w:after="0" w:line="170" w:lineRule="exact"/>
        <w:rPr>
          <w:sz w:val="20"/>
          <w:szCs w:val="20"/>
          <w:color w:val="auto"/>
        </w:rPr>
      </w:pPr>
    </w:p>
    <w:p>
      <w:pPr>
        <w:ind w:right="40" w:firstLine="878"/>
        <w:spacing w:after="0" w:line="259" w:lineRule="auto"/>
        <w:rPr>
          <w:sz w:val="20"/>
          <w:szCs w:val="20"/>
          <w:color w:val="auto"/>
        </w:rPr>
      </w:pPr>
      <w:r>
        <w:rPr>
          <w:rFonts w:ascii="Arial" w:cs="Arial" w:eastAsia="Arial" w:hAnsi="Arial"/>
          <w:sz w:val="18"/>
          <w:szCs w:val="18"/>
          <w:color w:val="auto"/>
        </w:rPr>
        <w:t>There was an immaterial change in the resort management and other services margin, which included $0.1 million of profit from the operating property in Australia in the prior year comparable period and $0.1 million of lower other costs in the current period. The ancillary revenue producing portions of the operating property in Australia were included in the sale of the operating property. Therefore, we do not anticipate future ancillary revenues or expenses at our property in Australia.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type w:val="continuous"/>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Management fee revenues</w:t>
            </w:r>
          </w:p>
        </w:tc>
        <w:tc>
          <w:tcPr>
            <w:tcW w:w="2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2%</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Other services revenues</w:t>
            </w: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7,149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4,969</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228%</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revenues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5,008</w:t>
            </w:r>
          </w:p>
        </w:tc>
        <w:tc>
          <w:tcPr>
            <w:tcW w:w="14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124%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Resort management and other services expenses</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(8,758)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(4,989)</w:t>
            </w:r>
          </w:p>
        </w:tc>
        <w:tc>
          <w:tcPr>
            <w:tcW w:w="148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(132%)</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Resort management and other services margin</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7%</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Resort management and other services margin percentage</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6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3"/>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33"/>
              <w:spacing w:after="0"/>
              <w:rPr>
                <w:sz w:val="20"/>
                <w:szCs w:val="20"/>
                <w:color w:val="auto"/>
              </w:rPr>
            </w:pPr>
            <w:r>
              <w:rPr>
                <w:rFonts w:ascii="Arial" w:cs="Arial" w:eastAsia="Arial" w:hAnsi="Arial"/>
                <w:sz w:val="18"/>
                <w:szCs w:val="18"/>
                <w:color w:val="auto"/>
              </w:rPr>
              <w:t>(3.5 pts)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878"/>
        <w:spacing w:after="0" w:line="277" w:lineRule="auto"/>
        <w:rPr>
          <w:sz w:val="20"/>
          <w:szCs w:val="20"/>
          <w:color w:val="auto"/>
        </w:rPr>
      </w:pPr>
      <w:r>
        <w:rPr>
          <w:rFonts w:ascii="Arial" w:cs="Arial" w:eastAsia="Arial" w:hAnsi="Arial"/>
          <w:sz w:val="18"/>
          <w:szCs w:val="18"/>
          <w:color w:val="auto"/>
        </w:rPr>
        <w:t>The increase in resort management and other services revenues reflected $5.0 million of higher ancillary revenues from the operating property in Australia that was disposed of during the second quarter of 2016.</w:t>
      </w:r>
    </w:p>
    <w:p>
      <w:pPr>
        <w:spacing w:after="0" w:line="170" w:lineRule="exact"/>
        <w:rPr>
          <w:sz w:val="20"/>
          <w:szCs w:val="20"/>
          <w:color w:val="auto"/>
        </w:rPr>
      </w:pPr>
    </w:p>
    <w:p>
      <w:pPr>
        <w:ind w:right="160" w:firstLine="878"/>
        <w:spacing w:after="0" w:line="259" w:lineRule="auto"/>
        <w:rPr>
          <w:sz w:val="20"/>
          <w:szCs w:val="20"/>
          <w:color w:val="auto"/>
        </w:rPr>
      </w:pPr>
      <w:r>
        <w:rPr>
          <w:rFonts w:ascii="Arial" w:cs="Arial" w:eastAsia="Arial" w:hAnsi="Arial"/>
          <w:sz w:val="18"/>
          <w:szCs w:val="18"/>
          <w:color w:val="auto"/>
        </w:rPr>
        <w:t>There was an immaterial change in the resort management and other services margin, which included $0.7 million of higher profit from the operating property in Australia and $0.7 million of higher other costs, including spending in support of future growth in the business. The ancillary revenue producing portions of the operating property in Australia were included in the sale of the operating property. Therefore, we do not anticipate future ancillary revenues or expenses at our property in Australia.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Rental Revenues, Expenses and Margin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50"/>
              <w:spacing w:after="0"/>
              <w:rPr>
                <w:sz w:val="20"/>
                <w:szCs w:val="20"/>
                <w:color w:val="auto"/>
              </w:rPr>
            </w:pPr>
            <w:r>
              <w:rPr>
                <w:rFonts w:ascii="Arial" w:cs="Arial" w:eastAsia="Arial" w:hAnsi="Arial"/>
                <w:sz w:val="14"/>
                <w:szCs w:val="14"/>
                <w:b w:val="1"/>
                <w:bCs w:val="1"/>
                <w:color w:val="auto"/>
              </w:rPr>
              <w:t>Twelve Weeks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revenues</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480" w:type="dxa"/>
            <w:vAlign w:val="bottom"/>
            <w:tcBorders>
              <w:bottom w:val="single" w:sz="8" w:color="CCEEFF"/>
            </w:tcBorders>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799</w:t>
            </w:r>
          </w:p>
        </w:tc>
        <w:tc>
          <w:tcPr>
            <w:tcW w:w="1480" w:type="dxa"/>
            <w:vAlign w:val="bottom"/>
            <w:gridSpan w:val="2"/>
          </w:tcPr>
          <w:p>
            <w:pPr>
              <w:jc w:val="right"/>
              <w:ind w:right="448"/>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margin</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554</w:t>
            </w:r>
          </w:p>
        </w:tc>
        <w:tc>
          <w:tcPr>
            <w:tcW w:w="1480" w:type="dxa"/>
            <w:vAlign w:val="bottom"/>
            <w:tcBorders>
              <w:bottom w:val="single" w:sz="8" w:color="CCEEFF"/>
            </w:tcBorders>
            <w:gridSpan w:val="2"/>
            <w:shd w:val="clear" w:color="auto" w:fill="CCEEFF"/>
          </w:tcPr>
          <w:p>
            <w:pPr>
              <w:jc w:val="right"/>
              <w:ind w:right="448"/>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Rental margin percentage</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54"/>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17.4 pts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decrease in rental revenues included $0.8 million of revenue in the prior year comparable period from the portion of the operating property in Australia that was disposed of in the second quarter of 2016, partially offset by $0.4 million from an increase in transient and preview keys rented and $0.2 million from an increase in average transient rate. The increase in rental margin reflected the increases in transient and preview keys rented as well as the increase in average transient rate. The operating property in Australia had no impact to the change in the rental margin compared to the prior year comparable period.</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4"/>
                <w:szCs w:val="14"/>
                <w:b w:val="1"/>
                <w:bCs w:val="1"/>
                <w:color w:val="auto"/>
              </w:rPr>
              <w:t>Thirty-Six Weeks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September 9, 2016</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1"/>
              </w:rPr>
              <w:t>September 11, 2015</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revenues</w:t>
            </w: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6,349</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99%</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Rental expenses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(6,465)</w:t>
            </w:r>
          </w:p>
        </w:tc>
        <w:tc>
          <w:tcPr>
            <w:tcW w:w="1480" w:type="dxa"/>
            <w:vAlign w:val="bottom"/>
            <w:gridSpan w:val="2"/>
          </w:tcPr>
          <w:p>
            <w:pPr>
              <w:jc w:val="center"/>
              <w:ind w:left="30"/>
              <w:spacing w:after="0"/>
              <w:rPr>
                <w:sz w:val="20"/>
                <w:szCs w:val="20"/>
                <w:color w:val="auto"/>
              </w:rPr>
            </w:pPr>
            <w:r>
              <w:rPr>
                <w:rFonts w:ascii="Arial" w:cs="Arial" w:eastAsia="Arial" w:hAnsi="Arial"/>
                <w:sz w:val="18"/>
                <w:szCs w:val="18"/>
                <w:color w:val="auto"/>
                <w:w w:val="91"/>
              </w:rPr>
              <w:t>(69%)</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Rental margin</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0"/>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Rental margin percentage</w:t>
            </w: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9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254"/>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54"/>
              <w:spacing w:after="0"/>
              <w:rPr>
                <w:sz w:val="20"/>
                <w:szCs w:val="20"/>
                <w:color w:val="auto"/>
              </w:rPr>
            </w:pPr>
            <w:r>
              <w:rPr>
                <w:rFonts w:ascii="Arial" w:cs="Arial" w:eastAsia="Arial" w:hAnsi="Arial"/>
                <w:sz w:val="18"/>
                <w:szCs w:val="18"/>
                <w:color w:val="auto"/>
              </w:rPr>
              <w:t>22.2 pts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increase in rental revenues included $5.3 million of higher revenue from the operating property in Australia that was purchased in the third quarter of 2015 (a portion of which was disposed of in the second quarter of 2016) and $1.0 million from an increase in transient and preview keys rented. The decrease in rental margin reflected a $1.2 million decrease in the operating results at the operating property in Australia primarily due to unsold maintenance fees in the current period, partially</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25" w:right="239" w:bottom="1440" w:gutter="0" w:footer="0" w:header="0"/>
          <w:type w:val="continuous"/>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offset by $1.1 million of higher rental revenues net of direct variable expenses (such as housekeeping), expenses incurred due to owners choosing alternative usage options, and unsold maintenance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and Thirty-Six Weeks Ended September 9, 2016</w:t>
      </w:r>
    </w:p>
    <w:p>
      <w:pPr>
        <w:spacing w:after="0" w:line="225" w:lineRule="exact"/>
        <w:rPr>
          <w:sz w:val="20"/>
          <w:szCs w:val="20"/>
          <w:color w:val="auto"/>
        </w:rPr>
      </w:pPr>
    </w:p>
    <w:p>
      <w:pPr>
        <w:jc w:val="both"/>
        <w:ind w:right="20" w:firstLine="878"/>
        <w:spacing w:after="0" w:line="259" w:lineRule="auto"/>
        <w:rPr>
          <w:sz w:val="20"/>
          <w:szCs w:val="20"/>
          <w:color w:val="auto"/>
        </w:rPr>
      </w:pPr>
      <w:r>
        <w:rPr>
          <w:rFonts w:ascii="Arial" w:cs="Arial" w:eastAsia="Arial" w:hAnsi="Arial"/>
          <w:sz w:val="18"/>
          <w:szCs w:val="18"/>
          <w:color w:val="auto"/>
        </w:rPr>
        <w:t>During the first quarter of 2016, we incurred $0.2 million of transaction related costs associated with the then anticipated sale of the portion of the operating property located in Surfers Paradise, Australia that we did not intend to convert to vacation ownership inventory. See Footnote No. 5, “Acquisitions and Dispositions,” to our Financial Statements for further information related to this transaction. We did not incur any material transaction related costs in the second or third quarters of 2016.</w:t>
      </w:r>
    </w:p>
    <w:p>
      <w:pPr>
        <w:spacing w:after="0" w:line="187" w:lineRule="exact"/>
        <w:rPr>
          <w:sz w:val="20"/>
          <w:szCs w:val="20"/>
          <w:color w:val="auto"/>
        </w:rPr>
      </w:pPr>
    </w:p>
    <w:p>
      <w:pPr>
        <w:ind w:right="40" w:firstLine="878"/>
        <w:spacing w:after="0" w:line="259" w:lineRule="auto"/>
        <w:rPr>
          <w:sz w:val="20"/>
          <w:szCs w:val="20"/>
          <w:color w:val="auto"/>
        </w:rPr>
      </w:pPr>
      <w:r>
        <w:rPr>
          <w:rFonts w:ascii="Arial" w:cs="Arial" w:eastAsia="Arial" w:hAnsi="Arial"/>
          <w:sz w:val="18"/>
          <w:szCs w:val="18"/>
          <w:color w:val="auto"/>
        </w:rPr>
        <w:t>During the second quarter of 2015, we incurred $1.3 million of transaction related costs associated with the purchase of the operating property located in Surfers Paradise, Australia that occurred in the third quarter of 2015. During the third quarter of 2015, we incurred $4.2 million of transaction related costs associated with the purchase of the operating property located in Surfers Paradise, Australia. We did not incur any transaction related costs in the first quarter of 2015.</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Twelve Weeks Ended</w:t>
            </w:r>
          </w:p>
        </w:tc>
        <w:tc>
          <w:tcPr>
            <w:tcW w:w="6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Thirty-Six Weeks Ended</w:t>
            </w:r>
          </w:p>
        </w:tc>
      </w:tr>
      <w:tr>
        <w:trPr>
          <w:trHeight w:val="264"/>
        </w:trPr>
        <w:tc>
          <w:tcPr>
            <w:tcW w:w="582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9, 2016</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11, 2015</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September 9, 2016</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11, 2015</w:t>
            </w: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EXPENSES</w:t>
            </w: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Cost of vacation ownership products</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680" w:type="dxa"/>
            <w:vAlign w:val="bottom"/>
          </w:tcPr>
          <w:p>
            <w:pPr>
              <w:jc w:val="right"/>
              <w:ind w:right="47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1,538</w:t>
            </w:r>
          </w:p>
        </w:tc>
        <w:tc>
          <w:tcPr>
            <w:tcW w:w="120" w:type="dxa"/>
            <w:vAlign w:val="bottom"/>
          </w:tcPr>
          <w:p>
            <w:pPr>
              <w:spacing w:after="0"/>
              <w:rPr>
                <w:sz w:val="21"/>
                <w:szCs w:val="21"/>
                <w:color w:val="auto"/>
              </w:rPr>
            </w:pP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5,097</w:t>
            </w:r>
          </w:p>
        </w:tc>
        <w:tc>
          <w:tcPr>
            <w:tcW w:w="120" w:type="dxa"/>
            <w:vAlign w:val="bottom"/>
          </w:tcPr>
          <w:p>
            <w:pPr>
              <w:spacing w:after="0"/>
              <w:rPr>
                <w:sz w:val="21"/>
                <w:szCs w:val="21"/>
                <w:color w:val="auto"/>
              </w:rPr>
            </w:pPr>
          </w:p>
        </w:tc>
        <w:tc>
          <w:tcPr>
            <w:tcW w:w="360" w:type="dxa"/>
            <w:vAlign w:val="bottom"/>
          </w:tcPr>
          <w:p>
            <w:pPr>
              <w:jc w:val="right"/>
              <w:ind w:right="15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4,400</w:t>
            </w:r>
          </w:p>
        </w:tc>
      </w:tr>
      <w:tr>
        <w:trPr>
          <w:trHeight w:val="27"/>
        </w:trPr>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Financing</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4,855</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16,478</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21,619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23,214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71,504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68,883</w:t>
            </w:r>
          </w:p>
        </w:tc>
      </w:tr>
      <w:tr>
        <w:trPr>
          <w:trHeight w:val="27"/>
        </w:trPr>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3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Organizational and separation related</w:t>
            </w:r>
          </w:p>
        </w:tc>
        <w:tc>
          <w:tcPr>
            <w:tcW w:w="3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419</w:t>
            </w:r>
          </w:p>
        </w:tc>
      </w:tr>
      <w:tr>
        <w:trPr>
          <w:trHeight w:val="27"/>
        </w:trPr>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 financing interest</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5,361</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15,840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16,558</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Royalty fee</w:t>
            </w:r>
          </w:p>
        </w:tc>
        <w:tc>
          <w:tcPr>
            <w:tcW w:w="38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11,475</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11,507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34,426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34,521</w:t>
            </w:r>
          </w:p>
        </w:tc>
      </w:tr>
      <w:tr>
        <w:trPr>
          <w:trHeight w:val="27"/>
        </w:trPr>
        <w:tc>
          <w:tcPr>
            <w:tcW w:w="5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5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EXPENSES</w:t>
            </w:r>
          </w:p>
        </w:tc>
        <w:tc>
          <w:tcPr>
            <w:tcW w:w="3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44,644</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47,416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141,215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141,393</w:t>
            </w:r>
          </w:p>
        </w:tc>
      </w:tr>
      <w:tr>
        <w:trPr>
          <w:trHeight w:val="237"/>
        </w:trPr>
        <w:tc>
          <w:tcPr>
            <w:tcW w:w="5820" w:type="dxa"/>
            <w:vAlign w:val="bottom"/>
          </w:tcPr>
          <w:p>
            <w:pPr>
              <w:ind w:left="380"/>
              <w:spacing w:after="0"/>
              <w:rPr>
                <w:sz w:val="20"/>
                <w:szCs w:val="20"/>
                <w:color w:val="auto"/>
              </w:rPr>
            </w:pPr>
            <w:r>
              <w:rPr>
                <w:rFonts w:ascii="Arial" w:cs="Arial" w:eastAsia="Arial" w:hAnsi="Arial"/>
                <w:sz w:val="18"/>
                <w:szCs w:val="18"/>
                <w:color w:val="auto"/>
              </w:rPr>
              <w:t>Losses and other expense</w:t>
            </w:r>
          </w:p>
        </w:tc>
        <w:tc>
          <w:tcPr>
            <w:tcW w:w="3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3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(6,331)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(8,822)</w:t>
            </w:r>
          </w:p>
        </w:tc>
      </w:tr>
      <w:tr>
        <w:trPr>
          <w:trHeight w:val="243"/>
        </w:trPr>
        <w:tc>
          <w:tcPr>
            <w:tcW w:w="5820" w:type="dxa"/>
            <w:vAlign w:val="bottom"/>
          </w:tcPr>
          <w:p>
            <w:pPr>
              <w:ind w:left="38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7"/>
        </w:trPr>
        <w:tc>
          <w:tcPr>
            <w:tcW w:w="58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5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FINANCIAL RESULTS</w:t>
            </w:r>
          </w:p>
        </w:tc>
        <w:tc>
          <w:tcPr>
            <w:tcW w:w="3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(46,915)</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(51,277)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(147,917)</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(151,237)</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40" w:firstLine="878"/>
        <w:spacing w:after="0" w:line="259" w:lineRule="auto"/>
        <w:rPr>
          <w:sz w:val="20"/>
          <w:szCs w:val="20"/>
          <w:color w:val="auto"/>
        </w:rPr>
      </w:pPr>
      <w:r>
        <w:rPr>
          <w:rFonts w:ascii="Arial" w:cs="Arial" w:eastAsia="Arial" w:hAnsi="Arial"/>
          <w:sz w:val="18"/>
          <w:szCs w:val="18"/>
          <w:color w:val="auto"/>
        </w:rPr>
        <w:t>Corporate and Other consists of results not specifically attributable to an individual segment, including expenses in support of our financing operations, non-capitalizable development expenses incurred to support overall company development, company-wide general and administrative costs, corporate interest expense, consumer financing interest expense and the fixed royalty fee payable under the license agreements that we entered into with Marriott International in connection with our spin-off from Marriott International.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Expenses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Twelve Weeks Ended September 9, 2016</w:t>
      </w:r>
    </w:p>
    <w:p>
      <w:pPr>
        <w:spacing w:after="0" w:line="225" w:lineRule="exact"/>
        <w:rPr>
          <w:sz w:val="20"/>
          <w:szCs w:val="20"/>
          <w:color w:val="auto"/>
        </w:rPr>
      </w:pPr>
    </w:p>
    <w:p>
      <w:pPr>
        <w:ind w:right="60" w:firstLine="878"/>
        <w:spacing w:after="0" w:line="297" w:lineRule="auto"/>
        <w:rPr>
          <w:sz w:val="20"/>
          <w:szCs w:val="20"/>
          <w:color w:val="auto"/>
        </w:rPr>
      </w:pPr>
      <w:r>
        <w:rPr>
          <w:rFonts w:ascii="Arial" w:cs="Arial" w:eastAsia="Arial" w:hAnsi="Arial"/>
          <w:sz w:val="16"/>
          <w:szCs w:val="16"/>
          <w:color w:val="auto"/>
        </w:rPr>
        <w:t>Total expenses decreased $2.8 million from the prior year comparable period. The $2.8 million decrease resulted from $1.6 million of lower general and administrative expenses, $0.6 million of lower financing expenses, $0.4 million of prior year organizational and separation related expenses and $0.2 million of lower cost of vacation ownership products expenses, partially offset by $0.1 million of higher consumer financing interest expense. The lower general and administrative expenses were driven by $1.8 million of costs related to a refurbishment project in the prior year comparable period and lower wages and benefits in the current period, partially offset by higher information technology project costs and inflationary cost increases.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Thirty-Six Weeks Ended September 9, 2016</w:t>
      </w:r>
    </w:p>
    <w:p>
      <w:pPr>
        <w:spacing w:after="0" w:line="225" w:lineRule="exact"/>
        <w:rPr>
          <w:sz w:val="20"/>
          <w:szCs w:val="20"/>
          <w:color w:val="auto"/>
        </w:rPr>
      </w:pPr>
    </w:p>
    <w:p>
      <w:pPr>
        <w:ind w:right="140" w:firstLine="878"/>
        <w:spacing w:after="0" w:line="255" w:lineRule="auto"/>
        <w:rPr>
          <w:sz w:val="20"/>
          <w:szCs w:val="20"/>
          <w:color w:val="auto"/>
        </w:rPr>
      </w:pPr>
      <w:r>
        <w:rPr>
          <w:rFonts w:ascii="Arial" w:cs="Arial" w:eastAsia="Arial" w:hAnsi="Arial"/>
          <w:sz w:val="18"/>
          <w:szCs w:val="18"/>
          <w:color w:val="auto"/>
        </w:rPr>
        <w:t>Total expenses decreased $0.2 million from the prior year comparable period. The $0.2 million decrease resulted from $2.1 million of lower financing expenses, $0.7 million of lower consumer financing interest expense, $0.4 million of prior year organizational and separation related expenses and $0.1 million of prior year litigation settlement expenses, partially offset by $2.6 million of higher general and administrative expenses and $0.7 million of higher cost of vacation ownership products expenses due to higher non-capitalizable project expenses. The higher general and administrative expenses were driven by higher information technology project costs and inflationary cost increases, partially offset by $1.8 million of costs related to a refurbishment project in the prior year comparable period.</w:t>
      </w:r>
    </w:p>
    <w:p>
      <w:pPr>
        <w:spacing w:after="0" w:line="193" w:lineRule="exact"/>
        <w:rPr>
          <w:sz w:val="20"/>
          <w:szCs w:val="20"/>
          <w:color w:val="auto"/>
        </w:rPr>
      </w:pPr>
    </w:p>
    <w:p>
      <w:pPr>
        <w:jc w:val="both"/>
        <w:ind w:right="580" w:firstLine="878"/>
        <w:spacing w:after="0" w:line="259" w:lineRule="auto"/>
        <w:rPr>
          <w:sz w:val="20"/>
          <w:szCs w:val="20"/>
          <w:color w:val="auto"/>
        </w:rPr>
      </w:pPr>
      <w:r>
        <w:rPr>
          <w:rFonts w:ascii="Arial" w:cs="Arial" w:eastAsia="Arial" w:hAnsi="Arial"/>
          <w:sz w:val="18"/>
          <w:szCs w:val="18"/>
          <w:color w:val="auto"/>
        </w:rPr>
        <w:t>The $0.7 million decline in consumer financing interest expense was due to a lower average interest rate on the outstanding debt balances, partially offset by a higher average outstanding debt balance. The lower average interest rate reflected the continued pay-down of older securitization transactions that carried higher overall interest rates and the benefit of lower interest rates applicable to our more recently completed securitizations of vacation ownership notes receivable.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280" w:firstLine="878"/>
        <w:spacing w:after="0" w:line="277" w:lineRule="auto"/>
        <w:rPr>
          <w:sz w:val="20"/>
          <w:szCs w:val="20"/>
          <w:color w:val="auto"/>
        </w:rPr>
      </w:pPr>
      <w:r>
        <w:rPr>
          <w:rFonts w:ascii="Arial" w:cs="Arial" w:eastAsia="Arial" w:hAnsi="Arial"/>
          <w:sz w:val="18"/>
          <w:szCs w:val="18"/>
          <w:color w:val="auto"/>
        </w:rPr>
        <w:t>See Footnote No. 1, “Summary of Significant Accounting Policies,” to our Financial Statements for a discussion of recently issued accounting pronouncements, including information on new accounting standards and the future adoption of such standards.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firstLine="878"/>
        <w:spacing w:after="0" w:line="270" w:lineRule="auto"/>
        <w:rPr>
          <w:sz w:val="20"/>
          <w:szCs w:val="20"/>
          <w:color w:val="auto"/>
        </w:rPr>
      </w:pPr>
      <w:r>
        <w:rPr>
          <w:rFonts w:ascii="Arial" w:cs="Arial" w:eastAsia="Arial" w:hAnsi="Arial"/>
          <w:sz w:val="17"/>
          <w:szCs w:val="17"/>
          <w:color w:val="auto"/>
        </w:rPr>
        <w:t>Our capital needs are supported by cash on hand ($174.8 million at the end of the third quarter of 2016), cash generated from operations, our ability to raise capital through securitizations in the ABS market and, to the extent necessary, funds available under the Warehouse Credit Facility and the Revolving Corporate Credit Facility. We believe these sources of capital will be adequate to meet our short-term and long-term liquidity requirements, finance our long-term growth plans, satisfy debt service requirements, and fulfill other cash requirements. At the end of the third quarter of 2016, we had $815.2 million of total gross debt outstanding, which included $806.7 million of non-recourse debt associated with vacation ownership notes receivable securitizations. In addition, we have $40.0 million of gross mandatorily redeemable preferred stock of a consolidated subsidiary that we are not required to redeem until October 2021. However, subsequent to the end of the third quarter of 2016, we notified the holders of the mandatorily redeemable preferred stock of our election to exercise our option to redeem the preferred stock on October 26, 2016 at par plus any accrued and unpaid dividends. We intend to use cash on hand to pay the redemption price.</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At the end of the third quarter of 2016, we had $709.9 million of real estate inventory on hand, comprised of $319.7 million of finished goods,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$66.5 million of work-in-progress and $323.7 million of land and infrastructure. We expect to continue to sell excess Ritz-Carlton branded inventory through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MVCD program in order to generate incremental cash and reduce related carrying costs.</w:t>
      </w:r>
    </w:p>
    <w:p>
      <w:pPr>
        <w:spacing w:after="0" w:line="211" w:lineRule="exact"/>
        <w:rPr>
          <w:sz w:val="20"/>
          <w:szCs w:val="20"/>
          <w:color w:val="auto"/>
        </w:rPr>
      </w:pPr>
    </w:p>
    <w:p>
      <w:pPr>
        <w:ind w:right="60" w:firstLine="878"/>
        <w:spacing w:after="0" w:line="273" w:lineRule="auto"/>
        <w:rPr>
          <w:sz w:val="20"/>
          <w:szCs w:val="20"/>
          <w:color w:val="auto"/>
        </w:rPr>
      </w:pPr>
      <w:r>
        <w:rPr>
          <w:rFonts w:ascii="Arial" w:cs="Arial" w:eastAsia="Arial" w:hAnsi="Arial"/>
          <w:sz w:val="17"/>
          <w:szCs w:val="17"/>
          <w:color w:val="auto"/>
        </w:rPr>
        <w:t>Our vacation ownership product offerings allow us to utilize our real estate inventory efficiently. The majority of our sales are of points-based products, which permits us to sell vacation ownership products at most of our sales locations, including those where little or no weeks-based inventory remains available for sale. Because we no longer need specific resort-based inventory at each sales location, we need to have only a few resorts under construction at any given time and can leverage successful sales locations at completed resorts. This allows us to maintain long-term sales locations and reduces the need to develop and staff on-site sales locations at smaller projects in the future. We believe our points-based programs enable us to align our real estate inventory acquisitions with the pace of sales of vacation ownership products.</w:t>
      </w:r>
    </w:p>
    <w:p>
      <w:pPr>
        <w:spacing w:after="0" w:line="178" w:lineRule="exact"/>
        <w:rPr>
          <w:sz w:val="20"/>
          <w:szCs w:val="20"/>
          <w:color w:val="auto"/>
        </w:rPr>
      </w:pPr>
    </w:p>
    <w:p>
      <w:pPr>
        <w:ind w:right="220" w:firstLine="878"/>
        <w:spacing w:after="0" w:line="259" w:lineRule="auto"/>
        <w:rPr>
          <w:sz w:val="20"/>
          <w:szCs w:val="20"/>
          <w:color w:val="auto"/>
        </w:rPr>
      </w:pPr>
      <w:r>
        <w:rPr>
          <w:rFonts w:ascii="Arial" w:cs="Arial" w:eastAsia="Arial" w:hAnsi="Arial"/>
          <w:sz w:val="18"/>
          <w:szCs w:val="18"/>
          <w:color w:val="auto"/>
        </w:rPr>
        <w:t>We are selectively pursuing growth opportunities in North America and Asia Pacific by targeting high-quality inventory that would allow us to add desirable new destinations to our system with new on-site sales locations through transactions that limit our up-front capital investment and allow us to purchase finished inventory closer to the time it is needed for sale. These capital efficient deals may consist of the development of new inventory, or the conversion of previously built units by third parties, just prior to sale.</w:t>
      </w:r>
    </w:p>
    <w:p>
      <w:pPr>
        <w:spacing w:after="0" w:line="187" w:lineRule="exact"/>
        <w:rPr>
          <w:sz w:val="20"/>
          <w:szCs w:val="20"/>
          <w:color w:val="auto"/>
        </w:rPr>
      </w:pPr>
    </w:p>
    <w:p>
      <w:pPr>
        <w:ind w:right="160" w:firstLine="878"/>
        <w:spacing w:after="0" w:line="277" w:lineRule="auto"/>
        <w:rPr>
          <w:sz w:val="20"/>
          <w:szCs w:val="20"/>
          <w:color w:val="auto"/>
        </w:rPr>
      </w:pPr>
      <w:r>
        <w:rPr>
          <w:rFonts w:ascii="Arial" w:cs="Arial" w:eastAsia="Arial" w:hAnsi="Arial"/>
          <w:sz w:val="18"/>
          <w:szCs w:val="18"/>
          <w:color w:val="auto"/>
        </w:rPr>
        <w:t>We intend for our capital allocation strategy to strike a balance between enhancing our operations and using our capital to provide returns to our shareholders through programs such as share repurchase programs and payment of dividends.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00" w:firstLine="878"/>
        <w:spacing w:after="0" w:line="308" w:lineRule="auto"/>
        <w:rPr>
          <w:sz w:val="20"/>
          <w:szCs w:val="20"/>
          <w:color w:val="auto"/>
        </w:rPr>
      </w:pPr>
      <w:r>
        <w:rPr>
          <w:rFonts w:ascii="Arial" w:cs="Arial" w:eastAsia="Arial" w:hAnsi="Arial"/>
          <w:sz w:val="17"/>
          <w:szCs w:val="17"/>
          <w:color w:val="auto"/>
        </w:rPr>
        <w:t>During the thirty-six weeks ended September 9, 2016, we had a net decrease in cash and cash equivalents of $2.3 million compared to a net decrease of $24.8 million during the thirty-six weeks ended September 11, 2015. The following table summarizes these changes: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Thirty-Six Weeks Ended</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9, 2016</w:t>
            </w:r>
          </w:p>
        </w:tc>
        <w:tc>
          <w:tcPr>
            <w:tcW w:w="140" w:type="dxa"/>
            <w:vAlign w:val="bottom"/>
          </w:tcPr>
          <w:p>
            <w:pPr>
              <w:spacing w:after="0"/>
              <w:rPr>
                <w:sz w:val="22"/>
                <w:szCs w:val="22"/>
                <w:color w:val="auto"/>
              </w:rPr>
            </w:pPr>
          </w:p>
        </w:tc>
        <w:tc>
          <w:tcPr>
            <w:tcW w:w="134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September 11,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in):</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90,885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100,724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(60,542)</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(89,627)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(61,764)</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Effect of change in exchange rates on cash and cash equivalents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(24,825)</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u w:val="single" w:color="auto"/>
          <w:color w:val="auto"/>
        </w:rPr>
        <w:t>Cash from Operating Activities</w:t>
      </w:r>
    </w:p>
    <w:p>
      <w:pPr>
        <w:spacing w:after="0" w:line="225" w:lineRule="exact"/>
        <w:rPr>
          <w:sz w:val="20"/>
          <w:szCs w:val="20"/>
          <w:color w:val="auto"/>
        </w:rPr>
      </w:pPr>
    </w:p>
    <w:p>
      <w:pPr>
        <w:ind w:right="180" w:firstLine="878"/>
        <w:spacing w:after="0" w:line="259" w:lineRule="auto"/>
        <w:rPr>
          <w:sz w:val="20"/>
          <w:szCs w:val="20"/>
          <w:color w:val="auto"/>
        </w:rPr>
      </w:pPr>
      <w:r>
        <w:rPr>
          <w:rFonts w:ascii="Arial" w:cs="Arial" w:eastAsia="Arial" w:hAnsi="Arial"/>
          <w:sz w:val="18"/>
          <w:szCs w:val="18"/>
          <w:color w:val="auto"/>
        </w:rPr>
        <w:t>Our primary sources of funds from operations are (1) cash sales and down payments on financed sales, (2) cash from our financing operations, including principal and interest payments received on outstanding vacation ownership notes receivable and (3) net cash generated from our rental and resort management and other services operations. Outflows include spending for the development of new phases of existing resorts, the acquisition of additional inventory and funding our working capital needs.</w:t>
      </w:r>
    </w:p>
    <w:p>
      <w:pPr>
        <w:spacing w:after="0" w:line="187" w:lineRule="exact"/>
        <w:rPr>
          <w:sz w:val="20"/>
          <w:szCs w:val="20"/>
          <w:color w:val="auto"/>
        </w:rPr>
      </w:pPr>
    </w:p>
    <w:p>
      <w:pPr>
        <w:ind w:right="20" w:firstLine="878"/>
        <w:spacing w:after="0" w:line="257" w:lineRule="auto"/>
        <w:rPr>
          <w:sz w:val="20"/>
          <w:szCs w:val="20"/>
          <w:color w:val="auto"/>
        </w:rPr>
      </w:pPr>
      <w:r>
        <w:rPr>
          <w:rFonts w:ascii="Arial" w:cs="Arial" w:eastAsia="Arial" w:hAnsi="Arial"/>
          <w:sz w:val="18"/>
          <w:szCs w:val="18"/>
          <w:color w:val="auto"/>
        </w:rPr>
        <w:t>We minimize our working capital needs through cash management, strict credit-granting policies, and disciplined collection efforts. Our working capital needs fluctuate throughout the year given the timing of annual maintenance fees on unsold inventory we pay to property owners’ associations and certain annual compensation-related outflows. In addition, our cash from operations varies due to the timing of our owners’ repayment of vacation ownership notes receivable, the closing of sales contracts for vacation ownership products, financing propensity and cash outlays for real estate inventory acquisition and development.</w:t>
      </w:r>
    </w:p>
    <w:p>
      <w:pPr>
        <w:spacing w:after="0" w:line="188" w:lineRule="exact"/>
        <w:rPr>
          <w:sz w:val="20"/>
          <w:szCs w:val="20"/>
          <w:color w:val="auto"/>
        </w:rPr>
      </w:pPr>
    </w:p>
    <w:p>
      <w:pPr>
        <w:ind w:right="80" w:firstLine="878"/>
        <w:spacing w:after="0" w:line="273" w:lineRule="auto"/>
        <w:rPr>
          <w:sz w:val="20"/>
          <w:szCs w:val="20"/>
          <w:color w:val="auto"/>
        </w:rPr>
      </w:pPr>
      <w:r>
        <w:rPr>
          <w:rFonts w:ascii="Arial" w:cs="Arial" w:eastAsia="Arial" w:hAnsi="Arial"/>
          <w:sz w:val="17"/>
          <w:szCs w:val="17"/>
          <w:color w:val="auto"/>
        </w:rPr>
        <w:t>In the thirty-six weeks ended September 9, 2016, we generated $90.9 million of cash flows from operating activities, compared to $100.7 million in the thirty-six weeks ended September 11, 2015. Excluding the impact of changes in net income and adjustments for non-cash items, the decrease in cash flows from operations reflected higher financing propensity due to the new financing incentive program implemented in the first half of 2015, lower collections due to the reduction in the portfolio of outstanding vacation ownership notes receivable, higher payments related to employee benefits programs and the timing of distributions to property owners’ associations for maintenance fees collected on their behalf, partially offset by lower real estate inventory spending and lower payments on the liability for the Marriott Rewards customer loyalty program.</w:t>
      </w:r>
    </w:p>
    <w:p>
      <w:pPr>
        <w:spacing w:after="0" w:line="17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the thirty-six weeks ended September 11, 2015, we recorded residential contract sales of $28.4 million associated with the sale of 18 units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addition to net income and adjustments for non-cash items, the following operating activities are key drivers of our cash flow from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activities:</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Real Estate Inventory Spending In Excess of Cost of Sales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Thirty-Six Weeks Ended</w:t>
            </w:r>
          </w:p>
        </w:tc>
        <w:tc>
          <w:tcPr>
            <w:tcW w:w="0" w:type="dxa"/>
            <w:vAlign w:val="bottom"/>
          </w:tcPr>
          <w:p>
            <w:pPr>
              <w:spacing w:after="0"/>
              <w:rPr>
                <w:sz w:val="1"/>
                <w:szCs w:val="1"/>
                <w:color w:val="auto"/>
              </w:rPr>
            </w:pPr>
          </w:p>
        </w:tc>
      </w:tr>
      <w:tr>
        <w:trPr>
          <w:trHeight w:val="264"/>
        </w:trPr>
        <w:tc>
          <w:tcPr>
            <w:tcW w:w="52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3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2"/>
              </w:rPr>
              <w:t>September 9, 2016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90"/>
              </w:rPr>
              <w:t>September 11, 2015</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inventory spending</w:t>
            </w:r>
          </w:p>
        </w:tc>
        <w:tc>
          <w:tcPr>
            <w:tcW w:w="3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(102,645)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(90,585)</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w w:val="98"/>
              </w:rPr>
              <w:t>Purchase of operating properties for future conversion to inventory</w:t>
            </w:r>
          </w:p>
        </w:tc>
        <w:tc>
          <w:tcPr>
            <w:tcW w:w="3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(61,554)</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 estate inventory costs</w:t>
            </w:r>
          </w:p>
        </w:tc>
        <w:tc>
          <w:tcPr>
            <w:tcW w:w="3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95,746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143,261</w:t>
            </w:r>
          </w:p>
        </w:tc>
        <w:tc>
          <w:tcPr>
            <w:tcW w:w="0" w:type="dxa"/>
            <w:vAlign w:val="bottom"/>
          </w:tcPr>
          <w:p>
            <w:pPr>
              <w:spacing w:after="0"/>
              <w:rPr>
                <w:sz w:val="1"/>
                <w:szCs w:val="1"/>
                <w:color w:val="auto"/>
              </w:rPr>
            </w:pPr>
          </w:p>
        </w:tc>
      </w:tr>
      <w:tr>
        <w:trPr>
          <w:trHeight w:val="237"/>
        </w:trPr>
        <w:tc>
          <w:tcPr>
            <w:tcW w:w="5240" w:type="dxa"/>
            <w:vAlign w:val="bottom"/>
          </w:tcPr>
          <w:p>
            <w:pPr>
              <w:ind w:left="40"/>
              <w:spacing w:after="0"/>
              <w:rPr>
                <w:sz w:val="20"/>
                <w:szCs w:val="20"/>
                <w:color w:val="auto"/>
              </w:rPr>
            </w:pPr>
            <w:r>
              <w:rPr>
                <w:rFonts w:ascii="Arial" w:cs="Arial" w:eastAsia="Arial" w:hAnsi="Arial"/>
                <w:sz w:val="18"/>
                <w:szCs w:val="18"/>
                <w:color w:val="auto"/>
              </w:rPr>
              <w:t>Real estate inventory spending in excess of cost of sales</w:t>
            </w:r>
          </w:p>
        </w:tc>
        <w:tc>
          <w:tcPr>
            <w:tcW w:w="3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(6,899)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100" w:type="dxa"/>
            <w:vAlign w:val="bottom"/>
            <w:vMerge w:val="restart"/>
          </w:tcPr>
          <w:p>
            <w:pPr>
              <w:jc w:val="right"/>
              <w:ind w:right="2450"/>
              <w:spacing w:after="0"/>
              <w:rPr>
                <w:sz w:val="20"/>
                <w:szCs w:val="20"/>
                <w:color w:val="auto"/>
              </w:rPr>
            </w:pPr>
            <w:r>
              <w:rPr>
                <w:rFonts w:ascii="Arial" w:cs="Arial" w:eastAsia="Arial" w:hAnsi="Arial"/>
                <w:sz w:val="18"/>
                <w:szCs w:val="18"/>
                <w:color w:val="auto"/>
              </w:rPr>
              <w:t>61</w:t>
            </w: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10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24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420" w:firstLine="878"/>
        <w:spacing w:after="0" w:line="342" w:lineRule="auto"/>
        <w:rPr>
          <w:sz w:val="20"/>
          <w:szCs w:val="20"/>
          <w:color w:val="auto"/>
        </w:rPr>
      </w:pPr>
      <w:r>
        <w:rPr>
          <w:rFonts w:ascii="Arial" w:cs="Arial" w:eastAsia="Arial" w:hAnsi="Arial"/>
          <w:sz w:val="16"/>
          <w:szCs w:val="16"/>
          <w:color w:val="auto"/>
        </w:rPr>
        <w:t>We measure our real estate inventory capital efficiency by comparing the cash outflow for real estate inventory spending (a cash item) to the amount of real estate inventory costs charged to expense on our Statements of Income related to sale of vacation ownership products (a non-cash item).</w:t>
      </w:r>
    </w:p>
    <w:p>
      <w:pPr>
        <w:spacing w:after="0" w:line="124" w:lineRule="exact"/>
        <w:rPr>
          <w:sz w:val="20"/>
          <w:szCs w:val="20"/>
          <w:color w:val="auto"/>
        </w:rPr>
      </w:pPr>
    </w:p>
    <w:p>
      <w:pPr>
        <w:ind w:right="20" w:firstLine="878"/>
        <w:spacing w:after="0" w:line="279" w:lineRule="auto"/>
        <w:rPr>
          <w:sz w:val="20"/>
          <w:szCs w:val="20"/>
          <w:color w:val="auto"/>
        </w:rPr>
      </w:pPr>
      <w:r>
        <w:rPr>
          <w:rFonts w:ascii="Arial" w:cs="Arial" w:eastAsia="Arial" w:hAnsi="Arial"/>
          <w:sz w:val="17"/>
          <w:szCs w:val="17"/>
          <w:color w:val="auto"/>
        </w:rPr>
        <w:t>Our real estate inventory spending exceeded real estate inventory costs in the thirty-six weeks ended September 9, 2016, as a result of our opportunistic acquisition efforts. Real estate inventory spending included $23.5 million for the acquisition of an operating property located in the South Beach area of Miami Beach, Florida that we intend to convert, in its entirety, into vacation ownership interests for future use in our MVCD program. See Footnote No. 5, “Acquisitions and Dispositions,” to our Financial Statements for additional information regarding this transaction.</w:t>
      </w:r>
    </w:p>
    <w:p>
      <w:pPr>
        <w:spacing w:after="0" w:line="171" w:lineRule="exact"/>
        <w:rPr>
          <w:sz w:val="20"/>
          <w:szCs w:val="20"/>
          <w:color w:val="auto"/>
        </w:rPr>
      </w:pPr>
    </w:p>
    <w:p>
      <w:pPr>
        <w:ind w:right="240" w:firstLine="878"/>
        <w:spacing w:after="0" w:line="276" w:lineRule="auto"/>
        <w:rPr>
          <w:sz w:val="20"/>
          <w:szCs w:val="20"/>
          <w:color w:val="auto"/>
        </w:rPr>
      </w:pPr>
      <w:r>
        <w:rPr>
          <w:rFonts w:ascii="Arial" w:cs="Arial" w:eastAsia="Arial" w:hAnsi="Arial"/>
          <w:sz w:val="17"/>
          <w:szCs w:val="17"/>
          <w:color w:val="auto"/>
        </w:rPr>
        <w:t>During the thirty-six weeks ended September 11, 2015, we completed the acquisition of an operating property located in Surfers Paradise, Australia. We converted a portion of this property into vacation ownership inventory, a portion of which has been contributed to our new Marriott Vacation Club Destinations, Australia program and $14.9 million, the amount of the purchase price related to the converted portion, is included in Purchase of operating properties for future conversion to inventory on our Cash Flows for the thirty-six weeks ended September 11, 2015. See Footnote No. 5, “Acquisitions and Dispositions,” to our Financial Statements for additional information regarding this transaction.</w:t>
      </w:r>
    </w:p>
    <w:p>
      <w:pPr>
        <w:spacing w:after="0" w:line="173" w:lineRule="exact"/>
        <w:rPr>
          <w:sz w:val="20"/>
          <w:szCs w:val="20"/>
          <w:color w:val="auto"/>
        </w:rPr>
      </w:pPr>
    </w:p>
    <w:p>
      <w:pPr>
        <w:ind w:right="20" w:firstLine="878"/>
        <w:spacing w:after="0" w:line="297" w:lineRule="auto"/>
        <w:rPr>
          <w:sz w:val="20"/>
          <w:szCs w:val="20"/>
          <w:color w:val="auto"/>
        </w:rPr>
      </w:pPr>
      <w:r>
        <w:rPr>
          <w:rFonts w:ascii="Arial" w:cs="Arial" w:eastAsia="Arial" w:hAnsi="Arial"/>
          <w:sz w:val="16"/>
          <w:szCs w:val="16"/>
          <w:color w:val="auto"/>
        </w:rPr>
        <w:t>We also capitalized on the opportunity to add a premier destination to our portfolio through the acquisition of an operating property in San Diego, California. In order to ensure consistency with the expected related future cash flow presentation, $46.6 million of the cash purchase price allocated to property and equipment was included as an operating activity in the Purchase of operating property for future conversion to inventory line on our Cash Flows. See Footnote No. 5, “Acquisitions and Dispositions,” to our Financial Statements for additional information regarding this transaction. In the thirty-six weeks ended September 9, 2016, we began conversion of this property into vacation ownership interests for future use in our MVCD program.</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6"/>
          <w:szCs w:val="16"/>
          <w:color w:val="auto"/>
        </w:rPr>
        <w:t>Real estate inventory costs for the thirty-six weeks ended September 11, 2015 included $21.6 million related to the sale of the residential units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Macau.</w:t>
      </w:r>
    </w:p>
    <w:p>
      <w:pPr>
        <w:spacing w:after="0" w:line="211" w:lineRule="exact"/>
        <w:rPr>
          <w:sz w:val="20"/>
          <w:szCs w:val="20"/>
          <w:color w:val="auto"/>
        </w:rPr>
      </w:pPr>
    </w:p>
    <w:p>
      <w:pPr>
        <w:jc w:val="both"/>
        <w:ind w:right="240" w:firstLine="878"/>
        <w:spacing w:after="0" w:line="264" w:lineRule="auto"/>
        <w:rPr>
          <w:sz w:val="20"/>
          <w:szCs w:val="20"/>
          <w:color w:val="auto"/>
        </w:rPr>
      </w:pPr>
      <w:r>
        <w:rPr>
          <w:rFonts w:ascii="Arial" w:cs="Arial" w:eastAsia="Arial" w:hAnsi="Arial"/>
          <w:sz w:val="18"/>
          <w:szCs w:val="18"/>
          <w:color w:val="auto"/>
        </w:rPr>
        <w:t>Through our existing vacation ownership interest repurchase program, we proactively buy back previously sold vacation ownership interests at lower costs than would be required to develop new inventory. By repurchasing inventory in desirable locations, we expect to be able to stabilize the future cost of vacation ownership products.</w:t>
      </w:r>
    </w:p>
    <w:p>
      <w:pPr>
        <w:spacing w:after="0" w:line="181"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Notes Receivable Collections (Less Than) in Excess of New Mortgages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Thirty-Six Weeks Ended</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9, 2016</w:t>
            </w:r>
          </w:p>
        </w:tc>
        <w:tc>
          <w:tcPr>
            <w:tcW w:w="140" w:type="dxa"/>
            <w:vAlign w:val="bottom"/>
          </w:tcPr>
          <w:p>
            <w:pPr>
              <w:spacing w:after="0"/>
              <w:rPr>
                <w:sz w:val="22"/>
                <w:szCs w:val="22"/>
                <w:color w:val="auto"/>
              </w:rPr>
            </w:pPr>
          </w:p>
        </w:tc>
        <w:tc>
          <w:tcPr>
            <w:tcW w:w="134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September 11,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collections — non-securitized</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54,209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66,595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Vacation ownership notes receivable collections — securitized</w:t>
            </w:r>
          </w:p>
        </w:tc>
        <w:tc>
          <w:tcPr>
            <w:tcW w:w="16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123,242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126,257</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ownership notes receivable originations</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(189,029)</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Vacation ownership notes receivable collections (less than) in excess of originations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(40,739)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3,823</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78"/>
        <w:spacing w:after="0" w:line="255" w:lineRule="auto"/>
        <w:rPr>
          <w:sz w:val="20"/>
          <w:szCs w:val="20"/>
          <w:color w:val="auto"/>
        </w:rPr>
      </w:pPr>
      <w:r>
        <w:rPr>
          <w:rFonts w:ascii="Arial" w:cs="Arial" w:eastAsia="Arial" w:hAnsi="Arial"/>
          <w:sz w:val="18"/>
          <w:szCs w:val="18"/>
          <w:color w:val="auto"/>
        </w:rPr>
        <w:t>Vacation ownership notes receivable collections include principal from non-securitized and securitized vacation ownership notes receivable. Vacation ownership notes receivable collections declined during the thirty-six weeks ended September 9, 2016, as compared to the thirty-six weeks ended September 11, 2015 due to the reduction in the portfolio of outstanding vacation ownership notes receivable. Vacation ownership notes receivable originations in the thirty-six weeks ended September 9, 2016 increased due to an increase in financing propensity to 59.1 percent for the thirty-six weeks ended September 9, 2016 compared to 46.4 percent for the thirty-six weeks ended September 11, 2015, due to a new financing incentive program implemented in our North America segment in the first half of 2015. Given the success of this program to date, we expect financing propensity levels to remain higher than the 40 to 45 percent that we had been averaging in recent years.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i w:val="1"/>
          <w:iCs w:val="1"/>
          <w:u w:val="single" w:color="auto"/>
          <w:color w:val="auto"/>
        </w:rPr>
        <w:t>Cash from Investing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93"/>
              <w:spacing w:after="0"/>
              <w:rPr>
                <w:sz w:val="20"/>
                <w:szCs w:val="20"/>
                <w:color w:val="auto"/>
              </w:rPr>
            </w:pPr>
            <w:r>
              <w:rPr>
                <w:rFonts w:ascii="Arial" w:cs="Arial" w:eastAsia="Arial" w:hAnsi="Arial"/>
                <w:sz w:val="14"/>
                <w:szCs w:val="14"/>
                <w:b w:val="1"/>
                <w:bCs w:val="1"/>
                <w:color w:val="auto"/>
              </w:rPr>
              <w:t>Thirty-Six Weeks Ended</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9, 2016</w:t>
            </w:r>
          </w:p>
        </w:tc>
        <w:tc>
          <w:tcPr>
            <w:tcW w:w="140" w:type="dxa"/>
            <w:vAlign w:val="bottom"/>
          </w:tcPr>
          <w:p>
            <w:pPr>
              <w:spacing w:after="0"/>
              <w:rPr>
                <w:sz w:val="22"/>
                <w:szCs w:val="22"/>
                <w:color w:val="auto"/>
              </w:rPr>
            </w:pPr>
          </w:p>
        </w:tc>
        <w:tc>
          <w:tcPr>
            <w:tcW w:w="1340" w:type="dxa"/>
            <w:vAlign w:val="bottom"/>
          </w:tcPr>
          <w:p>
            <w:pPr>
              <w:jc w:val="right"/>
              <w:ind w:right="53"/>
              <w:spacing w:after="0"/>
              <w:rPr>
                <w:sz w:val="20"/>
                <w:szCs w:val="20"/>
                <w:color w:val="auto"/>
              </w:rPr>
            </w:pPr>
            <w:r>
              <w:rPr>
                <w:rFonts w:ascii="Arial" w:cs="Arial" w:eastAsia="Arial" w:hAnsi="Arial"/>
                <w:sz w:val="14"/>
                <w:szCs w:val="14"/>
                <w:b w:val="1"/>
                <w:bCs w:val="1"/>
                <w:color w:val="auto"/>
                <w:w w:val="90"/>
              </w:rPr>
              <w:t>September 11,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for property and equipment (excluding inventory)</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Purchase of operating property to be sold</w:t>
            </w:r>
          </w:p>
        </w:tc>
        <w:tc>
          <w:tcPr>
            <w:tcW w:w="1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(47,658)</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restricted cash</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(46,709)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Dispositions, net</w:t>
            </w:r>
          </w:p>
        </w:tc>
        <w:tc>
          <w:tcPr>
            <w:tcW w:w="16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68,525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20,605</w:t>
            </w:r>
          </w:p>
        </w:tc>
      </w:tr>
      <w:tr>
        <w:trPr>
          <w:trHeight w:val="27"/>
        </w:trPr>
        <w:tc>
          <w:tcPr>
            <w:tcW w:w="8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(60,542)</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Capital Expenditures for Property and Equipment</w:t>
      </w:r>
    </w:p>
    <w:p>
      <w:pPr>
        <w:spacing w:after="0" w:line="225" w:lineRule="exact"/>
        <w:rPr>
          <w:sz w:val="20"/>
          <w:szCs w:val="20"/>
          <w:color w:val="auto"/>
        </w:rPr>
      </w:pPr>
    </w:p>
    <w:p>
      <w:pPr>
        <w:ind w:right="120" w:firstLine="878"/>
        <w:spacing w:after="0" w:line="277" w:lineRule="auto"/>
        <w:rPr>
          <w:sz w:val="20"/>
          <w:szCs w:val="20"/>
          <w:color w:val="auto"/>
        </w:rPr>
      </w:pPr>
      <w:r>
        <w:rPr>
          <w:rFonts w:ascii="Arial" w:cs="Arial" w:eastAsia="Arial" w:hAnsi="Arial"/>
          <w:sz w:val="18"/>
          <w:szCs w:val="18"/>
          <w:color w:val="auto"/>
        </w:rPr>
        <w:t>Capital expenditures for property and equipment relate to spending for technology development, buildings and equipment used at sales locations and ancillary offerings, such as food and beverage offerings, at locations where such offerings are provided.</w:t>
      </w:r>
    </w:p>
    <w:p>
      <w:pPr>
        <w:spacing w:after="0" w:line="170" w:lineRule="exact"/>
        <w:rPr>
          <w:sz w:val="20"/>
          <w:szCs w:val="20"/>
          <w:color w:val="auto"/>
        </w:rPr>
      </w:pPr>
    </w:p>
    <w:p>
      <w:pPr>
        <w:ind w:right="160" w:firstLine="878"/>
        <w:spacing w:after="0" w:line="264" w:lineRule="auto"/>
        <w:rPr>
          <w:sz w:val="20"/>
          <w:szCs w:val="20"/>
          <w:color w:val="auto"/>
        </w:rPr>
      </w:pPr>
      <w:r>
        <w:rPr>
          <w:rFonts w:ascii="Arial" w:cs="Arial" w:eastAsia="Arial" w:hAnsi="Arial"/>
          <w:sz w:val="18"/>
          <w:szCs w:val="18"/>
          <w:color w:val="auto"/>
        </w:rPr>
        <w:t>In the thirty-six weeks ended September 9, 2016, capital expenditures for property and equipment of $22.4 million included $16.8 million to support business operations (including $13.7 million for sales locations and $3.1 million for ancillary and operations assets) and $5.6 million for technology spending.</w:t>
      </w:r>
    </w:p>
    <w:p>
      <w:pPr>
        <w:spacing w:after="0" w:line="181" w:lineRule="exact"/>
        <w:rPr>
          <w:sz w:val="20"/>
          <w:szCs w:val="20"/>
          <w:color w:val="auto"/>
        </w:rPr>
      </w:pPr>
    </w:p>
    <w:p>
      <w:pPr>
        <w:ind w:right="120" w:firstLine="878"/>
        <w:spacing w:after="0" w:line="276" w:lineRule="auto"/>
        <w:rPr>
          <w:sz w:val="20"/>
          <w:szCs w:val="20"/>
          <w:color w:val="auto"/>
        </w:rPr>
      </w:pPr>
      <w:r>
        <w:rPr>
          <w:rFonts w:ascii="Arial" w:cs="Arial" w:eastAsia="Arial" w:hAnsi="Arial"/>
          <w:sz w:val="17"/>
          <w:szCs w:val="17"/>
          <w:color w:val="auto"/>
        </w:rPr>
        <w:t>In the thirty-six weeks ended September 11, 2015, capital expenditures for property and equipment of $20.9 million included $15.7 million to support business operations (including $7.7 million associated with the assets purchased for the operating property in San Diego, California, $5.8 million for sales locations other than the operating property in San Diego, California, and $2.2 million for ancillary and operations assets) and $5.2 million for technology spending (including $3.0 million for initiatives related to our spin-off from Marriott International). See Footnote No. 5, “Acquisitions and Dispositions,” to our Financial Statements for additional information regarding the San Diego transaction.</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Increase in Restricted Cash</w:t>
      </w:r>
    </w:p>
    <w:p>
      <w:pPr>
        <w:spacing w:after="0" w:line="225" w:lineRule="exact"/>
        <w:rPr>
          <w:sz w:val="20"/>
          <w:szCs w:val="20"/>
          <w:color w:val="auto"/>
        </w:rPr>
      </w:pPr>
    </w:p>
    <w:p>
      <w:pPr>
        <w:ind w:firstLine="878"/>
        <w:spacing w:after="0" w:line="271" w:lineRule="auto"/>
        <w:rPr>
          <w:sz w:val="20"/>
          <w:szCs w:val="20"/>
          <w:color w:val="auto"/>
        </w:rPr>
      </w:pPr>
      <w:r>
        <w:rPr>
          <w:rFonts w:ascii="Arial" w:cs="Arial" w:eastAsia="Arial" w:hAnsi="Arial"/>
          <w:sz w:val="17"/>
          <w:szCs w:val="17"/>
          <w:color w:val="auto"/>
        </w:rPr>
        <w:t>Restricted cash primarily consists of cash held in reserve accounts related to vacation ownership notes receivable securitizations, cash collected for maintenance fees to be remitted to property owners’ associations and deposits received, primarily associated with tour package sales and vacation ownership product sales that are held in escrow until the associated contract has closed or the period in which it can be rescinded has expired, depending on applicable legal requirements. Restricted cash at the end of September 9, 2016 also included cash received from the securitization of vacation ownership notes receivable with respect to vacation ownership notes receivable that were purchased by the 2016-1 Trust, subsequent to the end of the third quarter of 2016, in accordance with the terms of the securitization transaction completed in the thirty-six weeks ended September 9, 2016. Refer to Footnote No. 9, “Debt”, to our Financial Statements for discussion of the terms of the securitization transaction and the purchase of additional vacation ownership notes receivable by the 2016-1 Trust.</w:t>
      </w:r>
    </w:p>
    <w:p>
      <w:pPr>
        <w:spacing w:after="0" w:line="179" w:lineRule="exact"/>
        <w:rPr>
          <w:sz w:val="20"/>
          <w:szCs w:val="20"/>
          <w:color w:val="auto"/>
        </w:rPr>
      </w:pPr>
    </w:p>
    <w:p>
      <w:pPr>
        <w:ind w:right="140" w:firstLine="878"/>
        <w:spacing w:after="0" w:line="272" w:lineRule="auto"/>
        <w:rPr>
          <w:sz w:val="20"/>
          <w:szCs w:val="20"/>
          <w:color w:val="auto"/>
        </w:rPr>
      </w:pPr>
      <w:r>
        <w:rPr>
          <w:rFonts w:ascii="Arial" w:cs="Arial" w:eastAsia="Arial" w:hAnsi="Arial"/>
          <w:sz w:val="17"/>
          <w:szCs w:val="17"/>
          <w:color w:val="auto"/>
        </w:rPr>
        <w:t>The increase in restricted cash in the thirty-six weeks ended September 9, 2016 reflected $50.5 million of proceeds (including $0.5 million representing interest associated with vacation ownership notes purchased subsequent to the end of the third quarter of 2016) from the securitization transaction completed during the third quarter of 2016, which were released as the remaining vacation ownership notes receivable were purchased by the 2016-1 Trust subsequent to the end of the third quarter of 2016, a $12.3 million increase in cash that was collected for distribution to investors in connection with securitized vacation ownership notes receivable and a $5.2 million increase in cash associated with vacation ownership sales held in escrow, partially offset by $18.8 million of higher cash distributions for maintenance fees remitted to certain property owners’ associations subsequent to the end of 2015 and $2.5 million in property refurbishment reserves transferred to the new Surfers Paradise hotel owner.</w:t>
      </w:r>
    </w:p>
    <w:p>
      <w:pPr>
        <w:spacing w:after="0" w:line="178" w:lineRule="exact"/>
        <w:rPr>
          <w:sz w:val="20"/>
          <w:szCs w:val="20"/>
          <w:color w:val="auto"/>
        </w:rPr>
      </w:pPr>
    </w:p>
    <w:p>
      <w:pPr>
        <w:ind w:right="20" w:firstLine="878"/>
        <w:spacing w:after="0" w:line="273" w:lineRule="auto"/>
        <w:rPr>
          <w:sz w:val="20"/>
          <w:szCs w:val="20"/>
          <w:color w:val="auto"/>
        </w:rPr>
      </w:pPr>
      <w:r>
        <w:rPr>
          <w:rFonts w:ascii="Arial" w:cs="Arial" w:eastAsia="Arial" w:hAnsi="Arial"/>
          <w:sz w:val="17"/>
          <w:szCs w:val="17"/>
          <w:color w:val="auto"/>
        </w:rPr>
        <w:t>The increase in restricted cash in the thirty-six weeks ended September 11, 2015 reflected $51.4 million of proceeds from the securitization transaction completed during the third quarter of 2015, which were released as the remaining vacation ownership notes receivable were purchased by the 2015-1 Trust, a $6.7 million increase in cash that was collected for distribution to investors in connection with securitized vacation ownership notes receivable, a $2.7 million increase in cash associated with vacation ownership sales held in escrow and $1.7 million related to property refurbishment reserves for the newly acquired Surfers Paradise property. These increases were partially offset by $49.8 million of higher cash distributions for maintenance fees remitted to certain property owners’ associations subsequent to the end of 2014.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Dispositions, net</w:t>
      </w:r>
    </w:p>
    <w:p>
      <w:pPr>
        <w:spacing w:after="0" w:line="225" w:lineRule="exact"/>
        <w:rPr>
          <w:sz w:val="20"/>
          <w:szCs w:val="20"/>
          <w:color w:val="auto"/>
        </w:rPr>
      </w:pPr>
    </w:p>
    <w:p>
      <w:pPr>
        <w:ind w:right="120" w:firstLine="878"/>
        <w:spacing w:after="0" w:line="264" w:lineRule="auto"/>
        <w:rPr>
          <w:sz w:val="20"/>
          <w:szCs w:val="20"/>
          <w:color w:val="auto"/>
        </w:rPr>
      </w:pPr>
      <w:r>
        <w:rPr>
          <w:rFonts w:ascii="Arial" w:cs="Arial" w:eastAsia="Arial" w:hAnsi="Arial"/>
          <w:sz w:val="18"/>
          <w:szCs w:val="18"/>
          <w:color w:val="auto"/>
        </w:rPr>
        <w:t>Dispositions in the thirty-six weeks ended September 9, 2016 related to the sale of 216 rooms and resort amenities of the hotel in Surfers Paradise, Australia for $49.1 million, the sale of excess inventory at The Ritz-Carlton Club, San Francisco in San Francisco, California for $19.3 million and the sale of undeveloped land in Absecon, New Jersey for $0.1 million.</w:t>
      </w:r>
    </w:p>
    <w:p>
      <w:pPr>
        <w:spacing w:after="0" w:line="181" w:lineRule="exact"/>
        <w:rPr>
          <w:sz w:val="20"/>
          <w:szCs w:val="20"/>
          <w:color w:val="auto"/>
        </w:rPr>
      </w:pPr>
    </w:p>
    <w:p>
      <w:pPr>
        <w:ind w:right="220" w:firstLine="878"/>
        <w:spacing w:after="0" w:line="277" w:lineRule="auto"/>
        <w:rPr>
          <w:sz w:val="20"/>
          <w:szCs w:val="20"/>
          <w:color w:val="auto"/>
        </w:rPr>
      </w:pPr>
      <w:r>
        <w:rPr>
          <w:rFonts w:ascii="Arial" w:cs="Arial" w:eastAsia="Arial" w:hAnsi="Arial"/>
          <w:sz w:val="18"/>
          <w:szCs w:val="18"/>
          <w:color w:val="auto"/>
        </w:rPr>
        <w:t>Dispositions in the thirty-six weeks ended September 11, 2015 related to the sale of undeveloped land in Kauai, Hawaii for $19.6 million, three lots in St. Thomas, U.S. Virgin Islands for $0.6 million and an operations facility in Hilton Head, South Carolina for $0.4 million.</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u w:val="single" w:color="auto"/>
          <w:color w:val="auto"/>
        </w:rPr>
        <w:t>Cash from Financing Activities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Thirty-Six Weeks Ended</w:t>
            </w:r>
          </w:p>
        </w:tc>
      </w:tr>
      <w:tr>
        <w:trPr>
          <w:trHeight w:val="264"/>
        </w:trPr>
        <w:tc>
          <w:tcPr>
            <w:tcW w:w="834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 in thousands)</w:t>
            </w:r>
          </w:p>
        </w:tc>
        <w:tc>
          <w:tcPr>
            <w:tcW w:w="160" w:type="dxa"/>
            <w:vAlign w:val="bottom"/>
          </w:tcPr>
          <w:p>
            <w:pPr>
              <w:spacing w:after="0"/>
              <w:rPr>
                <w:sz w:val="22"/>
                <w:szCs w:val="22"/>
                <w:color w:val="auto"/>
              </w:rPr>
            </w:pPr>
          </w:p>
        </w:tc>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9, 2016</w:t>
            </w:r>
          </w:p>
        </w:tc>
        <w:tc>
          <w:tcPr>
            <w:tcW w:w="140" w:type="dxa"/>
            <w:vAlign w:val="bottom"/>
          </w:tcPr>
          <w:p>
            <w:pPr>
              <w:spacing w:after="0"/>
              <w:rPr>
                <w:sz w:val="22"/>
                <w:szCs w:val="22"/>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September 11, 2015</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from securitization transactions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376,622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 of debt related to securitization transactions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(254,510)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(186,383)</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from Revolving Corporate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Repayment of Revolving Corporate Credit Facility</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vacation ownership inventory arrangement</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5,375</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(4,405)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(163,359)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Accelerated stock repurchase forward contract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(14,470)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dividends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Payment of withholding taxes on vesting of restricted stock units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(9,615)</w:t>
            </w:r>
          </w:p>
        </w:tc>
      </w:tr>
      <w:tr>
        <w:trPr>
          <w:trHeight w:val="27"/>
        </w:trPr>
        <w:tc>
          <w:tcPr>
            <w:tcW w:w="8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(89,627)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(61,764)</w:t>
            </w:r>
          </w:p>
        </w:tc>
      </w:tr>
      <w:tr>
        <w:trPr>
          <w:trHeight w:val="27"/>
        </w:trPr>
        <w:tc>
          <w:tcPr>
            <w:tcW w:w="83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Borrowings from / Repayments of Debt Related to Securitization Transactions</w:t>
      </w:r>
    </w:p>
    <w:p>
      <w:pPr>
        <w:spacing w:after="0" w:line="225" w:lineRule="exact"/>
        <w:rPr>
          <w:sz w:val="20"/>
          <w:szCs w:val="20"/>
          <w:color w:val="auto"/>
        </w:rPr>
      </w:pPr>
    </w:p>
    <w:p>
      <w:pPr>
        <w:ind w:right="340" w:firstLine="878"/>
        <w:spacing w:after="0" w:line="259" w:lineRule="auto"/>
        <w:rPr>
          <w:sz w:val="20"/>
          <w:szCs w:val="20"/>
          <w:color w:val="auto"/>
        </w:rPr>
      </w:pPr>
      <w:r>
        <w:rPr>
          <w:rFonts w:ascii="Arial" w:cs="Arial" w:eastAsia="Arial" w:hAnsi="Arial"/>
          <w:sz w:val="18"/>
          <w:szCs w:val="18"/>
          <w:color w:val="auto"/>
        </w:rPr>
        <w:t>We reflect proceeds from securitizations of vacation ownership notes receivable, including draw downs on the Warehouse Credit Facility, as “Borrowings from securitization transactions.” We reflect repayments of bonds associated with vacation ownership notes receivable securitizations and repayments on the Warehouse Credit Facility (including vacation ownership notes receivable repurchases) as “Repayment of debt related to securitization transactions.”</w:t>
      </w:r>
    </w:p>
    <w:p>
      <w:pPr>
        <w:spacing w:after="0" w:line="187" w:lineRule="exact"/>
        <w:rPr>
          <w:sz w:val="20"/>
          <w:szCs w:val="20"/>
          <w:color w:val="auto"/>
        </w:rPr>
      </w:pPr>
    </w:p>
    <w:p>
      <w:pPr>
        <w:ind w:right="40" w:firstLine="878"/>
        <w:spacing w:after="0" w:line="271" w:lineRule="auto"/>
        <w:rPr>
          <w:sz w:val="20"/>
          <w:szCs w:val="20"/>
          <w:color w:val="auto"/>
        </w:rPr>
      </w:pPr>
      <w:r>
        <w:rPr>
          <w:rFonts w:ascii="Arial" w:cs="Arial" w:eastAsia="Arial" w:hAnsi="Arial"/>
          <w:sz w:val="17"/>
          <w:szCs w:val="17"/>
          <w:color w:val="auto"/>
        </w:rPr>
        <w:t>In the thirty-six weeks ended September 9, 2016, we completed the securitization of a pool of $259.1 million of vacation ownership notes receivable generating gross cash proceeds of $250 million. Approximately $207.3 million of the vacation ownership notes receivable were purchased on August 11, 2016 by the 2016-1 Trust, and we received $200 million of the proceeds. When the remaining $51.8 million of vacation ownership notes receivable were purchased by the 2016-1 Trust subsequent to the end of the third quarter, the remaining $50.0 million of the proceeds, which had been held in restricted cash, were released. In connection with the securitization, investors purchased in a private placement $250.0 million in vacation ownership loan backed notes from the 2016-1 Trust. Two classes of vacation ownership loan backed notes were issued by the 2016-1 Trust: $230.6 million of Class A Notes and $19.4 million of Class B Notes. The Class A Notes have an interest rate of 2.25 percent and the Class B Notes have an interest rate of 2.64 percent, for an overall weighted average interest rate of 2.28 percent.</w:t>
      </w:r>
    </w:p>
    <w:p>
      <w:pPr>
        <w:spacing w:after="0" w:line="179" w:lineRule="exact"/>
        <w:rPr>
          <w:sz w:val="20"/>
          <w:szCs w:val="20"/>
          <w:color w:val="auto"/>
        </w:rPr>
      </w:pPr>
    </w:p>
    <w:p>
      <w:pPr>
        <w:ind w:firstLine="878"/>
        <w:spacing w:after="0" w:line="259" w:lineRule="auto"/>
        <w:rPr>
          <w:sz w:val="20"/>
          <w:szCs w:val="20"/>
          <w:color w:val="auto"/>
        </w:rPr>
      </w:pPr>
      <w:r>
        <w:rPr>
          <w:rFonts w:ascii="Arial" w:cs="Arial" w:eastAsia="Arial" w:hAnsi="Arial"/>
          <w:sz w:val="18"/>
          <w:szCs w:val="18"/>
          <w:color w:val="auto"/>
        </w:rPr>
        <w:t>In the thirty-six weeks ended September 9, 2016, we also securitized vacation ownership notes receivable under our Warehouse Credit Facility. The total carrying amount of the vacation ownership notes receivable securitized was $149.5 million. The advance rate was 85 percent, which resulted in total gross proceeds of $126.6 million. The total net proceeds were $125.7 million due to the funding of reserve accounts in the amount of $0.9 million. There were no amounts outstanding on this facility as of September 9,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900" w:firstLine="878"/>
        <w:spacing w:after="0" w:line="277" w:lineRule="auto"/>
        <w:rPr>
          <w:sz w:val="20"/>
          <w:szCs w:val="20"/>
          <w:color w:val="auto"/>
        </w:rPr>
      </w:pPr>
      <w:r>
        <w:rPr>
          <w:rFonts w:ascii="Arial" w:cs="Arial" w:eastAsia="Arial" w:hAnsi="Arial"/>
          <w:sz w:val="18"/>
          <w:szCs w:val="18"/>
          <w:color w:val="auto"/>
        </w:rPr>
        <w:t>Excluding the vacation ownership notes receivable purchase by the 2016-1 Trust subsequent to the end of the third quarter of 2016, at September 9, 2016, $9.2 million of gross vacation ownership notes receivable were eligible for securitization.</w:t>
      </w:r>
    </w:p>
    <w:p>
      <w:pPr>
        <w:spacing w:after="0" w:line="170" w:lineRule="exact"/>
        <w:rPr>
          <w:sz w:val="20"/>
          <w:szCs w:val="20"/>
          <w:color w:val="auto"/>
        </w:rPr>
      </w:pPr>
    </w:p>
    <w:p>
      <w:pPr>
        <w:ind w:right="60" w:firstLine="878"/>
        <w:spacing w:after="0" w:line="293" w:lineRule="auto"/>
        <w:rPr>
          <w:sz w:val="20"/>
          <w:szCs w:val="20"/>
          <w:color w:val="auto"/>
        </w:rPr>
      </w:pPr>
      <w:r>
        <w:rPr>
          <w:rFonts w:ascii="Arial" w:cs="Arial" w:eastAsia="Arial" w:hAnsi="Arial"/>
          <w:sz w:val="16"/>
          <w:szCs w:val="16"/>
          <w:color w:val="auto"/>
        </w:rPr>
        <w:t>In the thirty-six weeks ended September 11, 2015, we completed the securitization of a pool of $264.2 million of vacation ownership notes receivable. In connection with the securitization, investors purchased in a private placement $255.0 million in vacation ownership loan-backed notes from the MVW Owner Trust 2015-1 (the “2015-1 Trust”). Approximately $211.4 million of the vacation ownership notes receivable were purchased in the thirty-six weeks ended September 11, 2015 and the remaining $52.8 million were purchased subsequent to the end of the third quarter of 2015. Two classes of vacation ownership loan backed notes were issued by the 2015-1 Trust: $233.2 million of Class A Notes and $21.8 million of Class B Notes. The Class A Notes have an interest rate of 2.52 percent and the Class B Notes have an interest rate of 2.96 percent, for an overall weighted average interest rate of 2.56 percent.</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Borrowings from / Repayments of Revolving Corporate Credit Facility Transactions</w:t>
      </w:r>
    </w:p>
    <w:p>
      <w:pPr>
        <w:spacing w:after="0" w:line="225" w:lineRule="exact"/>
        <w:rPr>
          <w:sz w:val="20"/>
          <w:szCs w:val="20"/>
          <w:color w:val="auto"/>
        </w:rPr>
      </w:pPr>
    </w:p>
    <w:p>
      <w:pPr>
        <w:ind w:right="200" w:firstLine="878"/>
        <w:spacing w:after="0" w:line="277" w:lineRule="auto"/>
        <w:rPr>
          <w:sz w:val="20"/>
          <w:szCs w:val="20"/>
          <w:color w:val="auto"/>
        </w:rPr>
      </w:pPr>
      <w:r>
        <w:rPr>
          <w:rFonts w:ascii="Arial" w:cs="Arial" w:eastAsia="Arial" w:hAnsi="Arial"/>
          <w:sz w:val="18"/>
          <w:szCs w:val="18"/>
          <w:color w:val="auto"/>
        </w:rPr>
        <w:t>During the thirty-six weeks ended September 9, 2016, we made draws on the Revolving Corporate Credit Facility for $85.0 million to facilitate the funding of our short-term business needs, of which no amounts remained outstanding as of September 9, 2016.</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Proceeds from Vacation Ownership Inventory Arrangement</w:t>
      </w:r>
    </w:p>
    <w:p>
      <w:pPr>
        <w:spacing w:after="0" w:line="225" w:lineRule="exact"/>
        <w:rPr>
          <w:sz w:val="20"/>
          <w:szCs w:val="20"/>
          <w:color w:val="auto"/>
        </w:rPr>
      </w:pPr>
    </w:p>
    <w:p>
      <w:pPr>
        <w:ind w:right="60" w:firstLine="878"/>
        <w:spacing w:after="0" w:line="254" w:lineRule="auto"/>
        <w:rPr>
          <w:sz w:val="20"/>
          <w:szCs w:val="20"/>
          <w:color w:val="auto"/>
        </w:rPr>
      </w:pPr>
      <w:r>
        <w:rPr>
          <w:rFonts w:ascii="Arial" w:cs="Arial" w:eastAsia="Arial" w:hAnsi="Arial"/>
          <w:sz w:val="18"/>
          <w:szCs w:val="18"/>
          <w:color w:val="auto"/>
        </w:rPr>
        <w:t>In connection with our initiative to pursue growth opportunities in ways that optimize the timing of our capital investments, including working with third parties to develop new inventory or convert previously built units to be sold to us close to when we need such inventory for sale, we sold real property located in Marco Island, Florida during the first quarter of 2015 to a third-party developer. We are obligated to repurchase the completed property from the developer contingent upon the property meeting our brand standards and provided that the third-party developer has not sold the property to another party. As discussed in Footnote No. 5, “Acquisitions and Dispositions,” to our Financial Statements, we received cash proceeds of $5.4 million upon the sale of this real property. In accordance with the authoritative guidance on accounting for sales of real estate, our conditional obligation to repurchase the property constitutes continuing involvement and thus we were unable to account for this transaction as a sale, and as such have recorded these proceeds as a financing activity.</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Share Repurchase Program</w:t>
      </w:r>
    </w:p>
    <w:p>
      <w:pPr>
        <w:spacing w:after="0" w:line="225" w:lineRule="exact"/>
        <w:rPr>
          <w:sz w:val="20"/>
          <w:szCs w:val="20"/>
          <w:color w:val="auto"/>
        </w:rPr>
      </w:pPr>
    </w:p>
    <w:p>
      <w:pPr>
        <w:ind w:right="80" w:firstLine="878"/>
        <w:spacing w:after="0" w:line="255" w:lineRule="auto"/>
        <w:rPr>
          <w:sz w:val="20"/>
          <w:szCs w:val="20"/>
          <w:color w:val="auto"/>
        </w:rPr>
      </w:pPr>
      <w:r>
        <w:rPr>
          <w:rFonts w:ascii="Arial" w:cs="Arial" w:eastAsia="Arial" w:hAnsi="Arial"/>
          <w:sz w:val="18"/>
          <w:szCs w:val="18"/>
          <w:color w:val="auto"/>
        </w:rPr>
        <w:t>During the thirty-six weeks ended September 9, 2016, we repurchased 2,801,035 shares of our common stock at an average price of $58.32 per share for a total of $163.4 million, including amounts under an accelerated share repurchase program pursuant to which we received an initial delivery of 1,168,917 shares. A maximum of 834,940 additional shares could be delivered to us under the accelerated share repurchase program. This accelerated share repurchase program effectively accelerated all of our third quarter repurchases. As a result, we did not repurchase any additional shares during the third quarter. Upon completion of the program subsequent to the end of the third quarter of 2016, we received an additional delivery of 17,511 shares, for a total of 1,186,428 shares of common stock. See Footnote No. 11, “Shareholders’ Equity,” to our Financial Statements for further information related to our share repurchase program.</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Dividends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distributed cash dividends to holders of common stock during the thirty-six weeks ended September 9, 2016 as follows: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Declaration Date</w:t>
            </w:r>
          </w:p>
        </w:tc>
        <w:tc>
          <w:tcPr>
            <w:tcW w:w="12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Shareholder Record Date</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Distribution Date</w:t>
            </w:r>
          </w:p>
        </w:tc>
        <w:tc>
          <w:tcPr>
            <w:tcW w:w="12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Dividend per Share</w:t>
            </w:r>
          </w:p>
        </w:tc>
      </w:tr>
      <w:tr>
        <w:trPr>
          <w:trHeight w:val="250"/>
        </w:trPr>
        <w:tc>
          <w:tcPr>
            <w:tcW w:w="30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8, 2015</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December 21, 2015</w:t>
            </w:r>
          </w:p>
        </w:tc>
        <w:tc>
          <w:tcPr>
            <w:tcW w:w="28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6, 2016</w:t>
            </w:r>
          </w:p>
        </w:tc>
        <w:tc>
          <w:tcPr>
            <w:tcW w:w="2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$0.30</w:t>
            </w:r>
          </w:p>
        </w:tc>
      </w:tr>
      <w:tr>
        <w:trPr>
          <w:trHeight w:val="243"/>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February 11, 2016</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February 25, 2016</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10, 2016</w:t>
            </w:r>
          </w:p>
        </w:tc>
        <w:tc>
          <w:tcPr>
            <w:tcW w:w="2720" w:type="dxa"/>
            <w:vAlign w:val="bottom"/>
          </w:tcPr>
          <w:p>
            <w:pPr>
              <w:jc w:val="center"/>
              <w:spacing w:after="0"/>
              <w:rPr>
                <w:sz w:val="20"/>
                <w:szCs w:val="20"/>
                <w:color w:val="auto"/>
              </w:rPr>
            </w:pPr>
            <w:r>
              <w:rPr>
                <w:rFonts w:ascii="Arial" w:cs="Arial" w:eastAsia="Arial" w:hAnsi="Arial"/>
                <w:sz w:val="18"/>
                <w:szCs w:val="18"/>
                <w:color w:val="auto"/>
                <w:w w:val="88"/>
              </w:rPr>
              <w:t>$0.30</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43"/>
        </w:trPr>
        <w:tc>
          <w:tcPr>
            <w:tcW w:w="30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May 12, 2016</w:t>
            </w:r>
          </w:p>
        </w:tc>
        <w:tc>
          <w:tcPr>
            <w:tcW w:w="28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May 26, 2016</w:t>
            </w:r>
          </w:p>
        </w:tc>
        <w:tc>
          <w:tcPr>
            <w:tcW w:w="28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June 9, 2016</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$0.30</w:t>
            </w:r>
          </w:p>
        </w:tc>
      </w:tr>
      <w:tr>
        <w:trPr>
          <w:trHeight w:val="27"/>
        </w:trPr>
        <w:tc>
          <w:tcPr>
            <w:tcW w:w="2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0" w:firstLine="878"/>
        <w:spacing w:after="0" w:line="259" w:lineRule="auto"/>
        <w:rPr>
          <w:sz w:val="20"/>
          <w:szCs w:val="20"/>
          <w:color w:val="auto"/>
        </w:rPr>
      </w:pPr>
      <w:r>
        <w:rPr>
          <w:rFonts w:ascii="Arial" w:cs="Arial" w:eastAsia="Arial" w:hAnsi="Arial"/>
          <w:sz w:val="18"/>
          <w:szCs w:val="18"/>
          <w:color w:val="auto"/>
        </w:rPr>
        <w:t>We currently expect to pay quarterly cash dividends in the future, but any future dividend payments will be subject to Board approval, which will depend on our financial condition, results of operations and capital requirements, as well as applicable law, regulatory constraints, industry practice and other business considerations that our Board of Directors considers relevant. In addition, our Revolving Corporate Credit Facility contains restrictions on our ability to pay dividends, and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terms of agreements governing debt that we may incur in the future may also limit or prohibit dividend payments. Accordingly, there can be no assurance that we will pay dividends in the future at the same rate or at all.</w:t>
      </w:r>
    </w:p>
    <w:p>
      <w:pPr>
        <w:spacing w:after="0" w:line="170"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Contractual Obligations and Off-Balance Sheet Arrangements</w:t>
      </w:r>
    </w:p>
    <w:p>
      <w:pPr>
        <w:spacing w:after="0" w:line="225" w:lineRule="exact"/>
        <w:rPr>
          <w:sz w:val="20"/>
          <w:szCs w:val="20"/>
          <w:color w:val="auto"/>
        </w:rPr>
      </w:pPr>
    </w:p>
    <w:p>
      <w:pPr>
        <w:jc w:val="both"/>
        <w:ind w:right="240" w:firstLine="878"/>
        <w:spacing w:after="0" w:line="264" w:lineRule="auto"/>
        <w:rPr>
          <w:sz w:val="20"/>
          <w:szCs w:val="20"/>
          <w:color w:val="auto"/>
        </w:rPr>
      </w:pPr>
      <w:r>
        <w:rPr>
          <w:rFonts w:ascii="Arial" w:cs="Arial" w:eastAsia="Arial" w:hAnsi="Arial"/>
          <w:sz w:val="18"/>
          <w:szCs w:val="18"/>
          <w:color w:val="auto"/>
        </w:rPr>
        <w:t>There have been no significant changes to our “Contractual Obligations and Off-Balance Sheet Arrangements” as reported in “Management’s Discussion and Analysis of Financial Condition and Results of Operations,” in our Annual Report on Form 10-K for the year ended January 1, 2016, other than those discussed below.</w:t>
      </w:r>
    </w:p>
    <w:p>
      <w:pPr>
        <w:spacing w:after="0" w:line="181" w:lineRule="exact"/>
        <w:rPr>
          <w:sz w:val="20"/>
          <w:szCs w:val="20"/>
          <w:color w:val="auto"/>
        </w:rPr>
      </w:pPr>
    </w:p>
    <w:p>
      <w:pPr>
        <w:ind w:right="160" w:firstLine="878"/>
        <w:spacing w:after="0" w:line="276" w:lineRule="auto"/>
        <w:rPr>
          <w:sz w:val="20"/>
          <w:szCs w:val="20"/>
          <w:color w:val="auto"/>
        </w:rPr>
      </w:pPr>
      <w:r>
        <w:rPr>
          <w:rFonts w:ascii="Arial" w:cs="Arial" w:eastAsia="Arial" w:hAnsi="Arial"/>
          <w:sz w:val="17"/>
          <w:szCs w:val="17"/>
          <w:color w:val="auto"/>
        </w:rPr>
        <w:t>As of September 9, 2016, debt, net increased by $125.9 million to $804.7 million compared to $678.8 million at January 1, 2016, mainly due to $120.8 million related to non-recourse debt associated with vacation ownership notes receivable securitizations and $7.2 million related to non-cash acquisitions of property via capital leases. As of September 9, 2016, future debt payments to be paid out of collections from our vacation ownership notes receivable, including principal and interest, totaled $902.1 million and are due as follows: $41.5 million in 2016; $125.8 million in 2017; $111.1 million in 2018; $101.2 million in 2019; $97.8 million in 2020; and $424.7 million thereafter.</w:t>
      </w:r>
    </w:p>
    <w:p>
      <w:pPr>
        <w:spacing w:after="0" w:line="173" w:lineRule="exact"/>
        <w:rPr>
          <w:sz w:val="20"/>
          <w:szCs w:val="20"/>
          <w:color w:val="auto"/>
        </w:rPr>
      </w:pPr>
    </w:p>
    <w:p>
      <w:pPr>
        <w:ind w:firstLine="878"/>
        <w:spacing w:after="0" w:line="264" w:lineRule="auto"/>
        <w:rPr>
          <w:sz w:val="20"/>
          <w:szCs w:val="20"/>
          <w:color w:val="auto"/>
        </w:rPr>
      </w:pPr>
      <w:r>
        <w:rPr>
          <w:rFonts w:ascii="Arial" w:cs="Arial" w:eastAsia="Arial" w:hAnsi="Arial"/>
          <w:sz w:val="18"/>
          <w:szCs w:val="18"/>
          <w:color w:val="auto"/>
        </w:rPr>
        <w:t>Subsequent to the end of the third quarter of 2016, we notified the holders of the mandatorily redeemable preferred stock of our election to exercise our option to redeem the preferred stock on October 26, 2016 at par plus any accrued and unpaid dividends. We intend to use cash on hand to pay the redemption price.</w:t>
      </w:r>
    </w:p>
    <w:p>
      <w:pPr>
        <w:spacing w:after="0" w:line="181" w:lineRule="exact"/>
        <w:rPr>
          <w:sz w:val="20"/>
          <w:szCs w:val="20"/>
          <w:color w:val="auto"/>
        </w:rPr>
      </w:pPr>
    </w:p>
    <w:p>
      <w:pPr>
        <w:ind w:left="60" w:firstLine="878"/>
        <w:spacing w:after="0" w:line="273" w:lineRule="auto"/>
        <w:rPr>
          <w:sz w:val="20"/>
          <w:szCs w:val="20"/>
          <w:color w:val="auto"/>
        </w:rPr>
      </w:pPr>
      <w:r>
        <w:rPr>
          <w:rFonts w:ascii="Arial" w:cs="Arial" w:eastAsia="Arial" w:hAnsi="Arial"/>
          <w:sz w:val="17"/>
          <w:szCs w:val="17"/>
          <w:color w:val="auto"/>
        </w:rPr>
        <w:t>We have commitments to purchase vacation ownership units located in two resorts in Bali, Indonesia in two separate transactions, contingent upon completion of construction to agreed upon standards within specified timeframes, for use in our Asia Pacific segment. We expect to complete the acquisition of 51 vacation ownership units in 2017 pursuant to one of the commitments, and to make remaining payments with respect to these units, when specific construction milestones are completed, as follows: $2.3 million in 2016 and $19.0 million in 2017. We expect to complete the acquisition of 88 vacation ownership units in 2019 pursuant to the other commitment, and to make payments with respect to these units, when specific construction milestones are completed, as follows: $3.9 million in 2016, $3.9 million in 2017, $5.9 million in 2018 and $25.4 million in 2019.</w:t>
      </w:r>
    </w:p>
    <w:p>
      <w:pPr>
        <w:spacing w:after="0" w:line="178" w:lineRule="exact"/>
        <w:rPr>
          <w:sz w:val="20"/>
          <w:szCs w:val="20"/>
          <w:color w:val="auto"/>
        </w:rPr>
      </w:pPr>
    </w:p>
    <w:p>
      <w:pPr>
        <w:ind w:firstLine="878"/>
        <w:spacing w:after="0" w:line="259" w:lineRule="auto"/>
        <w:rPr>
          <w:sz w:val="20"/>
          <w:szCs w:val="20"/>
          <w:color w:val="auto"/>
        </w:rPr>
      </w:pPr>
      <w:r>
        <w:rPr>
          <w:rFonts w:ascii="Arial" w:cs="Arial" w:eastAsia="Arial" w:hAnsi="Arial"/>
          <w:sz w:val="18"/>
          <w:szCs w:val="18"/>
          <w:color w:val="auto"/>
        </w:rPr>
        <w:t>We have a commitment to purchase an operating property, which we currently manage, located in New York, New York for $158.5 million. We expect to acquire the units in the property, in their current form, over time, and we expect to make payments for these units of $96.8 million and $61.7 million in 2018 and 2019, respectively. See Footnote No. 8, “Contingencies and Commitments,” and Footnote No. 13, “Variable Interest Entities,” to our Financial Statements for additional information on this transaction.</w:t>
      </w:r>
    </w:p>
    <w:p>
      <w:pPr>
        <w:spacing w:after="0" w:line="187" w:lineRule="exact"/>
        <w:rPr>
          <w:sz w:val="20"/>
          <w:szCs w:val="20"/>
          <w:color w:val="auto"/>
        </w:rPr>
      </w:pPr>
    </w:p>
    <w:p>
      <w:pPr>
        <w:jc w:val="both"/>
        <w:ind w:right="480" w:firstLine="878"/>
        <w:spacing w:after="0" w:line="264" w:lineRule="auto"/>
        <w:rPr>
          <w:sz w:val="20"/>
          <w:szCs w:val="20"/>
          <w:color w:val="auto"/>
        </w:rPr>
      </w:pPr>
      <w:r>
        <w:rPr>
          <w:rFonts w:ascii="Arial" w:cs="Arial" w:eastAsia="Arial" w:hAnsi="Arial"/>
          <w:sz w:val="18"/>
          <w:szCs w:val="18"/>
          <w:color w:val="auto"/>
        </w:rPr>
        <w:t>We have a commitment of $137.1 million to purchase vacation ownership units located in Marco Island, Florida, of which we expect $33.3 million, $50.0 million and $53.8 million will be paid in 2017, 2018 and 2019, respectively. See Footnote No. 5, “Acquisitions and Dispositions,” to our Financial Statements for additional information on this transaction.</w:t>
      </w:r>
    </w:p>
    <w:p>
      <w:pPr>
        <w:spacing w:after="0" w:line="181" w:lineRule="exact"/>
        <w:rPr>
          <w:sz w:val="20"/>
          <w:szCs w:val="20"/>
          <w:color w:val="auto"/>
        </w:rPr>
      </w:pPr>
    </w:p>
    <w:p>
      <w:pPr>
        <w:ind w:left="60" w:right="140" w:firstLine="891"/>
        <w:spacing w:after="0" w:line="264" w:lineRule="auto"/>
        <w:rPr>
          <w:sz w:val="20"/>
          <w:szCs w:val="20"/>
          <w:color w:val="auto"/>
        </w:rPr>
      </w:pPr>
      <w:r>
        <w:rPr>
          <w:rFonts w:ascii="Arial" w:cs="Arial" w:eastAsia="Arial" w:hAnsi="Arial"/>
          <w:sz w:val="18"/>
          <w:szCs w:val="18"/>
          <w:color w:val="auto"/>
        </w:rPr>
        <w:t>We have new commitments under operating leases that expire at various dates through 2027. Our aggregate minimum lease payments under these contracts were $22.9 million, of which we expect $0.1 million, $1.6 million, $1.9 million, $2.1 million, $2.4 million and $14.8 million will be paid in 2016, 2017, 2018, 2019, 2020 and thereafter, respectively.</w:t>
      </w:r>
    </w:p>
    <w:p>
      <w:pPr>
        <w:spacing w:after="0" w:line="181" w:lineRule="exact"/>
        <w:rPr>
          <w:sz w:val="20"/>
          <w:szCs w:val="20"/>
          <w:color w:val="auto"/>
        </w:rPr>
      </w:pPr>
    </w:p>
    <w:p>
      <w:pPr>
        <w:ind w:left="60" w:right="140" w:firstLine="891"/>
        <w:spacing w:after="0" w:line="276" w:lineRule="auto"/>
        <w:rPr>
          <w:sz w:val="20"/>
          <w:szCs w:val="20"/>
          <w:color w:val="auto"/>
        </w:rPr>
      </w:pPr>
      <w:r>
        <w:rPr>
          <w:rFonts w:ascii="Arial" w:cs="Arial" w:eastAsia="Arial" w:hAnsi="Arial"/>
          <w:sz w:val="17"/>
          <w:szCs w:val="17"/>
          <w:color w:val="auto"/>
        </w:rPr>
        <w:t>We have historically issued guarantees to certain lenders in connection with the provision of third-party financing for our sales of vacation ownership products. The terms of these guarantees generally require us to fund if the purchaser fails to pay under the terms of its note payable. We are entitled to recover any payments we make to third-party lenders under these guarantees through reacquisition and resale of the vacation ownership product. Our commitments under these guarantees expire as the underlying notes mature or are repaid. Our maximum exposure under such guarantees as of September 9, 2016 was $6.6 million. The terms of the underlying notes extend to 2022.</w:t>
      </w:r>
    </w:p>
    <w:p>
      <w:pPr>
        <w:spacing w:after="0" w:line="173" w:lineRule="exact"/>
        <w:rPr>
          <w:sz w:val="20"/>
          <w:szCs w:val="20"/>
          <w:color w:val="auto"/>
        </w:rPr>
      </w:pPr>
    </w:p>
    <w:p>
      <w:pPr>
        <w:ind w:right="220" w:firstLine="878"/>
        <w:spacing w:after="0" w:line="277" w:lineRule="auto"/>
        <w:rPr>
          <w:sz w:val="20"/>
          <w:szCs w:val="20"/>
          <w:color w:val="auto"/>
        </w:rPr>
      </w:pPr>
      <w:r>
        <w:rPr>
          <w:rFonts w:ascii="Arial" w:cs="Arial" w:eastAsia="Arial" w:hAnsi="Arial"/>
          <w:sz w:val="18"/>
          <w:szCs w:val="18"/>
          <w:color w:val="auto"/>
        </w:rPr>
        <w:t>For additional information on these guarantees and the circumstances under which they were entered into, see the “Guarantees” caption within Footnote No. 8, “Contingencies and Commitments,” to our Financial Statements.</w:t>
      </w:r>
    </w:p>
    <w:p>
      <w:pPr>
        <w:spacing w:after="0" w:line="170" w:lineRule="exact"/>
        <w:rPr>
          <w:sz w:val="20"/>
          <w:szCs w:val="20"/>
          <w:color w:val="auto"/>
        </w:rPr>
      </w:pPr>
    </w:p>
    <w:p>
      <w:pPr>
        <w:ind w:right="100" w:firstLine="878"/>
        <w:spacing w:after="0" w:line="264" w:lineRule="auto"/>
        <w:rPr>
          <w:sz w:val="20"/>
          <w:szCs w:val="20"/>
          <w:color w:val="auto"/>
        </w:rPr>
      </w:pPr>
      <w:r>
        <w:rPr>
          <w:rFonts w:ascii="Arial" w:cs="Arial" w:eastAsia="Arial" w:hAnsi="Arial"/>
          <w:sz w:val="18"/>
          <w:szCs w:val="18"/>
          <w:color w:val="auto"/>
        </w:rPr>
        <w:t>In the normal course of our resort management business, we enter into purchase commitments with property owners’ associations to manage the daily operating needs of our resorts. Since we are reimbursed for these commitments from the cash flows of the resorts, these obligations have minimal impact on our net income and cash flow.</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125" w:right="27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60" w:firstLine="878"/>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reported amounts and related disclosures. Management considers an accounting estimate to be critical if: (1) it requires assumptions to be made that are uncertain at the time the estimate is made; and (2) changes in the estimate, or different estimates that could have been selected, could have a material effect on our consolidated results of operations or financial condition.</w:t>
      </w:r>
    </w:p>
    <w:p>
      <w:pPr>
        <w:spacing w:after="0" w:line="187" w:lineRule="exact"/>
        <w:rPr>
          <w:sz w:val="20"/>
          <w:szCs w:val="20"/>
          <w:color w:val="auto"/>
        </w:rPr>
      </w:pPr>
    </w:p>
    <w:p>
      <w:pPr>
        <w:ind w:firstLine="878"/>
        <w:spacing w:after="0" w:line="276" w:lineRule="auto"/>
        <w:rPr>
          <w:sz w:val="20"/>
          <w:szCs w:val="20"/>
          <w:color w:val="auto"/>
        </w:rPr>
      </w:pPr>
      <w:r>
        <w:rPr>
          <w:rFonts w:ascii="Arial" w:cs="Arial" w:eastAsia="Arial" w:hAnsi="Arial"/>
          <w:sz w:val="17"/>
          <w:szCs w:val="17"/>
          <w:color w:val="auto"/>
        </w:rPr>
        <w:t>While we believe that our estimates, assumptions, and judgments are reasonable, they are based on information presently available. Actual results may differ significantly. Additionally, changes in our assumptions, estimates or assessments as a result of unforeseen events or otherwise could have a material impact on our financial position or results of operations. We have discussed those estimates that we believe are critical and require the use of complex judgment in their application in our most recent Annual Report on Form 10-K. Since the date of our most recent Annual Report on Form 10-K, there have been no material changes to our critical accounting policies or the methodologies or assumptions we apply under them.</w:t>
      </w:r>
    </w:p>
    <w:p>
      <w:pPr>
        <w:spacing w:after="0" w:line="16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Our exposure to market risk has not changed materially from that disclosed in our Annual Report on Form 10-K for the year ended January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40" w:firstLine="878"/>
        <w:spacing w:after="0" w:line="287" w:lineRule="auto"/>
        <w:rPr>
          <w:sz w:val="20"/>
          <w:szCs w:val="20"/>
          <w:color w:val="auto"/>
        </w:rPr>
      </w:pPr>
      <w:r>
        <w:rPr>
          <w:rFonts w:ascii="Arial" w:cs="Arial" w:eastAsia="Arial" w:hAnsi="Arial"/>
          <w:sz w:val="16"/>
          <w:szCs w:val="16"/>
          <w:color w:val="auto"/>
        </w:rPr>
        <w:t>As of the end of the period covered by this Quarterly Report on Form 10-Q, we evaluated, under the supervision and with the participation of our management, including our Chief Executive Officer and Chief Financial Officer, the effectiveness of the design and operation of our disclosure controls and procedures (as such term is defined in Rules 13a-15(e) and 15d-15(e) of the Securities Exchange Act of 1934, as amended (the “Exchange Act”)), and management necessarily applied its judgment in assessing the costs and benefits of such controls and procedures, which by their nature, can provide only reasonable assurance about management’s control objectives. Our disclosure controls and procedures have been designed to provide reasonable assurance of achieving the desired control objectives. However, you should note that the design of any system of controls is based in part upon certain assumptions about the likelihood of future events, and we cannot assure you that any design will succeed in achieving its stated goals under all potential future conditions, regardless of how remote. Based upon the foregoing evaluation, our Chief Executive Officer and Chief Financial Officer concluded that our disclosure controls and procedures were effective and operating to provide reasonable assurance that we record, process, summarize and report the information we are required to disclose in the reports that we file or submit under the Exchange Act within the time periods specified in the rules and forms of the SEC, and to provide reasonable assurance that we accumulate and communicate such information to our management, including our Chief Executive Officer and Chief Financial Officer, as appropriate to allow timely decisions about required disclosure.</w:t>
      </w:r>
    </w:p>
    <w:p>
      <w:pPr>
        <w:spacing w:after="0" w:line="16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firstLine="878"/>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Quarterly Report on Form 10-Q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right="20" w:firstLine="878"/>
        <w:spacing w:after="0" w:line="257" w:lineRule="auto"/>
        <w:rPr>
          <w:sz w:val="20"/>
          <w:szCs w:val="20"/>
          <w:color w:val="auto"/>
        </w:rPr>
      </w:pPr>
      <w:r>
        <w:rPr>
          <w:rFonts w:ascii="Arial" w:cs="Arial" w:eastAsia="Arial" w:hAnsi="Arial"/>
          <w:sz w:val="18"/>
          <w:szCs w:val="18"/>
          <w:color w:val="auto"/>
        </w:rPr>
        <w:t>Currently, and from time to time, we are subject to claims in legal proceedings arising in the normal course of business, including, among others, the legal actions discussed in Footnote No. 8, “Contingencies and Commitments,” to our Financial Statements. While management presently believes that the ultimate outcome of these proceedings, individually and in the aggregate, will not materially harm our financial position, cash flows, or overall trends in results of operations, legal proceedings are inherently uncertain, and unfavorable rulings could, individually or in aggregate, have a material adverse effect on our business, financial condition, or operating results.</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80"/>
          </w:cols>
          <w:pgMar w:left="240" w:top="125"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360" w:firstLine="878"/>
        <w:spacing w:after="0" w:line="277" w:lineRule="auto"/>
        <w:rPr>
          <w:sz w:val="20"/>
          <w:szCs w:val="20"/>
          <w:color w:val="auto"/>
        </w:rPr>
      </w:pPr>
      <w:r>
        <w:rPr>
          <w:rFonts w:ascii="Arial" w:cs="Arial" w:eastAsia="Arial" w:hAnsi="Arial"/>
          <w:sz w:val="18"/>
          <w:szCs w:val="18"/>
          <w:color w:val="auto"/>
        </w:rPr>
        <w:t>There have been no material changes from the risk factors disclosed in Part I, Item 1A of our Annual Report on Form 10-K for the fiscal year ended January 1, 2016.</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0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Total Number of Shares</w:t>
            </w: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Shares That May Yet Be</w:t>
            </w: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6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Average Price per Share</w:t>
            </w:r>
          </w:p>
        </w:tc>
        <w:tc>
          <w:tcPr>
            <w:tcW w:w="100" w:type="dxa"/>
            <w:vAlign w:val="bottom"/>
            <w:vMerge w:val="restart"/>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100" w:type="dxa"/>
            <w:vAlign w:val="bottom"/>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vMerge w:val="continue"/>
          </w:tcPr>
          <w:p>
            <w:pPr>
              <w:spacing w:after="0"/>
              <w:rPr>
                <w:sz w:val="16"/>
                <w:szCs w:val="16"/>
                <w:color w:val="auto"/>
              </w:rPr>
            </w:pPr>
          </w:p>
        </w:tc>
        <w:tc>
          <w:tcPr>
            <w:tcW w:w="160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Plans or Programs</w:t>
            </w:r>
            <w:r>
              <w:rPr>
                <w:rFonts w:ascii="Arial" w:cs="Arial" w:eastAsia="Arial" w:hAnsi="Arial"/>
                <w:sz w:val="8"/>
                <w:szCs w:val="8"/>
                <w:b w:val="1"/>
                <w:bCs w:val="1"/>
                <w:color w:val="auto"/>
                <w:w w:val="93"/>
              </w:rPr>
              <w:t>(1)</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Plans or Programs</w:t>
            </w:r>
            <w:r>
              <w:rPr>
                <w:rFonts w:ascii="Arial" w:cs="Arial" w:eastAsia="Arial" w:hAnsi="Arial"/>
                <w:sz w:val="8"/>
                <w:szCs w:val="8"/>
                <w:b w:val="1"/>
                <w:bCs w:val="1"/>
                <w:color w:val="auto"/>
                <w:w w:val="92"/>
              </w:rPr>
              <w:t>(1)</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June 18, 2016 – July 15, 2016</w:t>
            </w:r>
          </w:p>
        </w:tc>
        <w:tc>
          <w:tcPr>
            <w:tcW w:w="16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1,244,882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July 16, 2016 – August 12, 2016</w:t>
            </w:r>
          </w:p>
        </w:tc>
        <w:tc>
          <w:tcPr>
            <w:tcW w:w="1600" w:type="dxa"/>
            <w:vAlign w:val="bottom"/>
          </w:tcPr>
          <w:p>
            <w:pPr>
              <w:ind w:left="1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1580" w:type="dxa"/>
            <w:vAlign w:val="bottom"/>
          </w:tcPr>
          <w:p>
            <w:pPr>
              <w:ind w:left="13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1,244,882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13, 2016 – September 9, 2016</w:t>
            </w:r>
          </w:p>
        </w:tc>
        <w:tc>
          <w:tcPr>
            <w:tcW w:w="160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1,244,882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w:t>
            </w:r>
            <w:r>
              <w:rPr>
                <w:rFonts w:ascii="Arial" w:cs="Arial" w:eastAsia="Arial" w:hAnsi="Arial"/>
                <w:sz w:val="18"/>
                <w:szCs w:val="18"/>
                <w:color w:val="auto"/>
                <w:vertAlign w:val="superscript"/>
              </w:rPr>
              <w:t>(2)</w:t>
            </w:r>
          </w:p>
        </w:tc>
        <w:tc>
          <w:tcPr>
            <w:tcW w:w="160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1580" w:type="dxa"/>
            <w:vAlign w:val="bottom"/>
            <w:tcBorders>
              <w:top w:val="single" w:sz="8" w:color="auto"/>
              <w:bottom w:val="single" w:sz="8" w:color="auto"/>
            </w:tcBorders>
          </w:tcPr>
          <w:p>
            <w:pPr>
              <w:ind w:left="130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1,244,882</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70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 w:hanging="332"/>
        <w:spacing w:after="0" w:line="234" w:lineRule="auto"/>
        <w:tabs>
          <w:tab w:leader="none" w:pos="340" w:val="left"/>
        </w:tabs>
        <w:numPr>
          <w:ilvl w:val="0"/>
          <w:numId w:val="42"/>
        </w:numPr>
        <w:rPr>
          <w:rFonts w:ascii="Arial" w:cs="Arial" w:eastAsia="Arial" w:hAnsi="Arial"/>
          <w:sz w:val="24"/>
          <w:szCs w:val="24"/>
          <w:color w:val="auto"/>
          <w:vertAlign w:val="superscript"/>
        </w:rPr>
      </w:pPr>
      <w:r>
        <w:rPr>
          <w:rFonts w:ascii="Arial" w:cs="Arial" w:eastAsia="Arial" w:hAnsi="Arial"/>
          <w:sz w:val="17"/>
          <w:szCs w:val="17"/>
          <w:color w:val="auto"/>
        </w:rPr>
        <w:t>On February 11, 2016, our Board of Directors approved the repurchase of up to an additional 2,000,000 shares of our common stock under our existing share repurchase program prior to March 24, 2017. Prior to that authorization, our Board of Directors had authorized the repurchase of an aggregate of up to 8,900,000 shares of our common stock under the share repurchase program since the initiation of the program in October 2013.</w:t>
      </w:r>
    </w:p>
    <w:p>
      <w:pPr>
        <w:spacing w:after="0" w:line="2" w:lineRule="exact"/>
        <w:rPr>
          <w:rFonts w:ascii="Arial" w:cs="Arial" w:eastAsia="Arial" w:hAnsi="Arial"/>
          <w:sz w:val="24"/>
          <w:szCs w:val="24"/>
          <w:color w:val="auto"/>
          <w:vertAlign w:val="superscript"/>
        </w:rPr>
      </w:pPr>
    </w:p>
    <w:p>
      <w:pPr>
        <w:ind w:left="340" w:right="20" w:hanging="332"/>
        <w:spacing w:after="0" w:line="235"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During the second quarter of 2016, pursuant to our existing share repurchase program, we entered into an accelerated share repurchase agreement (“ASR”) with a financial institution to repurchase shares of our common stock. Under the agreement, we paid $85.0 million to the financial institution and received an initial delivery of 1,168,917 shares of our common stock on June 16, 2016; a maximum of an additional 834,940 shares could be delivered to us. We did not receive any shares during the third quarter of 2016. Upon completion of the program subsequent to the end of the third quarter of 2016, we received an additional delivery of 17,511 shares, for a total of 1,186,428 shares of common stock. See Footnote No. 11 “Shareholders’ Equity,” to our Financial Statements for a description of this ASR.</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9240"/>
        <w:spacing w:after="0"/>
        <w:tabs>
          <w:tab w:leader="none" w:pos="1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right="120" w:firstLine="878"/>
        <w:spacing w:after="0" w:line="277" w:lineRule="auto"/>
        <w:rPr>
          <w:sz w:val="20"/>
          <w:szCs w:val="20"/>
          <w:color w:val="auto"/>
        </w:rPr>
      </w:pPr>
      <w:r>
        <w:rPr>
          <w:rFonts w:ascii="Arial" w:cs="Arial" w:eastAsia="Arial" w:hAnsi="Arial"/>
          <w:sz w:val="18"/>
          <w:szCs w:val="18"/>
          <w:color w:val="auto"/>
        </w:rPr>
        <w:t>Exhibits filed or furnished as a part of this Quarterly Report on Form 10-Q are listed on the Index to Exhibits on page E-1, which is incorporated by reference herein.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60" w:firstLine="87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MARRIOTT VACATIONS WORLDWIDE CORPORATION</w:t>
            </w:r>
          </w:p>
        </w:tc>
      </w:tr>
      <w:tr>
        <w:trPr>
          <w:trHeight w:val="594"/>
        </w:trPr>
        <w:tc>
          <w:tcPr>
            <w:tcW w:w="3420" w:type="dxa"/>
            <w:vAlign w:val="bottom"/>
          </w:tcPr>
          <w:p>
            <w:pPr>
              <w:spacing w:after="0"/>
              <w:rPr>
                <w:sz w:val="20"/>
                <w:szCs w:val="20"/>
                <w:color w:val="auto"/>
              </w:rPr>
            </w:pPr>
            <w:r>
              <w:rPr>
                <w:rFonts w:ascii="Arial" w:cs="Arial" w:eastAsia="Arial" w:hAnsi="Arial"/>
                <w:sz w:val="18"/>
                <w:szCs w:val="18"/>
                <w:color w:val="auto"/>
              </w:rPr>
              <w:t>October 13, 2016</w:t>
            </w:r>
          </w:p>
        </w:tc>
        <w:tc>
          <w:tcPr>
            <w:tcW w:w="226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Stephen P. Weisz</w:t>
            </w:r>
          </w:p>
        </w:tc>
      </w:tr>
      <w:tr>
        <w:trPr>
          <w:trHeight w:val="27"/>
        </w:trPr>
        <w:tc>
          <w:tcPr>
            <w:tcW w:w="34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Stephen P. Weisz</w:t>
            </w:r>
          </w:p>
        </w:tc>
      </w:tr>
      <w:tr>
        <w:trPr>
          <w:trHeight w:val="270"/>
        </w:trPr>
        <w:tc>
          <w:tcPr>
            <w:tcW w:w="34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34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/s/ John E. Geller, Jr.</w:t>
            </w:r>
          </w:p>
        </w:tc>
      </w:tr>
      <w:tr>
        <w:trPr>
          <w:trHeight w:val="27"/>
        </w:trPr>
        <w:tc>
          <w:tcPr>
            <w:tcW w:w="34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r>
      <w:tr>
        <w:trPr>
          <w:trHeight w:val="237"/>
        </w:trPr>
        <w:tc>
          <w:tcPr>
            <w:tcW w:w="34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John E. Geller, Jr.</w:t>
            </w:r>
          </w:p>
        </w:tc>
      </w:tr>
      <w:tr>
        <w:trPr>
          <w:trHeight w:val="270"/>
        </w:trPr>
        <w:tc>
          <w:tcPr>
            <w:tcW w:w="342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57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86"/>
        </w:trPr>
        <w:tc>
          <w:tcPr>
            <w:tcW w:w="3420" w:type="dxa"/>
            <w:vAlign w:val="bottom"/>
          </w:tcPr>
          <w:p>
            <w:pPr>
              <w:spacing w:after="0"/>
              <w:rPr>
                <w:sz w:val="24"/>
                <w:szCs w:val="24"/>
                <w:color w:val="auto"/>
              </w:rPr>
            </w:pPr>
          </w:p>
        </w:tc>
        <w:tc>
          <w:tcPr>
            <w:tcW w:w="7960" w:type="dxa"/>
            <w:vAlign w:val="bottom"/>
            <w:gridSpan w:val="2"/>
          </w:tcPr>
          <w:p>
            <w:pPr>
              <w:jc w:val="right"/>
              <w:ind w:right="5530"/>
              <w:spacing w:after="0"/>
              <w:rPr>
                <w:sz w:val="20"/>
                <w:szCs w:val="20"/>
                <w:color w:val="auto"/>
              </w:rPr>
            </w:pPr>
            <w:r>
              <w:rPr>
                <w:rFonts w:ascii="Arial" w:cs="Arial" w:eastAsia="Arial" w:hAnsi="Arial"/>
                <w:sz w:val="18"/>
                <w:szCs w:val="18"/>
                <w:color w:val="auto"/>
              </w:rPr>
              <w:t>69</w:t>
            </w:r>
          </w:p>
        </w:tc>
      </w:tr>
    </w:tbl>
    <w:p>
      <w:pPr>
        <w:sectPr>
          <w:pgSz w:w="11900" w:h="16838" w:orient="portrait"/>
          <w:cols w:equalWidth="0" w:num="1">
            <w:col w:w="11420"/>
          </w:cols>
          <w:pgMar w:left="240" w:top="125"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0340" w:type="dxa"/>
            <w:vAlign w:val="bottom"/>
            <w:gridSpan w:val="3"/>
          </w:tcPr>
          <w:p>
            <w:pPr>
              <w:ind w:left="378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288"/>
        </w:trPr>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4900" w:type="dxa"/>
            <w:vAlign w:val="bottom"/>
          </w:tcPr>
          <w:p>
            <w:pPr>
              <w:spacing w:after="0"/>
              <w:rPr>
                <w:sz w:val="24"/>
                <w:szCs w:val="24"/>
                <w:color w:val="auto"/>
              </w:rPr>
            </w:pPr>
          </w:p>
        </w:tc>
        <w:tc>
          <w:tcPr>
            <w:tcW w:w="5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7"/>
              </w:rPr>
              <w:t>No.</w:t>
            </w:r>
          </w:p>
        </w:tc>
        <w:tc>
          <w:tcPr>
            <w:tcW w:w="4900" w:type="dxa"/>
            <w:vAlign w:val="bottom"/>
          </w:tcPr>
          <w:p>
            <w:pPr>
              <w:spacing w:after="0"/>
              <w:rPr>
                <w:sz w:val="13"/>
                <w:szCs w:val="13"/>
                <w:color w:val="auto"/>
              </w:rPr>
            </w:pPr>
          </w:p>
        </w:tc>
        <w:tc>
          <w:tcPr>
            <w:tcW w:w="5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40" w:type="dxa"/>
            <w:vAlign w:val="bottom"/>
            <w:tcBorders>
              <w:bottom w:val="single" w:sz="8" w:color="auto"/>
            </w:tcBorders>
          </w:tcPr>
          <w:p>
            <w:pPr>
              <w:spacing w:after="0" w:line="20" w:lineRule="exact"/>
              <w:rPr>
                <w:sz w:val="1"/>
                <w:szCs w:val="1"/>
                <w:color w:val="auto"/>
              </w:rPr>
            </w:pPr>
          </w:p>
        </w:tc>
        <w:tc>
          <w:tcPr>
            <w:tcW w:w="10340" w:type="dxa"/>
            <w:vAlign w:val="bottom"/>
            <w:gridSpan w:val="3"/>
            <w:vMerge w:val="restart"/>
          </w:tcPr>
          <w:p>
            <w:pPr>
              <w:ind w:left="140"/>
              <w:spacing w:after="0"/>
              <w:rPr>
                <w:sz w:val="20"/>
                <w:szCs w:val="20"/>
                <w:color w:val="auto"/>
              </w:rPr>
            </w:pPr>
            <w:r>
              <w:rPr>
                <w:rFonts w:ascii="Arial" w:cs="Arial" w:eastAsia="Arial" w:hAnsi="Arial"/>
                <w:sz w:val="18"/>
                <w:szCs w:val="18"/>
                <w:color w:val="auto"/>
                <w:w w:val="99"/>
              </w:rPr>
              <w:t>Restated Certificate of Incorporation of Marriott Vacations Worldwide Corporation (incorporated by reference to Exhibit 3.1 to the</w:t>
            </w:r>
          </w:p>
        </w:tc>
        <w:tc>
          <w:tcPr>
            <w:tcW w:w="0" w:type="dxa"/>
            <w:vAlign w:val="bottom"/>
          </w:tcPr>
          <w:p>
            <w:pPr>
              <w:spacing w:after="0"/>
              <w:rPr>
                <w:sz w:val="1"/>
                <w:szCs w:val="1"/>
                <w:color w:val="auto"/>
              </w:rPr>
            </w:pPr>
          </w:p>
        </w:tc>
      </w:tr>
      <w:tr>
        <w:trPr>
          <w:trHeight w:val="209"/>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3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rPr>
              <w:t>Company’s Current Report on Form 8-K filed on November 22, 2011).</w:t>
            </w:r>
          </w:p>
        </w:tc>
        <w:tc>
          <w:tcPr>
            <w:tcW w:w="0" w:type="dxa"/>
            <w:vAlign w:val="bottom"/>
          </w:tcPr>
          <w:p>
            <w:pPr>
              <w:spacing w:after="0"/>
              <w:rPr>
                <w:sz w:val="1"/>
                <w:szCs w:val="1"/>
                <w:color w:val="auto"/>
              </w:rPr>
            </w:pP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w w:val="91"/>
              </w:rPr>
              <w:t>Restated Bylaws of Marriott Vacations Worldwide Corporation (incorporated by reference to Exhibit 3.2 to the Company’s Current Report on</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rPr>
              <w:t>Form 8-K filed on November 22, 2011).</w:t>
            </w:r>
          </w:p>
        </w:tc>
        <w:tc>
          <w:tcPr>
            <w:tcW w:w="0" w:type="dxa"/>
            <w:vAlign w:val="bottom"/>
          </w:tcPr>
          <w:p>
            <w:pPr>
              <w:spacing w:after="0"/>
              <w:rPr>
                <w:sz w:val="1"/>
                <w:szCs w:val="1"/>
                <w:color w:val="auto"/>
              </w:rPr>
            </w:pPr>
          </w:p>
        </w:tc>
      </w:tr>
      <w:tr>
        <w:trPr>
          <w:trHeight w:val="256"/>
        </w:trPr>
        <w:tc>
          <w:tcPr>
            <w:tcW w:w="10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w w:val="92"/>
              </w:rPr>
              <w:t>Side Letter Agreement dated as of September 21, 2016 by among Marriott International, Inc., Marriott Worldwide Corporation and Marriott</w:t>
            </w:r>
          </w:p>
        </w:tc>
        <w:tc>
          <w:tcPr>
            <w:tcW w:w="0" w:type="dxa"/>
            <w:vAlign w:val="bottom"/>
          </w:tcPr>
          <w:p>
            <w:pPr>
              <w:spacing w:after="0"/>
              <w:rPr>
                <w:sz w:val="1"/>
                <w:szCs w:val="1"/>
                <w:color w:val="auto"/>
              </w:rPr>
            </w:pPr>
          </w:p>
        </w:tc>
      </w:tr>
      <w:tr>
        <w:trPr>
          <w:trHeight w:val="230"/>
        </w:trPr>
        <w:tc>
          <w:tcPr>
            <w:tcW w:w="1040" w:type="dxa"/>
            <w:vAlign w:val="bottom"/>
          </w:tcPr>
          <w:p>
            <w:pPr>
              <w:spacing w:after="0"/>
              <w:rPr>
                <w:sz w:val="20"/>
                <w:szCs w:val="20"/>
                <w:color w:val="auto"/>
              </w:rPr>
            </w:pP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rPr>
              <w:t>Rewards, LLC, Marriott Vacations Worldwide Corporation and Marriott Ownership Resorts, Inc.†</w:t>
            </w:r>
          </w:p>
        </w:tc>
        <w:tc>
          <w:tcPr>
            <w:tcW w:w="0" w:type="dxa"/>
            <w:vAlign w:val="bottom"/>
          </w:tcPr>
          <w:p>
            <w:pPr>
              <w:spacing w:after="0"/>
              <w:rPr>
                <w:sz w:val="1"/>
                <w:szCs w:val="1"/>
                <w:color w:val="auto"/>
              </w:rPr>
            </w:pP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rPr>
              <w:t>Certification of Chief Executive Officer pursuant to Rule 13a-14(a) of the Securities Exchange Act of 1934.</w:t>
            </w:r>
          </w:p>
        </w:tc>
        <w:tc>
          <w:tcPr>
            <w:tcW w:w="0" w:type="dxa"/>
            <w:vAlign w:val="bottom"/>
          </w:tcPr>
          <w:p>
            <w:pPr>
              <w:spacing w:after="0"/>
              <w:rPr>
                <w:sz w:val="1"/>
                <w:szCs w:val="1"/>
                <w:color w:val="auto"/>
              </w:rPr>
            </w:pP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rPr>
              <w:t>Certification of Chief Financial Officer pursuant to Rule 13a-14(a) of the Securities Exchange Act of 1934.</w:t>
            </w:r>
          </w:p>
        </w:tc>
        <w:tc>
          <w:tcPr>
            <w:tcW w:w="0" w:type="dxa"/>
            <w:vAlign w:val="bottom"/>
          </w:tcPr>
          <w:p>
            <w:pPr>
              <w:spacing w:after="0"/>
              <w:rPr>
                <w:sz w:val="1"/>
                <w:szCs w:val="1"/>
                <w:color w:val="auto"/>
              </w:rPr>
            </w:pP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rPr>
              <w:t>Certification of Chief Executive Officer pursuant to Rule 13a-14(b) and Section 906 of the Sarbanes-Oxley Act of 2002.</w:t>
            </w:r>
          </w:p>
        </w:tc>
        <w:tc>
          <w:tcPr>
            <w:tcW w:w="0" w:type="dxa"/>
            <w:vAlign w:val="bottom"/>
          </w:tcPr>
          <w:p>
            <w:pPr>
              <w:spacing w:after="0"/>
              <w:rPr>
                <w:sz w:val="1"/>
                <w:szCs w:val="1"/>
                <w:color w:val="auto"/>
              </w:rPr>
            </w:pP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rPr>
              <w:t>Certification of Chief Financial Officer pursuant to Rule 13a-14(b) and Section 906 of the Sarbanes-Oxley Act of 2002.</w:t>
            </w:r>
          </w:p>
        </w:tc>
        <w:tc>
          <w:tcPr>
            <w:tcW w:w="0" w:type="dxa"/>
            <w:vAlign w:val="bottom"/>
          </w:tcPr>
          <w:p>
            <w:pPr>
              <w:spacing w:after="0"/>
              <w:rPr>
                <w:sz w:val="1"/>
                <w:szCs w:val="1"/>
                <w:color w:val="auto"/>
              </w:rPr>
            </w:pP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5"/>
              </w:rPr>
              <w:t>101.INS</w:t>
            </w: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rPr>
              <w:t>XBRL Taxonomy Calculation Linkbase Document.</w:t>
            </w:r>
          </w:p>
        </w:tc>
        <w:tc>
          <w:tcPr>
            <w:tcW w:w="0" w:type="dxa"/>
            <w:vAlign w:val="bottom"/>
          </w:tcPr>
          <w:p>
            <w:pPr>
              <w:spacing w:after="0"/>
              <w:rPr>
                <w:sz w:val="1"/>
                <w:szCs w:val="1"/>
                <w:color w:val="auto"/>
              </w:rPr>
            </w:pP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rPr>
              <w:t>XBRL Taxonomy Label Linkbase Document.</w:t>
            </w:r>
          </w:p>
        </w:tc>
        <w:tc>
          <w:tcPr>
            <w:tcW w:w="0" w:type="dxa"/>
            <w:vAlign w:val="bottom"/>
          </w:tcPr>
          <w:p>
            <w:pPr>
              <w:spacing w:after="0"/>
              <w:rPr>
                <w:sz w:val="1"/>
                <w:szCs w:val="1"/>
                <w:color w:val="auto"/>
              </w:rPr>
            </w:pPr>
          </w:p>
        </w:tc>
      </w:tr>
      <w:tr>
        <w:trPr>
          <w:trHeight w:val="270"/>
        </w:trPr>
        <w:tc>
          <w:tcPr>
            <w:tcW w:w="104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10340" w:type="dxa"/>
            <w:vAlign w:val="bottom"/>
            <w:gridSpan w:val="3"/>
          </w:tcPr>
          <w:p>
            <w:pPr>
              <w:ind w:left="140"/>
              <w:spacing w:after="0"/>
              <w:rPr>
                <w:sz w:val="20"/>
                <w:szCs w:val="20"/>
                <w:color w:val="auto"/>
              </w:rPr>
            </w:pPr>
            <w:r>
              <w:rPr>
                <w:rFonts w:ascii="Arial" w:cs="Arial" w:eastAsia="Arial" w:hAnsi="Arial"/>
                <w:sz w:val="18"/>
                <w:szCs w:val="18"/>
                <w:color w:val="auto"/>
              </w:rPr>
              <w:t>XBRL Taxonomy Presentation Linkbase Document.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20" w:firstLine="432"/>
        <w:spacing w:after="0" w:line="288" w:lineRule="auto"/>
        <w:rPr>
          <w:sz w:val="20"/>
          <w:szCs w:val="20"/>
          <w:color w:val="auto"/>
        </w:rPr>
      </w:pPr>
      <w:r>
        <w:rPr>
          <w:rFonts w:ascii="Arial" w:cs="Arial" w:eastAsia="Arial" w:hAnsi="Arial"/>
          <w:sz w:val="16"/>
          <w:szCs w:val="16"/>
          <w:color w:val="auto"/>
        </w:rPr>
        <w:t>We have attached the following documents formatted in XBRL (Extensible Business Reporting Language) as Exhibit 101 to this report: (i) the Interim Consolidated Statements of Income for the twelve and thirty-six weeks ended September 9, 2016 and September 11, 2015, respectively; (ii) the Interim Consolidated Statements of Comprehensive Income for the twelve and thirty-six weeks ended September 9, 2016 and September 11, 2015, respectively;</w:t>
      </w:r>
    </w:p>
    <w:p>
      <w:pPr>
        <w:ind w:right="140" w:firstLine="8"/>
        <w:spacing w:after="0" w:line="261" w:lineRule="auto"/>
        <w:tabs>
          <w:tab w:leader="none" w:pos="31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Interim Consolidated Balance Sheets at September 9, 2016 and January 1, 2016; and (iv) the Interim Consolidated Statements of Cash Flows for the thirty-six weeks ended September 9, 2016 and September 11, 2015, respectively.</w:t>
      </w:r>
    </w:p>
    <w:p>
      <w:pPr>
        <w:spacing w:after="0" w:line="184" w:lineRule="exact"/>
        <w:rPr>
          <w:sz w:val="20"/>
          <w:szCs w:val="20"/>
          <w:color w:val="auto"/>
        </w:rPr>
      </w:pPr>
    </w:p>
    <w:p>
      <w:pPr>
        <w:ind w:left="180" w:hanging="172"/>
        <w:spacing w:after="0" w:line="264" w:lineRule="auto"/>
        <w:tabs>
          <w:tab w:leader="none" w:pos="1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Portions of this exhibit were redacted pursuant to a confidential treatment request filed with the Securities and Exchange Commission pursuant to Rule 24b-2 under the Securities Exchange Act of 1934, as amended. The redacted portions of this exhibit have been filed with the Securities and Exchange Commission.</w:t>
      </w:r>
    </w:p>
    <w:p>
      <w:pPr>
        <w:sectPr>
          <w:pgSz w:w="11900" w:h="16838" w:orient="portrait"/>
          <w:cols w:equalWidth="0" w:num="1">
            <w:col w:w="11400"/>
          </w:cols>
          <w:pgMar w:left="240" w:top="125" w:right="25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900"/>
        <w:spacing w:after="0" w:line="253" w:lineRule="auto"/>
        <w:rPr>
          <w:sz w:val="20"/>
          <w:szCs w:val="20"/>
          <w:color w:val="auto"/>
        </w:rPr>
      </w:pPr>
      <w:r>
        <w:rPr>
          <w:rFonts w:ascii="Arial" w:cs="Arial" w:eastAsia="Arial" w:hAnsi="Arial"/>
          <w:sz w:val="22"/>
          <w:szCs w:val="22"/>
          <w:i w:val="1"/>
          <w:iCs w:val="1"/>
          <w:color w:val="auto"/>
        </w:rPr>
        <w:t>Pursuant to 17 CFR 240.24b-2, confidential information has been omitted in the place marked ‘[***]’ and has been filed separately with the Securities and Exchange Commission pursuant to a Confidential Treatment Application filed with the Commission.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SIDE LETTER AGREEMENT – PROGRAM AFFILIATION</w:t>
      </w:r>
    </w:p>
    <w:p>
      <w:pPr>
        <w:spacing w:after="0" w:line="226" w:lineRule="exact"/>
        <w:rPr>
          <w:sz w:val="20"/>
          <w:szCs w:val="20"/>
          <w:color w:val="auto"/>
        </w:rPr>
      </w:pPr>
    </w:p>
    <w:p>
      <w:pPr>
        <w:ind w:right="200" w:firstLine="648"/>
        <w:spacing w:after="0" w:line="312" w:lineRule="auto"/>
        <w:rPr>
          <w:sz w:val="20"/>
          <w:szCs w:val="20"/>
          <w:color w:val="auto"/>
        </w:rPr>
      </w:pPr>
      <w:r>
        <w:rPr>
          <w:rFonts w:ascii="Arial" w:cs="Arial" w:eastAsia="Arial" w:hAnsi="Arial"/>
          <w:sz w:val="19"/>
          <w:szCs w:val="19"/>
          <w:color w:val="auto"/>
        </w:rPr>
        <w:t>SIDE LETTER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September 21, 2016 by among Marriott International, Inc., Marriott Worldwide Corporation and Marriott Rewards, LLC (together with their respective affiliates, “</w:t>
      </w:r>
      <w:r>
        <w:rPr>
          <w:rFonts w:ascii="Arial" w:cs="Arial" w:eastAsia="Arial" w:hAnsi="Arial"/>
          <w:sz w:val="19"/>
          <w:szCs w:val="19"/>
          <w:u w:val="single" w:color="auto"/>
          <w:color w:val="auto"/>
        </w:rPr>
        <w:t>Marriott</w:t>
      </w:r>
      <w:r>
        <w:rPr>
          <w:rFonts w:ascii="Arial" w:cs="Arial" w:eastAsia="Arial" w:hAnsi="Arial"/>
          <w:sz w:val="19"/>
          <w:szCs w:val="19"/>
          <w:color w:val="auto"/>
        </w:rPr>
        <w:t>”), and Marriott Vacations Worldwide Corporation and Marriott Ownership Resorts, Inc. (together with their respective affiliates, “</w:t>
      </w:r>
      <w:r>
        <w:rPr>
          <w:rFonts w:ascii="Arial" w:cs="Arial" w:eastAsia="Arial" w:hAnsi="Arial"/>
          <w:sz w:val="19"/>
          <w:szCs w:val="19"/>
          <w:u w:val="single" w:color="auto"/>
          <w:color w:val="auto"/>
        </w:rPr>
        <w:t>MVW</w:t>
      </w:r>
      <w:r>
        <w:rPr>
          <w:rFonts w:ascii="Arial" w:cs="Arial" w:eastAsia="Arial" w:hAnsi="Arial"/>
          <w:sz w:val="19"/>
          <w:szCs w:val="19"/>
          <w:color w:val="auto"/>
        </w:rPr>
        <w: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26" w:lineRule="exact"/>
        <w:rPr>
          <w:sz w:val="20"/>
          <w:szCs w:val="20"/>
          <w:color w:val="auto"/>
        </w:rPr>
      </w:pPr>
    </w:p>
    <w:p>
      <w:pPr>
        <w:jc w:val="both"/>
        <w:ind w:right="300" w:firstLine="648"/>
        <w:spacing w:after="0" w:line="253" w:lineRule="auto"/>
        <w:rPr>
          <w:sz w:val="20"/>
          <w:szCs w:val="20"/>
          <w:color w:val="auto"/>
        </w:rPr>
      </w:pPr>
      <w:r>
        <w:rPr>
          <w:rFonts w:ascii="Arial" w:cs="Arial" w:eastAsia="Arial" w:hAnsi="Arial"/>
          <w:sz w:val="22"/>
          <w:szCs w:val="22"/>
          <w:color w:val="auto"/>
        </w:rPr>
        <w:t>WHEREAS, Marriott is pursuing a business combination transaction under which it plans to acquire Starwood Hotels &amp; Resorts Worldwide, Inc. (“</w:t>
      </w:r>
      <w:r>
        <w:rPr>
          <w:rFonts w:ascii="Arial" w:cs="Arial" w:eastAsia="Arial" w:hAnsi="Arial"/>
          <w:sz w:val="22"/>
          <w:szCs w:val="22"/>
          <w:u w:val="single" w:color="auto"/>
          <w:color w:val="auto"/>
        </w:rPr>
        <w:t>Starwood</w:t>
      </w:r>
      <w:r>
        <w:rPr>
          <w:rFonts w:ascii="Arial" w:cs="Arial" w:eastAsia="Arial" w:hAnsi="Arial"/>
          <w:sz w:val="22"/>
          <w:szCs w:val="22"/>
          <w:color w:val="auto"/>
        </w:rPr>
        <w:t>”) under an Agreement and Plan of Merger dated November 15, 2015 as amended on March 21, 2016 (the “</w:t>
      </w:r>
      <w:r>
        <w:rPr>
          <w:rFonts w:ascii="Arial" w:cs="Arial" w:eastAsia="Arial" w:hAnsi="Arial"/>
          <w:sz w:val="22"/>
          <w:szCs w:val="22"/>
          <w:u w:val="single" w:color="auto"/>
          <w:color w:val="auto"/>
        </w:rPr>
        <w:t>Starwood Combination</w:t>
      </w:r>
      <w:r>
        <w:rPr>
          <w:rFonts w:ascii="Arial" w:cs="Arial" w:eastAsia="Arial" w:hAnsi="Arial"/>
          <w:sz w:val="22"/>
          <w:szCs w:val="22"/>
          <w:color w:val="auto"/>
        </w:rPr>
        <w:t>”);</w:t>
      </w:r>
    </w:p>
    <w:p>
      <w:pPr>
        <w:spacing w:after="0" w:line="186"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WHEREAS, Marriott operates brand loyalty rewards programs called Marriott Rewards and Ritz-Carlton Rewards (collectively, for purposes of this Agreement, “</w:t>
      </w:r>
      <w:r>
        <w:rPr>
          <w:rFonts w:ascii="Arial" w:cs="Arial" w:eastAsia="Arial" w:hAnsi="Arial"/>
          <w:sz w:val="22"/>
          <w:szCs w:val="22"/>
          <w:u w:val="single" w:color="auto"/>
          <w:color w:val="auto"/>
        </w:rPr>
        <w:t>Marriott Rewards</w:t>
      </w:r>
      <w:r>
        <w:rPr>
          <w:rFonts w:ascii="Arial" w:cs="Arial" w:eastAsia="Arial" w:hAnsi="Arial"/>
          <w:sz w:val="22"/>
          <w:szCs w:val="22"/>
          <w:color w:val="auto"/>
        </w:rPr>
        <w:t>”) and Starwood operates a brand loyalty program called Starwood Preferred Guest (“</w:t>
      </w:r>
      <w:r>
        <w:rPr>
          <w:rFonts w:ascii="Arial" w:cs="Arial" w:eastAsia="Arial" w:hAnsi="Arial"/>
          <w:sz w:val="22"/>
          <w:szCs w:val="22"/>
          <w:u w:val="single" w:color="auto"/>
          <w:color w:val="auto"/>
        </w:rPr>
        <w:t>SPG</w:t>
      </w:r>
      <w:r>
        <w:rPr>
          <w:rFonts w:ascii="Arial" w:cs="Arial" w:eastAsia="Arial" w:hAnsi="Arial"/>
          <w:sz w:val="22"/>
          <w:szCs w:val="22"/>
          <w:color w:val="auto"/>
        </w:rPr>
        <w:t>”);</w:t>
      </w:r>
    </w:p>
    <w:p>
      <w:pPr>
        <w:spacing w:after="0" w:line="186" w:lineRule="exact"/>
        <w:rPr>
          <w:sz w:val="20"/>
          <w:szCs w:val="20"/>
          <w:color w:val="auto"/>
        </w:rPr>
      </w:pPr>
    </w:p>
    <w:p>
      <w:pPr>
        <w:ind w:right="60" w:firstLine="648"/>
        <w:spacing w:after="0" w:line="263" w:lineRule="auto"/>
        <w:rPr>
          <w:sz w:val="20"/>
          <w:szCs w:val="20"/>
          <w:color w:val="auto"/>
        </w:rPr>
      </w:pPr>
      <w:r>
        <w:rPr>
          <w:rFonts w:ascii="Arial" w:cs="Arial" w:eastAsia="Arial" w:hAnsi="Arial"/>
          <w:sz w:val="22"/>
          <w:szCs w:val="22"/>
          <w:color w:val="auto"/>
        </w:rPr>
        <w:t>WHEREAS, Marriott desires to affiliate and integrate certain aspects of Marriott Rewards and SPG as described herein (the “</w:t>
      </w:r>
      <w:r>
        <w:rPr>
          <w:rFonts w:ascii="Arial" w:cs="Arial" w:eastAsia="Arial" w:hAnsi="Arial"/>
          <w:sz w:val="22"/>
          <w:szCs w:val="22"/>
          <w:u w:val="single" w:color="auto"/>
          <w:color w:val="auto"/>
        </w:rPr>
        <w:t>Program Affiliation</w:t>
      </w:r>
      <w:r>
        <w:rPr>
          <w:rFonts w:ascii="Arial" w:cs="Arial" w:eastAsia="Arial" w:hAnsi="Arial"/>
          <w:sz w:val="22"/>
          <w:szCs w:val="22"/>
          <w:color w:val="auto"/>
        </w:rPr>
        <w:t>”);</w:t>
      </w:r>
    </w:p>
    <w:p>
      <w:pPr>
        <w:spacing w:after="0" w:line="175" w:lineRule="exact"/>
        <w:rPr>
          <w:sz w:val="20"/>
          <w:szCs w:val="20"/>
          <w:color w:val="auto"/>
        </w:rPr>
      </w:pPr>
    </w:p>
    <w:p>
      <w:pPr>
        <w:ind w:right="60" w:firstLine="648"/>
        <w:spacing w:after="0" w:line="260" w:lineRule="auto"/>
        <w:rPr>
          <w:sz w:val="20"/>
          <w:szCs w:val="20"/>
          <w:color w:val="auto"/>
        </w:rPr>
      </w:pPr>
      <w:r>
        <w:rPr>
          <w:rFonts w:ascii="Arial" w:cs="Arial" w:eastAsia="Arial" w:hAnsi="Arial"/>
          <w:sz w:val="21"/>
          <w:szCs w:val="21"/>
          <w:color w:val="auto"/>
        </w:rPr>
        <w:t>WHEREAS, Marriott and MVW are parties to (i) that certain License, Services, and Development Agreement for Marriott Projects, dated November 17, 2011 (the “</w:t>
      </w:r>
      <w:r>
        <w:rPr>
          <w:rFonts w:ascii="Arial" w:cs="Arial" w:eastAsia="Arial" w:hAnsi="Arial"/>
          <w:sz w:val="21"/>
          <w:szCs w:val="21"/>
          <w:u w:val="single" w:color="auto"/>
          <w:color w:val="auto"/>
        </w:rPr>
        <w:t>MVW Marriott License Agreement</w:t>
      </w:r>
      <w:r>
        <w:rPr>
          <w:rFonts w:ascii="Arial" w:cs="Arial" w:eastAsia="Arial" w:hAnsi="Arial"/>
          <w:sz w:val="21"/>
          <w:szCs w:val="21"/>
          <w:color w:val="auto"/>
        </w:rPr>
        <w:t>”), (ii) that certain License, Services and Development Agreement for Ritz-Carlton Projects, dated November 17, 2011 (the “</w:t>
      </w:r>
      <w:r>
        <w:rPr>
          <w:rFonts w:ascii="Arial" w:cs="Arial" w:eastAsia="Arial" w:hAnsi="Arial"/>
          <w:sz w:val="21"/>
          <w:szCs w:val="21"/>
          <w:u w:val="single" w:color="auto"/>
          <w:color w:val="auto"/>
        </w:rPr>
        <w:t>MVW Ritz-Carlton License Agreement</w:t>
      </w:r>
      <w:r>
        <w:rPr>
          <w:rFonts w:ascii="Arial" w:cs="Arial" w:eastAsia="Arial" w:hAnsi="Arial"/>
          <w:sz w:val="21"/>
          <w:szCs w:val="21"/>
          <w:color w:val="auto"/>
        </w:rPr>
        <w:t>”) (collectively, the MVW Marriott License Agreement and the MVW Ritz-Carlton License Agreement are referred to as the “</w:t>
      </w:r>
      <w:r>
        <w:rPr>
          <w:rFonts w:ascii="Arial" w:cs="Arial" w:eastAsia="Arial" w:hAnsi="Arial"/>
          <w:sz w:val="21"/>
          <w:szCs w:val="21"/>
          <w:u w:val="single" w:color="auto"/>
          <w:color w:val="auto"/>
        </w:rPr>
        <w:t>MVW License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(iii) that certain Marriott Rewards Affiliation Agreement, dated November 17, 2011 (the “</w:t>
      </w:r>
      <w:r>
        <w:rPr>
          <w:rFonts w:ascii="Arial" w:cs="Arial" w:eastAsia="Arial" w:hAnsi="Arial"/>
          <w:sz w:val="21"/>
          <w:szCs w:val="21"/>
          <w:u w:val="single" w:color="auto"/>
          <w:color w:val="auto"/>
        </w:rPr>
        <w:t>Marriott Rewards</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(iv) that certain Noncompetition Agreement, dated November 21, 2011 (the “</w:t>
      </w:r>
      <w:r>
        <w:rPr>
          <w:rFonts w:ascii="Arial" w:cs="Arial" w:eastAsia="Arial" w:hAnsi="Arial"/>
          <w:sz w:val="21"/>
          <w:szCs w:val="21"/>
          <w:u w:val="single" w:color="auto"/>
          <w:color w:val="auto"/>
        </w:rPr>
        <w:t>Noncompetition Agreement</w:t>
      </w:r>
      <w:r>
        <w:rPr>
          <w:rFonts w:ascii="Arial" w:cs="Arial" w:eastAsia="Arial" w:hAnsi="Arial"/>
          <w:sz w:val="21"/>
          <w:szCs w:val="21"/>
          <w:color w:val="auto"/>
        </w:rPr>
        <w:t>”); and (v) certain other related agreements (collectively the “</w:t>
      </w:r>
      <w:r>
        <w:rPr>
          <w:rFonts w:ascii="Arial" w:cs="Arial" w:eastAsia="Arial" w:hAnsi="Arial"/>
          <w:sz w:val="21"/>
          <w:szCs w:val="21"/>
          <w:u w:val="single" w:color="auto"/>
          <w:color w:val="auto"/>
        </w:rPr>
        <w:t>Marriott-MVW Agreements</w:t>
      </w:r>
      <w:r>
        <w:rPr>
          <w:rFonts w:ascii="Arial" w:cs="Arial" w:eastAsia="Arial" w:hAnsi="Arial"/>
          <w:sz w:val="21"/>
          <w:szCs w:val="21"/>
          <w:color w:val="auto"/>
        </w:rPr>
        <w:t>”); and</w:t>
      </w:r>
    </w:p>
    <w:p>
      <w:pPr>
        <w:spacing w:after="0" w:line="181"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WHEREAS, as a condition to MVW consenting to Marriott effectuating the Program Affiliation, Marriott and MVW desire to modify, supplement or amend certain terms of the Marriott-MVW Agreements and agree to the other terms included in this Agreement.</w:t>
      </w:r>
    </w:p>
    <w:p>
      <w:pPr>
        <w:spacing w:after="0" w:line="186"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NOW THEREFORE, in consideration of the foregoing and the mutual covenants and agreements hereof, intending to be legally bound hereby, and notwithstanding anything in the Marriott-MVW Agreements to the contrary, the parties agree as follows:</w:t>
      </w:r>
    </w:p>
    <w:p>
      <w:pPr>
        <w:sectPr>
          <w:pgSz w:w="11900" w:h="16838" w:orient="portrait"/>
          <w:cols w:equalWidth="0" w:num="1">
            <w:col w:w="11420"/>
          </w:cols>
          <w:pgMar w:left="240" w:top="585" w:right="239" w:bottom="1440" w:gutter="0" w:footer="0" w:header="0"/>
        </w:sectPr>
      </w:pPr>
    </w:p>
    <w:bookmarkStart w:id="74" w:name="page75"/>
    <w:bookmarkEnd w:id="74"/>
    <w:p>
      <w:pPr>
        <w:ind w:left="5000"/>
        <w:spacing w:after="0"/>
        <w:rPr>
          <w:sz w:val="20"/>
          <w:szCs w:val="20"/>
          <w:color w:val="auto"/>
        </w:rPr>
      </w:pPr>
      <w:r>
        <w:rPr>
          <w:rFonts w:ascii="Arial" w:cs="Arial" w:eastAsia="Arial" w:hAnsi="Arial"/>
          <w:sz w:val="22"/>
          <w:szCs w:val="22"/>
          <w:b w:val="1"/>
          <w:bCs w:val="1"/>
          <w:color w:val="auto"/>
        </w:rPr>
        <w:t>AGREEMENT</w:t>
      </w:r>
    </w:p>
    <w:p>
      <w:pPr>
        <w:spacing w:after="0" w:line="220"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I.</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DEFINITIONS</w:t>
      </w:r>
    </w:p>
    <w:p>
      <w:pPr>
        <w:spacing w:after="0" w:line="196" w:lineRule="exact"/>
        <w:rPr>
          <w:sz w:val="20"/>
          <w:szCs w:val="20"/>
          <w:color w:val="auto"/>
        </w:rPr>
      </w:pPr>
    </w:p>
    <w:p>
      <w:pPr>
        <w:ind w:right="300" w:firstLine="648"/>
        <w:spacing w:after="0" w:line="364" w:lineRule="auto"/>
        <w:rPr>
          <w:sz w:val="20"/>
          <w:szCs w:val="20"/>
          <w:color w:val="auto"/>
        </w:rPr>
      </w:pPr>
      <w:r>
        <w:rPr>
          <w:rFonts w:ascii="Arial" w:cs="Arial" w:eastAsia="Arial" w:hAnsi="Arial"/>
          <w:sz w:val="19"/>
          <w:szCs w:val="19"/>
          <w:b w:val="1"/>
          <w:bCs w:val="1"/>
          <w:color w:val="010000"/>
        </w:rPr>
        <w:t xml:space="preserve">Section 1.01 </w:t>
      </w:r>
      <w:r>
        <w:rPr>
          <w:rFonts w:ascii="Arial" w:cs="Arial" w:eastAsia="Arial" w:hAnsi="Arial"/>
          <w:sz w:val="19"/>
          <w:szCs w:val="19"/>
          <w:b w:val="1"/>
          <w:bCs w:val="1"/>
          <w:u w:val="single" w:color="auto"/>
          <w:color w:val="000000"/>
        </w:rPr>
        <w:t>Certain Definitions</w:t>
      </w:r>
      <w:r>
        <w:rPr>
          <w:rFonts w:ascii="Arial" w:cs="Arial" w:eastAsia="Arial" w:hAnsi="Arial"/>
          <w:sz w:val="19"/>
          <w:szCs w:val="19"/>
          <w:b w:val="1"/>
          <w:bCs w:val="1"/>
          <w:color w:val="000000"/>
        </w:rPr>
        <w:t>.</w:t>
      </w:r>
      <w:r>
        <w:rPr>
          <w:rFonts w:ascii="Arial" w:cs="Arial" w:eastAsia="Arial" w:hAnsi="Arial"/>
          <w:sz w:val="19"/>
          <w:szCs w:val="19"/>
          <w:b w:val="1"/>
          <w:bCs w:val="1"/>
          <w:color w:val="010000"/>
        </w:rPr>
        <w:t xml:space="preserve"> </w:t>
      </w:r>
      <w:r>
        <w:rPr>
          <w:rFonts w:ascii="Arial" w:cs="Arial" w:eastAsia="Arial" w:hAnsi="Arial"/>
          <w:sz w:val="19"/>
          <w:szCs w:val="19"/>
          <w:color w:val="000000"/>
        </w:rPr>
        <w:t>For purposes of this Agreement, the following terms have the meanings specified in</w:t>
      </w:r>
      <w:r>
        <w:rPr>
          <w:rFonts w:ascii="Arial" w:cs="Arial" w:eastAsia="Arial" w:hAnsi="Arial"/>
          <w:sz w:val="19"/>
          <w:szCs w:val="19"/>
          <w:b w:val="1"/>
          <w:bCs w:val="1"/>
          <w:color w:val="010000"/>
        </w:rPr>
        <w:t xml:space="preserve"> </w:t>
      </w:r>
      <w:r>
        <w:rPr>
          <w:rFonts w:ascii="Arial" w:cs="Arial" w:eastAsia="Arial" w:hAnsi="Arial"/>
          <w:sz w:val="19"/>
          <w:szCs w:val="19"/>
          <w:color w:val="000000"/>
        </w:rPr>
        <w:t>this Section 1.01; terms not otherwise defined have the meanings specified in the Marriott-MVW Agreements:</w:t>
      </w:r>
    </w:p>
    <w:p>
      <w:pPr>
        <w:spacing w:after="0" w:line="8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Cross Redemption Policy</w:t>
      </w:r>
      <w:r>
        <w:rPr>
          <w:rFonts w:ascii="Arial" w:cs="Arial" w:eastAsia="Arial" w:hAnsi="Arial"/>
          <w:sz w:val="22"/>
          <w:szCs w:val="22"/>
          <w:color w:val="auto"/>
        </w:rPr>
        <w:t>” means the policy to be implemented by Marriott under which persons who are members of both Marriott Rewards and SPG programs shall be permitted to convert Marriott Rewards points into SPG points, and SPG points into Marriott Rewards Points. Marriott has separately provided MVW with details regarding the implementation of the Cross-Redemption Policy.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Dual Member</w:t>
      </w:r>
      <w:r>
        <w:rPr>
          <w:rFonts w:ascii="Arial" w:cs="Arial" w:eastAsia="Arial" w:hAnsi="Arial"/>
          <w:sz w:val="22"/>
          <w:szCs w:val="22"/>
          <w:color w:val="auto"/>
        </w:rPr>
        <w:t>” means any person who is or becomes both a Marriott Rewards and SPG member.</w:t>
      </w:r>
    </w:p>
    <w:p>
      <w:pPr>
        <w:spacing w:after="0" w:line="220" w:lineRule="exact"/>
        <w:rPr>
          <w:sz w:val="20"/>
          <w:szCs w:val="20"/>
          <w:color w:val="auto"/>
        </w:rPr>
      </w:pPr>
    </w:p>
    <w:p>
      <w:pPr>
        <w:ind w:right="400"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Elite Status</w:t>
      </w:r>
      <w:r>
        <w:rPr>
          <w:rFonts w:ascii="Arial" w:cs="Arial" w:eastAsia="Arial" w:hAnsi="Arial"/>
          <w:sz w:val="22"/>
          <w:szCs w:val="22"/>
          <w:color w:val="auto"/>
        </w:rPr>
        <w:t>” means, with respect to Marriott Rewards Members, the availability of certain benefits in accordance with their classification into “Silver Elite”, “Gold Elite” or “Platinum Elite” tiers (in each case as such term is used in marketing materials available to Marriott Rewards Members) and, with respect to SPG Members, the availability of certain benefits in accordance with their classification into “Gold” or “Platinum” tiers (in each case as such term is used in marketing materials available to SPG Members).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ILG</w:t>
      </w:r>
      <w:r>
        <w:rPr>
          <w:rFonts w:ascii="Arial" w:cs="Arial" w:eastAsia="Arial" w:hAnsi="Arial"/>
          <w:sz w:val="22"/>
          <w:szCs w:val="22"/>
          <w:color w:val="auto"/>
        </w:rPr>
        <w:t>” means Interval Leisure Group, Inc.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Business</w:t>
      </w:r>
      <w:r>
        <w:rPr>
          <w:rFonts w:ascii="Arial" w:cs="Arial" w:eastAsia="Arial" w:hAnsi="Arial"/>
          <w:sz w:val="22"/>
          <w:szCs w:val="22"/>
          <w:color w:val="auto"/>
        </w:rPr>
        <w:t>” has the meaning set forth in the MVW License Agreement.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Licensed Destination Club Products</w:t>
      </w:r>
      <w:r>
        <w:rPr>
          <w:rFonts w:ascii="Arial" w:cs="Arial" w:eastAsia="Arial" w:hAnsi="Arial"/>
          <w:sz w:val="22"/>
          <w:szCs w:val="22"/>
          <w:color w:val="auto"/>
        </w:rPr>
        <w:t>” has the meaning set forth in the MVW License Agreement.</w:t>
      </w:r>
    </w:p>
    <w:p>
      <w:pPr>
        <w:spacing w:after="0" w:line="220"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Linkage Process</w:t>
      </w:r>
      <w:r>
        <w:rPr>
          <w:rFonts w:ascii="Arial" w:cs="Arial" w:eastAsia="Arial" w:hAnsi="Arial"/>
          <w:sz w:val="22"/>
          <w:szCs w:val="22"/>
          <w:color w:val="auto"/>
        </w:rPr>
        <w:t>” means the actions Dual Members must perform to link their respective Marriott Rewards and SPG accounts through the purpose-built linkage website described in Section 3.03(a).</w:t>
      </w:r>
    </w:p>
    <w:p>
      <w:pPr>
        <w:spacing w:after="0" w:line="175" w:lineRule="exact"/>
        <w:rPr>
          <w:sz w:val="20"/>
          <w:szCs w:val="20"/>
          <w:color w:val="auto"/>
        </w:rPr>
      </w:pPr>
    </w:p>
    <w:p>
      <w:pPr>
        <w:ind w:right="140" w:firstLine="648"/>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Marriott Brands</w:t>
      </w:r>
      <w:r>
        <w:rPr>
          <w:rFonts w:ascii="Arial" w:cs="Arial" w:eastAsia="Arial" w:hAnsi="Arial"/>
          <w:sz w:val="19"/>
          <w:szCs w:val="19"/>
          <w:color w:val="auto"/>
        </w:rPr>
        <w:t>” means AC Hotels by Marriott, African Pride Hotels, Autograph Collection, Bulgari Hotels &amp; Resorts, Conference Center by Marriott, Courtyard by Marriott, Delta Hotels &amp; Resorts, EDITION, Fairfield Inn by Marriott, Fairfield Inn</w:t>
      </w:r>
    </w:p>
    <w:p>
      <w:pPr>
        <w:spacing w:after="0" w:line="1" w:lineRule="exact"/>
        <w:rPr>
          <w:sz w:val="20"/>
          <w:szCs w:val="20"/>
          <w:color w:val="auto"/>
        </w:rPr>
      </w:pPr>
    </w:p>
    <w:p>
      <w:pPr>
        <w:ind w:firstLine="8"/>
        <w:spacing w:after="0" w:line="257" w:lineRule="exact"/>
        <w:tabs>
          <w:tab w:leader="none" w:pos="222" w:val="left"/>
        </w:tabs>
        <w:numPr>
          <w:ilvl w:val="0"/>
          <w:numId w:val="45"/>
        </w:numPr>
        <w:rPr>
          <w:rFonts w:ascii="Arial" w:cs="Arial" w:eastAsia="Arial" w:hAnsi="Arial"/>
          <w:sz w:val="21"/>
          <w:szCs w:val="21"/>
          <w:color w:val="auto"/>
        </w:rPr>
      </w:pPr>
      <w:r>
        <w:rPr>
          <w:rFonts w:ascii="Arial" w:cs="Arial" w:eastAsia="Arial" w:hAnsi="Arial"/>
          <w:sz w:val="21"/>
          <w:szCs w:val="21"/>
          <w:color w:val="auto"/>
        </w:rPr>
        <w:t>Suites by Marriott, Gaylord Hotels, Grand Residences by Marriott, JW Marriott, JW Marriott Marquis, Marriott Executive Apartments, Marriott Hotels &amp; Resorts, Marriott Marquis, Marriott Vacation Club, Moxy Hotels, Protea Hotel Fire &amp; Ice!, Protea Hotels, Renaissance, Renaissance ClubSport, Residence Inn by Marriott, The Ritz</w:t>
      </w:r>
      <w:r>
        <w:rPr>
          <w:rFonts w:ascii="MS PGothic" w:cs="MS PGothic" w:eastAsia="MS PGothic" w:hAnsi="MS PGothic"/>
          <w:sz w:val="21"/>
          <w:szCs w:val="21"/>
          <w:color w:val="auto"/>
        </w:rPr>
        <w:t>‑</w:t>
      </w:r>
      <w:r>
        <w:rPr>
          <w:rFonts w:ascii="Arial" w:cs="Arial" w:eastAsia="Arial" w:hAnsi="Arial"/>
          <w:sz w:val="21"/>
          <w:szCs w:val="21"/>
          <w:color w:val="auto"/>
        </w:rPr>
        <w:t>Carlton, The Ritz</w:t>
      </w:r>
      <w:r>
        <w:rPr>
          <w:rFonts w:ascii="MS PGothic" w:cs="MS PGothic" w:eastAsia="MS PGothic" w:hAnsi="MS PGothic"/>
          <w:sz w:val="21"/>
          <w:szCs w:val="21"/>
          <w:color w:val="auto"/>
        </w:rPr>
        <w:t>‑</w:t>
      </w:r>
      <w:r>
        <w:rPr>
          <w:rFonts w:ascii="Arial" w:cs="Arial" w:eastAsia="Arial" w:hAnsi="Arial"/>
          <w:sz w:val="21"/>
          <w:szCs w:val="21"/>
          <w:color w:val="auto"/>
        </w:rPr>
        <w:t>Carlton Destination Club, The Ritz</w:t>
      </w:r>
      <w:r>
        <w:rPr>
          <w:rFonts w:ascii="MS PGothic" w:cs="MS PGothic" w:eastAsia="MS PGothic" w:hAnsi="MS PGothic"/>
          <w:sz w:val="21"/>
          <w:szCs w:val="21"/>
          <w:color w:val="auto"/>
        </w:rPr>
        <w:t>‑</w:t>
      </w:r>
      <w:r>
        <w:rPr>
          <w:rFonts w:ascii="Arial" w:cs="Arial" w:eastAsia="Arial" w:hAnsi="Arial"/>
          <w:sz w:val="21"/>
          <w:szCs w:val="21"/>
          <w:color w:val="auto"/>
        </w:rPr>
        <w:t>Carlton Reserve, SpringHill Suites by Marriott, and TownePlace Suites by Marriott.</w:t>
      </w:r>
    </w:p>
    <w:p>
      <w:pPr>
        <w:spacing w:after="0" w:line="198"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Marriott Platforms</w:t>
      </w:r>
      <w:r>
        <w:rPr>
          <w:rFonts w:ascii="Arial" w:cs="Arial" w:eastAsia="Arial" w:hAnsi="Arial"/>
          <w:sz w:val="22"/>
          <w:szCs w:val="22"/>
          <w:color w:val="auto"/>
        </w:rPr>
        <w:t>” means the websites (e.g. marriott.com), the reservations systems and call centers utilized by Marriott with respect to Marriott Properties.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80"/>
          </w:cols>
          <w:pgMar w:left="240" w:top="585" w:right="279" w:bottom="1440" w:gutter="0" w:footer="0" w:header="0"/>
        </w:sectPr>
      </w:pPr>
    </w:p>
    <w:bookmarkStart w:id="75" w:name="page76"/>
    <w:bookmarkEnd w:id="75"/>
    <w:p>
      <w:pPr>
        <w:ind w:right="76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Marriott Properties</w:t>
      </w:r>
      <w:r>
        <w:rPr>
          <w:rFonts w:ascii="Arial" w:cs="Arial" w:eastAsia="Arial" w:hAnsi="Arial"/>
          <w:sz w:val="22"/>
          <w:szCs w:val="22"/>
          <w:color w:val="auto"/>
        </w:rPr>
        <w:t>” means lodging and other facilities available to customers that are owned, operated, managed, marketed, developed, franchised or licensed under the Marriott Brands.</w:t>
      </w:r>
    </w:p>
    <w:p>
      <w:pPr>
        <w:spacing w:after="0" w:line="175"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Marriott Rewards Redemption Restriction</w:t>
      </w:r>
      <w:r>
        <w:rPr>
          <w:rFonts w:ascii="Arial" w:cs="Arial" w:eastAsia="Arial" w:hAnsi="Arial"/>
          <w:sz w:val="22"/>
          <w:szCs w:val="22"/>
          <w:color w:val="auto"/>
        </w:rPr>
        <w:t>” means the policy to be implemented by Marriott under which Marriott Rewards points earned by MVW Owners through Vacation Ownership Activity, both prior to and after the date of this Agreement, cannot be converted into SPG points or otherwise redeemed at Starwood Properties.</w:t>
      </w:r>
    </w:p>
    <w:p>
      <w:pPr>
        <w:spacing w:after="0" w:line="186"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Marriott Rewards-Sourced SPG Members</w:t>
      </w:r>
      <w:r>
        <w:rPr>
          <w:rFonts w:ascii="Arial" w:cs="Arial" w:eastAsia="Arial" w:hAnsi="Arial"/>
          <w:sz w:val="19"/>
          <w:szCs w:val="19"/>
          <w:color w:val="auto"/>
        </w:rPr>
        <w:t>” means (a) persons who are Marriott Rewards members, but not SPG members, as of the closing of the Starwood Combination, who subsequently become SPG members after the closing of the Starwood Combination and engage in the Linkage Process and (b) persons who are not members of either Marriott Rewards or SPG prior to the Starwood Combination, but who join Marriott Rewards and subsequently join SPG; provided that for the persons described in clause (b) who join both programs on the same day prior to October 15, 2016, such persons will not be considered either Marriott Rewards-Sourced SPG Members or SPG-Sourced Marriott Rewards Members.</w:t>
      </w:r>
    </w:p>
    <w:p>
      <w:pPr>
        <w:spacing w:after="0" w:line="150" w:lineRule="exact"/>
        <w:rPr>
          <w:sz w:val="20"/>
          <w:szCs w:val="20"/>
          <w:color w:val="auto"/>
        </w:rPr>
      </w:pPr>
    </w:p>
    <w:p>
      <w:pPr>
        <w:ind w:right="1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MVW Owners</w:t>
      </w:r>
      <w:r>
        <w:rPr>
          <w:rFonts w:ascii="Arial" w:cs="Arial" w:eastAsia="Arial" w:hAnsi="Arial"/>
          <w:sz w:val="19"/>
          <w:szCs w:val="19"/>
          <w:color w:val="auto"/>
        </w:rPr>
        <w:t>” means persons who are “Members” under the MVW License Agreement, but excluding Members who have such status solely because they are an owner of a Residential Unit (as that term is defined in the MVW License Agreement).</w:t>
      </w:r>
    </w:p>
    <w:p>
      <w:pPr>
        <w:spacing w:after="0" w:line="1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SPG Redemption Restriction</w:t>
      </w:r>
      <w:r>
        <w:rPr>
          <w:rFonts w:ascii="Arial" w:cs="Arial" w:eastAsia="Arial" w:hAnsi="Arial"/>
          <w:sz w:val="22"/>
          <w:szCs w:val="22"/>
          <w:color w:val="auto"/>
        </w:rPr>
        <w:t>” means the policy to be implemented by Marriott under which SPG points earned by Vistana Owners through Vacation Ownership Activity, both prior to and after the date of this Agreement, cannot be converted into Marriott Rewards points or otherwise redeemed at Marriott Properties.</w:t>
      </w:r>
    </w:p>
    <w:p>
      <w:pPr>
        <w:spacing w:after="0" w:line="186" w:lineRule="exact"/>
        <w:rPr>
          <w:sz w:val="20"/>
          <w:szCs w:val="20"/>
          <w:color w:val="auto"/>
        </w:rPr>
      </w:pPr>
    </w:p>
    <w:p>
      <w:pPr>
        <w:ind w:right="7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Starwood Brands</w:t>
      </w:r>
      <w:r>
        <w:rPr>
          <w:rFonts w:ascii="Arial" w:cs="Arial" w:eastAsia="Arial" w:hAnsi="Arial"/>
          <w:sz w:val="19"/>
          <w:szCs w:val="19"/>
          <w:color w:val="auto"/>
        </w:rPr>
        <w:t>” means Aloft, Design Hotels (but only such Design Hotels that participate in the SPG program), Element, Four Points, Le Méridien, Sheraton, St. Regis, The Luxury Collection, Tribute Portfolio, W Hotels and Westin.</w:t>
      </w:r>
    </w:p>
    <w:p>
      <w:pPr>
        <w:spacing w:after="0" w:line="105"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Starwood Platforms</w:t>
      </w:r>
      <w:r>
        <w:rPr>
          <w:rFonts w:ascii="Arial" w:cs="Arial" w:eastAsia="Arial" w:hAnsi="Arial"/>
          <w:sz w:val="22"/>
          <w:szCs w:val="22"/>
          <w:color w:val="auto"/>
        </w:rPr>
        <w:t>” means the websites (e.g., starwoodhotels.com), the reservations systems and call centers utilized by Starwood with respect to Starwood Properties.</w:t>
      </w:r>
    </w:p>
    <w:p>
      <w:pPr>
        <w:spacing w:after="0" w:line="175" w:lineRule="exact"/>
        <w:rPr>
          <w:sz w:val="20"/>
          <w:szCs w:val="20"/>
          <w:color w:val="auto"/>
        </w:rPr>
      </w:pPr>
    </w:p>
    <w:p>
      <w:pPr>
        <w:ind w:righ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Starwood Properties</w:t>
      </w:r>
      <w:r>
        <w:rPr>
          <w:rFonts w:ascii="Arial" w:cs="Arial" w:eastAsia="Arial" w:hAnsi="Arial"/>
          <w:sz w:val="22"/>
          <w:szCs w:val="22"/>
          <w:color w:val="auto"/>
        </w:rPr>
        <w:t>” means lodging and other facilities available to customers that are owned, operated, managed, marketed, developed, franchised or licensed under the Starwood Brands.</w:t>
      </w:r>
    </w:p>
    <w:p>
      <w:pPr>
        <w:spacing w:after="0" w:line="175"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SPG-Sourced Marriott Rewards Members</w:t>
      </w:r>
      <w:r>
        <w:rPr>
          <w:rFonts w:ascii="Arial" w:cs="Arial" w:eastAsia="Arial" w:hAnsi="Arial"/>
          <w:sz w:val="19"/>
          <w:szCs w:val="19"/>
          <w:color w:val="auto"/>
        </w:rPr>
        <w:t>” means (a) persons who are SPG members, but not Marriott Rewards members, as of the closing of the Starwood Combination, who subsequently become Marriott Rewards members after the closing of the Starwood Combination and engage in the Linkage Process and (b) persons who are not members of either Marriott Rewards or SPG prior to the Starwood Combination, but who join SPG and subsequently join Marriott Rewards; provided that for the persons described in clause (b) who join both programs on the same day prior to October 15, 2016, such persons will not be considered either Marriott Rewards-Sourced SPG Members or SPG-Sourced Marriott Rewards Members.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40"/>
          </w:cols>
          <w:pgMar w:left="240" w:top="591" w:right="319" w:bottom="1440" w:gutter="0" w:footer="0" w:header="0"/>
        </w:sectPr>
      </w:pPr>
    </w:p>
    <w:bookmarkStart w:id="76" w:name="page77"/>
    <w:bookmarkEnd w:id="76"/>
    <w:p>
      <w:pPr>
        <w:ind w:right="160"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Vacation Ownership Activity</w:t>
      </w:r>
      <w:r>
        <w:rPr>
          <w:rFonts w:ascii="Arial" w:cs="Arial" w:eastAsia="Arial" w:hAnsi="Arial"/>
          <w:sz w:val="19"/>
          <w:szCs w:val="19"/>
          <w:color w:val="auto"/>
        </w:rPr>
        <w:t>” means the occurrence of certain events, both prior to and after the date of this Agreement, that permit MVW Owners and Vistana Owners to obtain points under Marriott Rewards or SPG, as applicable, relating to their status as MVW Owners or Vistana Owners, including without limitation first-day benefits for purchasing a timeshare or fractional interest or membership, exchanges of vacation ownership usage, referrals, vacation ownership promotions, and resolution of customer service issues, but excluding activities of MVW Owners and Vistana Owners that, if undertaken by non-MVW Owners and non-Vistana Owners, would entitle them to obtain points under Marriott Rewards or SPG, as applicable, such as paid stays at Marriott Properties or Starwood Properties or use of Marriott Rewards or SPG branded credit cards.</w:t>
      </w:r>
    </w:p>
    <w:p>
      <w:pPr>
        <w:spacing w:after="0" w:line="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Vistana</w:t>
      </w:r>
      <w:r>
        <w:rPr>
          <w:rFonts w:ascii="Arial" w:cs="Arial" w:eastAsia="Arial" w:hAnsi="Arial"/>
          <w:sz w:val="22"/>
          <w:szCs w:val="22"/>
          <w:color w:val="auto"/>
        </w:rPr>
        <w:t>” means Vistana Signature Experiences, Inc.</w:t>
      </w:r>
    </w:p>
    <w:p>
      <w:pPr>
        <w:spacing w:after="0" w:line="112"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Vistana License Agreement</w:t>
      </w:r>
      <w:r>
        <w:rPr>
          <w:rFonts w:ascii="Arial" w:cs="Arial" w:eastAsia="Arial" w:hAnsi="Arial"/>
          <w:sz w:val="22"/>
          <w:szCs w:val="22"/>
          <w:color w:val="auto"/>
        </w:rPr>
        <w:t>” means that certain License, Services and Development Agreement among Vistana, Starwood and ILG dated as of May 11, 2016.</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Vistana Owners</w:t>
      </w:r>
      <w:r>
        <w:rPr>
          <w:rFonts w:ascii="Arial" w:cs="Arial" w:eastAsia="Arial" w:hAnsi="Arial"/>
          <w:sz w:val="22"/>
          <w:szCs w:val="22"/>
          <w:color w:val="auto"/>
        </w:rPr>
        <w:t>” means persons who are “Owners” as that term is used in the Vistana License Agreement.</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EXISTING PLATFORMS</w:t>
      </w:r>
    </w:p>
    <w:p>
      <w:pPr>
        <w:spacing w:after="0" w:line="142" w:lineRule="exact"/>
        <w:rPr>
          <w:sz w:val="20"/>
          <w:szCs w:val="20"/>
          <w:color w:val="auto"/>
        </w:rPr>
      </w:pPr>
    </w:p>
    <w:p>
      <w:pPr>
        <w:jc w:val="both"/>
        <w:ind w:right="340" w:firstLine="648"/>
        <w:spacing w:after="0" w:line="253" w:lineRule="auto"/>
        <w:rPr>
          <w:sz w:val="20"/>
          <w:szCs w:val="20"/>
          <w:color w:val="auto"/>
        </w:rPr>
      </w:pPr>
      <w:r>
        <w:rPr>
          <w:rFonts w:ascii="Arial" w:cs="Arial" w:eastAsia="Arial" w:hAnsi="Arial"/>
          <w:sz w:val="22"/>
          <w:szCs w:val="22"/>
          <w:b w:val="1"/>
          <w:bCs w:val="1"/>
          <w:color w:val="010000"/>
        </w:rPr>
        <w:t xml:space="preserve">Section 2.01 </w:t>
      </w:r>
      <w:r>
        <w:rPr>
          <w:rFonts w:ascii="Arial" w:cs="Arial" w:eastAsia="Arial" w:hAnsi="Arial"/>
          <w:sz w:val="22"/>
          <w:szCs w:val="22"/>
          <w:b w:val="1"/>
          <w:bCs w:val="1"/>
          <w:u w:val="single" w:color="auto"/>
          <w:color w:val="000000"/>
        </w:rPr>
        <w:t>Maintenance of Separate Platforms</w:t>
      </w:r>
      <w:r>
        <w:rPr>
          <w:rFonts w:ascii="Arial" w:cs="Arial" w:eastAsia="Arial" w:hAnsi="Arial"/>
          <w:sz w:val="22"/>
          <w:szCs w:val="22"/>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10000"/>
        </w:rPr>
        <w:t>(a)</w:t>
      </w:r>
      <w:r>
        <w:rPr>
          <w:rFonts w:ascii="Arial" w:cs="Arial" w:eastAsia="Arial" w:hAnsi="Arial"/>
          <w:sz w:val="22"/>
          <w:szCs w:val="22"/>
          <w:b w:val="1"/>
          <w:bCs w:val="1"/>
          <w:color w:val="010000"/>
        </w:rPr>
        <w:t xml:space="preserve"> </w:t>
      </w:r>
      <w:r>
        <w:rPr>
          <w:rFonts w:ascii="Arial" w:cs="Arial" w:eastAsia="Arial" w:hAnsi="Arial"/>
          <w:sz w:val="22"/>
          <w:szCs w:val="22"/>
          <w:color w:val="000000"/>
        </w:rPr>
        <w:t>Except as otherwise described in this Agreement, Marriott will</w:t>
      </w:r>
      <w:r>
        <w:rPr>
          <w:rFonts w:ascii="Arial" w:cs="Arial" w:eastAsia="Arial" w:hAnsi="Arial"/>
          <w:sz w:val="22"/>
          <w:szCs w:val="22"/>
          <w:b w:val="1"/>
          <w:bCs w:val="1"/>
          <w:color w:val="010000"/>
        </w:rPr>
        <w:t xml:space="preserve"> </w:t>
      </w:r>
      <w:r>
        <w:rPr>
          <w:rFonts w:ascii="Arial" w:cs="Arial" w:eastAsia="Arial" w:hAnsi="Arial"/>
          <w:sz w:val="22"/>
          <w:szCs w:val="22"/>
          <w:color w:val="000000"/>
        </w:rPr>
        <w:t>maintain Marriott Rewards and SPG as separate loyalty programs and Marriott agrees that it will continue to maintain separate member lists (including for purposes relating to vacation ownership marketing), membership cards, Marriott Rewards and SPG branded credit cards, Marriott Rewards and SPG membership numbers, communications to members, membership websites and customer service platforms.</w:t>
      </w:r>
    </w:p>
    <w:p>
      <w:pPr>
        <w:spacing w:after="0" w:line="131" w:lineRule="exact"/>
        <w:rPr>
          <w:sz w:val="20"/>
          <w:szCs w:val="20"/>
          <w:color w:val="auto"/>
        </w:rPr>
      </w:pPr>
    </w:p>
    <w:p>
      <w:pPr>
        <w:ind w:firstLine="1305"/>
        <w:spacing w:after="0" w:line="254" w:lineRule="auto"/>
        <w:tabs>
          <w:tab w:leader="none" w:pos="1728" w:val="left"/>
        </w:tabs>
        <w:numPr>
          <w:ilvl w:val="0"/>
          <w:numId w:val="46"/>
        </w:numPr>
        <w:rPr>
          <w:rFonts w:ascii="Arial" w:cs="Arial" w:eastAsia="Arial" w:hAnsi="Arial"/>
          <w:sz w:val="22"/>
          <w:szCs w:val="22"/>
          <w:color w:val="010000"/>
        </w:rPr>
      </w:pPr>
      <w:r>
        <w:rPr>
          <w:rFonts w:ascii="Arial" w:cs="Arial" w:eastAsia="Arial" w:hAnsi="Arial"/>
          <w:sz w:val="22"/>
          <w:szCs w:val="22"/>
          <w:color w:val="auto"/>
        </w:rPr>
        <w:t>Except as otherwise described in this Agreement, (i) Marriott will continue to operate the Marriott Platforms and the Starwood Platforms separately, and (ii) Marriott will cause (x) the Marriott Platforms to list, promote and sell only Marriott Properties (and not Starwood Properties) and (y) the Starwood Platforms to list, promote and sell only Starwood Properties (and not Marriott Properties).</w:t>
      </w:r>
    </w:p>
    <w:p>
      <w:pPr>
        <w:spacing w:after="0" w:line="125" w:lineRule="exact"/>
        <w:rPr>
          <w:rFonts w:ascii="Arial" w:cs="Arial" w:eastAsia="Arial" w:hAnsi="Arial"/>
          <w:sz w:val="22"/>
          <w:szCs w:val="22"/>
          <w:color w:val="010000"/>
        </w:rPr>
      </w:pPr>
    </w:p>
    <w:p>
      <w:pPr>
        <w:ind w:right="20" w:firstLine="1305"/>
        <w:spacing w:after="0" w:line="253" w:lineRule="auto"/>
        <w:tabs>
          <w:tab w:leader="none" w:pos="1716" w:val="left"/>
        </w:tabs>
        <w:numPr>
          <w:ilvl w:val="0"/>
          <w:numId w:val="46"/>
        </w:numPr>
        <w:rPr>
          <w:rFonts w:ascii="Arial" w:cs="Arial" w:eastAsia="Arial" w:hAnsi="Arial"/>
          <w:sz w:val="22"/>
          <w:szCs w:val="22"/>
          <w:color w:val="010000"/>
        </w:rPr>
      </w:pPr>
      <w:r>
        <w:rPr>
          <w:rFonts w:ascii="Arial" w:cs="Arial" w:eastAsia="Arial" w:hAnsi="Arial"/>
          <w:sz w:val="22"/>
          <w:szCs w:val="22"/>
          <w:b w:val="1"/>
          <w:bCs w:val="1"/>
          <w:color w:val="auto"/>
        </w:rPr>
        <w:t>No Other Consents</w:t>
      </w:r>
      <w:r>
        <w:rPr>
          <w:rFonts w:ascii="Arial" w:cs="Arial" w:eastAsia="Arial" w:hAnsi="Arial"/>
          <w:sz w:val="22"/>
          <w:szCs w:val="22"/>
          <w:color w:val="auto"/>
        </w:rPr>
        <w:t>. MVW hereby acknowledges that neither the actions permitted to be taken by Marriott as</w:t>
      </w:r>
      <w:r>
        <w:rPr>
          <w:rFonts w:ascii="Arial" w:cs="Arial" w:eastAsia="Arial" w:hAnsi="Arial"/>
          <w:sz w:val="22"/>
          <w:szCs w:val="22"/>
          <w:b w:val="1"/>
          <w:bCs w:val="1"/>
          <w:color w:val="auto"/>
        </w:rPr>
        <w:t xml:space="preserve"> </w:t>
      </w:r>
      <w:r>
        <w:rPr>
          <w:rFonts w:ascii="Arial" w:cs="Arial" w:eastAsia="Arial" w:hAnsi="Arial"/>
          <w:sz w:val="22"/>
          <w:szCs w:val="22"/>
          <w:color w:val="auto"/>
        </w:rPr>
        <w:t>described in this Agreement, nor any of the terms or conditions of this Agreement, require any additional approval or consent under the terms of any of the Marriott-MVW Agreements, and MVW hereby waives any claim or termination right it may have relating to the Marriott-MVW Agreements that may arise as a result of the actions permitted to be taken by Marriott hereunder or any of the terms or conditions set forth herein.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III.</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PROGRAM MODIFICATIONS</w:t>
      </w:r>
    </w:p>
    <w:p>
      <w:pPr>
        <w:spacing w:after="0" w:line="88" w:lineRule="exact"/>
        <w:rPr>
          <w:sz w:val="20"/>
          <w:szCs w:val="20"/>
          <w:color w:val="auto"/>
        </w:rPr>
      </w:pPr>
    </w:p>
    <w:p>
      <w:pPr>
        <w:ind w:right="120" w:firstLine="648"/>
        <w:spacing w:after="0" w:line="256" w:lineRule="auto"/>
        <w:rPr>
          <w:sz w:val="20"/>
          <w:szCs w:val="20"/>
          <w:color w:val="auto"/>
        </w:rPr>
      </w:pPr>
      <w:r>
        <w:rPr>
          <w:rFonts w:ascii="Arial" w:cs="Arial" w:eastAsia="Arial" w:hAnsi="Arial"/>
          <w:sz w:val="22"/>
          <w:szCs w:val="22"/>
          <w:b w:val="1"/>
          <w:bCs w:val="1"/>
          <w:color w:val="010000"/>
        </w:rPr>
        <w:t xml:space="preserve">Section 3.01 </w:t>
      </w:r>
      <w:r>
        <w:rPr>
          <w:rFonts w:ascii="Arial" w:cs="Arial" w:eastAsia="Arial" w:hAnsi="Arial"/>
          <w:sz w:val="22"/>
          <w:szCs w:val="22"/>
          <w:b w:val="1"/>
          <w:bCs w:val="1"/>
          <w:u w:val="single" w:color="auto"/>
          <w:color w:val="000000"/>
        </w:rPr>
        <w:t>Cross Redemption Policy</w:t>
      </w:r>
      <w:r>
        <w:rPr>
          <w:rFonts w:ascii="Arial" w:cs="Arial" w:eastAsia="Arial" w:hAnsi="Arial"/>
          <w:sz w:val="22"/>
          <w:szCs w:val="22"/>
          <w:color w:val="000000"/>
        </w:rPr>
        <w:t>. Notwithstanding anything in the MVW License Agreement and Marriott</w:t>
      </w:r>
      <w:r>
        <w:rPr>
          <w:rFonts w:ascii="Arial" w:cs="Arial" w:eastAsia="Arial" w:hAnsi="Arial"/>
          <w:sz w:val="22"/>
          <w:szCs w:val="22"/>
          <w:b w:val="1"/>
          <w:bCs w:val="1"/>
          <w:color w:val="010000"/>
        </w:rPr>
        <w:t xml:space="preserve"> </w:t>
      </w:r>
      <w:r>
        <w:rPr>
          <w:rFonts w:ascii="Arial" w:cs="Arial" w:eastAsia="Arial" w:hAnsi="Arial"/>
          <w:sz w:val="22"/>
          <w:szCs w:val="22"/>
          <w:color w:val="000000"/>
        </w:rPr>
        <w:t>Rewards Agreement to the contrary and subject to the terms and conditions set forth in this Article II, Marriott will be permitted to implement the Cross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20"/>
          </w:cols>
          <w:pgMar w:left="240" w:top="847" w:right="239" w:bottom="1440" w:gutter="0" w:footer="0" w:header="0"/>
        </w:sectPr>
      </w:pPr>
    </w:p>
    <w:bookmarkStart w:id="77" w:name="page78"/>
    <w:bookmarkEnd w:id="77"/>
    <w:p>
      <w:pPr>
        <w:ind w:right="180"/>
        <w:spacing w:after="0" w:line="253" w:lineRule="auto"/>
        <w:rPr>
          <w:sz w:val="20"/>
          <w:szCs w:val="20"/>
          <w:color w:val="auto"/>
        </w:rPr>
      </w:pPr>
      <w:r>
        <w:rPr>
          <w:rFonts w:ascii="Arial" w:cs="Arial" w:eastAsia="Arial" w:hAnsi="Arial"/>
          <w:sz w:val="22"/>
          <w:szCs w:val="22"/>
          <w:color w:val="auto"/>
        </w:rPr>
        <w:t>Redemption Policy; provided, however, that (a) Marriott Rewards points and Marriott Rewards Elite Status will be earned only at participating Marriott Properties and (b) SPG points and SPG Elite Status will be earned only at participating Starwood Properties.</w:t>
      </w:r>
    </w:p>
    <w:p>
      <w:pPr>
        <w:spacing w:after="0" w:line="180" w:lineRule="exact"/>
        <w:rPr>
          <w:sz w:val="20"/>
          <w:szCs w:val="20"/>
          <w:color w:val="auto"/>
        </w:rPr>
      </w:pPr>
    </w:p>
    <w:p>
      <w:pPr>
        <w:ind w:right="740" w:firstLine="648"/>
        <w:spacing w:after="0" w:line="282" w:lineRule="auto"/>
        <w:rPr>
          <w:sz w:val="20"/>
          <w:szCs w:val="20"/>
          <w:color w:val="auto"/>
        </w:rPr>
      </w:pPr>
      <w:r>
        <w:rPr>
          <w:rFonts w:ascii="Arial" w:cs="Arial" w:eastAsia="Arial" w:hAnsi="Arial"/>
          <w:sz w:val="22"/>
          <w:szCs w:val="22"/>
          <w:b w:val="1"/>
          <w:bCs w:val="1"/>
          <w:color w:val="010000"/>
        </w:rPr>
        <w:t xml:space="preserve">Section 3.02 </w:t>
      </w:r>
      <w:r>
        <w:rPr>
          <w:rFonts w:ascii="Arial" w:cs="Arial" w:eastAsia="Arial" w:hAnsi="Arial"/>
          <w:sz w:val="22"/>
          <w:szCs w:val="22"/>
          <w:b w:val="1"/>
          <w:bCs w:val="1"/>
          <w:u w:val="single" w:color="auto"/>
          <w:color w:val="000000"/>
        </w:rPr>
        <w:t>Redemption Restrictions</w:t>
      </w:r>
      <w:r>
        <w:rPr>
          <w:rFonts w:ascii="Arial" w:cs="Arial" w:eastAsia="Arial" w:hAnsi="Arial"/>
          <w:sz w:val="22"/>
          <w:szCs w:val="22"/>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10000"/>
        </w:rPr>
        <w:t>(a)</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Cross Redemption Policy will be subject to the Marriott Rewards</w:t>
      </w:r>
      <w:r>
        <w:rPr>
          <w:rFonts w:ascii="Arial" w:cs="Arial" w:eastAsia="Arial" w:hAnsi="Arial"/>
          <w:sz w:val="22"/>
          <w:szCs w:val="22"/>
          <w:b w:val="1"/>
          <w:bCs w:val="1"/>
          <w:color w:val="010000"/>
        </w:rPr>
        <w:t xml:space="preserve"> </w:t>
      </w:r>
      <w:r>
        <w:rPr>
          <w:rFonts w:ascii="Arial" w:cs="Arial" w:eastAsia="Arial" w:hAnsi="Arial"/>
          <w:sz w:val="22"/>
          <w:szCs w:val="22"/>
          <w:color w:val="000000"/>
        </w:rPr>
        <w:t>Redemption Restriction and the SPG Redemption Restriction.</w:t>
      </w:r>
    </w:p>
    <w:p>
      <w:pPr>
        <w:spacing w:after="0" w:line="154" w:lineRule="exact"/>
        <w:rPr>
          <w:sz w:val="20"/>
          <w:szCs w:val="20"/>
          <w:color w:val="auto"/>
        </w:rPr>
      </w:pPr>
    </w:p>
    <w:p>
      <w:pPr>
        <w:ind w:right="160" w:firstLine="1305"/>
        <w:spacing w:after="0" w:line="276" w:lineRule="auto"/>
        <w:tabs>
          <w:tab w:leader="none" w:pos="1728" w:val="left"/>
        </w:tabs>
        <w:numPr>
          <w:ilvl w:val="0"/>
          <w:numId w:val="47"/>
        </w:numPr>
        <w:rPr>
          <w:rFonts w:ascii="Arial" w:cs="Arial" w:eastAsia="Arial" w:hAnsi="Arial"/>
          <w:sz w:val="22"/>
          <w:szCs w:val="22"/>
          <w:color w:val="010000"/>
        </w:rPr>
      </w:pPr>
      <w:r>
        <w:rPr>
          <w:rFonts w:ascii="Arial" w:cs="Arial" w:eastAsia="Arial" w:hAnsi="Arial"/>
          <w:sz w:val="22"/>
          <w:szCs w:val="22"/>
          <w:color w:val="auto"/>
        </w:rPr>
        <w:t>Marriott will make all necessary modifications to its IT systems to implement the enforcement of the Marriott Rewards Redemption Restriction and the SPG Redemption Restriction not later than October 15, 2016.</w:t>
      </w:r>
    </w:p>
    <w:p>
      <w:pPr>
        <w:spacing w:after="0" w:line="160" w:lineRule="exact"/>
        <w:rPr>
          <w:rFonts w:ascii="Arial" w:cs="Arial" w:eastAsia="Arial" w:hAnsi="Arial"/>
          <w:sz w:val="22"/>
          <w:szCs w:val="22"/>
          <w:color w:val="010000"/>
        </w:rPr>
      </w:pPr>
    </w:p>
    <w:p>
      <w:pPr>
        <w:ind w:firstLine="1305"/>
        <w:spacing w:after="0" w:line="250" w:lineRule="auto"/>
        <w:tabs>
          <w:tab w:leader="none" w:pos="1716" w:val="left"/>
        </w:tabs>
        <w:numPr>
          <w:ilvl w:val="0"/>
          <w:numId w:val="47"/>
        </w:numPr>
        <w:rPr>
          <w:rFonts w:ascii="Arial" w:cs="Arial" w:eastAsia="Arial" w:hAnsi="Arial"/>
          <w:sz w:val="22"/>
          <w:szCs w:val="22"/>
          <w:color w:val="010000"/>
        </w:rPr>
      </w:pPr>
      <w:r>
        <w:rPr>
          <w:rFonts w:ascii="Arial" w:cs="Arial" w:eastAsia="Arial" w:hAnsi="Arial"/>
          <w:sz w:val="22"/>
          <w:szCs w:val="22"/>
          <w:color w:val="auto"/>
        </w:rPr>
        <w:t>(i) MVW and Marriott will each use commercially reasonable efforts to ensure that they accurately describe the Marriott Rewards Redemption Restriction to their respective customers, potential customers, members and potential members; (ii) Marriott will use commercially reasonable efforts to ensure that it accurately describes the SPG Rewards Redemption Restriction to its customers, potential customers, members and potential members; and (iii) Marriott will use commercially reasonable efforts to cause ILG to accurately describe the SPG Redemption Restriction to its Vistana customers, potential customers, members and potential members.</w:t>
      </w:r>
    </w:p>
    <w:p>
      <w:pPr>
        <w:spacing w:after="0" w:line="188" w:lineRule="exact"/>
        <w:rPr>
          <w:rFonts w:ascii="Arial" w:cs="Arial" w:eastAsia="Arial" w:hAnsi="Arial"/>
          <w:sz w:val="22"/>
          <w:szCs w:val="22"/>
          <w:color w:val="010000"/>
        </w:rPr>
      </w:pPr>
    </w:p>
    <w:p>
      <w:pPr>
        <w:ind w:firstLine="1305"/>
        <w:spacing w:after="0" w:line="254" w:lineRule="auto"/>
        <w:tabs>
          <w:tab w:leader="none" w:pos="1728" w:val="left"/>
        </w:tabs>
        <w:numPr>
          <w:ilvl w:val="0"/>
          <w:numId w:val="47"/>
        </w:numPr>
        <w:rPr>
          <w:rFonts w:ascii="Arial" w:cs="Arial" w:eastAsia="Arial" w:hAnsi="Arial"/>
          <w:sz w:val="22"/>
          <w:szCs w:val="22"/>
          <w:color w:val="010000"/>
        </w:rPr>
      </w:pPr>
      <w:r>
        <w:rPr>
          <w:rFonts w:ascii="Arial" w:cs="Arial" w:eastAsia="Arial" w:hAnsi="Arial"/>
          <w:sz w:val="22"/>
          <w:szCs w:val="22"/>
          <w:color w:val="auto"/>
        </w:rPr>
        <w:t xml:space="preserve">Upon MVW’s written request, Marriott will eliminate both the SPG Redemption Restriction and the Marriott Rewards Redemption Restriction;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SPG Redemption Restriction and the Marriott Rewards Redemption Restriction will not terminate prior to the third anniversary of the closing of the Starwood Combination, unless both MVW and ILG mutually agree to an earlier termination date.</w:t>
      </w:r>
    </w:p>
    <w:p>
      <w:pPr>
        <w:spacing w:after="0" w:line="179" w:lineRule="exact"/>
        <w:rPr>
          <w:sz w:val="20"/>
          <w:szCs w:val="20"/>
          <w:color w:val="auto"/>
        </w:rPr>
      </w:pPr>
    </w:p>
    <w:p>
      <w:pPr>
        <w:ind w:right="360" w:firstLine="648"/>
        <w:spacing w:after="0" w:line="282" w:lineRule="auto"/>
        <w:rPr>
          <w:sz w:val="20"/>
          <w:szCs w:val="20"/>
          <w:color w:val="auto"/>
        </w:rPr>
      </w:pPr>
      <w:r>
        <w:rPr>
          <w:rFonts w:ascii="Arial" w:cs="Arial" w:eastAsia="Arial" w:hAnsi="Arial"/>
          <w:sz w:val="22"/>
          <w:szCs w:val="22"/>
          <w:b w:val="1"/>
          <w:bCs w:val="1"/>
          <w:color w:val="010000"/>
        </w:rPr>
        <w:t xml:space="preserve">Section 3.03 </w:t>
      </w:r>
      <w:r>
        <w:rPr>
          <w:rFonts w:ascii="Arial" w:cs="Arial" w:eastAsia="Arial" w:hAnsi="Arial"/>
          <w:sz w:val="22"/>
          <w:szCs w:val="22"/>
          <w:b w:val="1"/>
          <w:bCs w:val="1"/>
          <w:u w:val="single" w:color="auto"/>
          <w:color w:val="000000"/>
        </w:rPr>
        <w:t>Linkage Process</w:t>
      </w:r>
      <w:r>
        <w:rPr>
          <w:rFonts w:ascii="Arial" w:cs="Arial" w:eastAsia="Arial" w:hAnsi="Arial"/>
          <w:sz w:val="22"/>
          <w:szCs w:val="22"/>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10000"/>
        </w:rPr>
        <w:t>(a)</w:t>
      </w:r>
      <w:r>
        <w:rPr>
          <w:rFonts w:ascii="Arial" w:cs="Arial" w:eastAsia="Arial" w:hAnsi="Arial"/>
          <w:sz w:val="22"/>
          <w:szCs w:val="22"/>
          <w:b w:val="1"/>
          <w:bCs w:val="1"/>
          <w:color w:val="010000"/>
        </w:rPr>
        <w:t xml:space="preserve"> </w:t>
      </w:r>
      <w:r>
        <w:rPr>
          <w:rFonts w:ascii="Arial" w:cs="Arial" w:eastAsia="Arial" w:hAnsi="Arial"/>
          <w:sz w:val="22"/>
          <w:szCs w:val="22"/>
          <w:color w:val="000000"/>
        </w:rPr>
        <w:t>Prior to implementing the Cross Redemption Policy, Marriott shall set up a website</w:t>
      </w:r>
      <w:r>
        <w:rPr>
          <w:rFonts w:ascii="Arial" w:cs="Arial" w:eastAsia="Arial" w:hAnsi="Arial"/>
          <w:sz w:val="22"/>
          <w:szCs w:val="22"/>
          <w:b w:val="1"/>
          <w:bCs w:val="1"/>
          <w:color w:val="010000"/>
        </w:rPr>
        <w:t xml:space="preserve"> </w:t>
      </w:r>
      <w:r>
        <w:rPr>
          <w:rFonts w:ascii="Arial" w:cs="Arial" w:eastAsia="Arial" w:hAnsi="Arial"/>
          <w:sz w:val="22"/>
          <w:szCs w:val="22"/>
          <w:color w:val="000000"/>
        </w:rPr>
        <w:t>purpose-built to allow Dual Members to complete the Linkage Process.</w:t>
      </w:r>
    </w:p>
    <w:p>
      <w:pPr>
        <w:spacing w:after="0" w:line="154" w:lineRule="exact"/>
        <w:rPr>
          <w:sz w:val="20"/>
          <w:szCs w:val="20"/>
          <w:color w:val="auto"/>
        </w:rPr>
      </w:pPr>
    </w:p>
    <w:p>
      <w:pPr>
        <w:ind w:right="40" w:firstLine="1305"/>
        <w:spacing w:after="0" w:line="276" w:lineRule="auto"/>
        <w:tabs>
          <w:tab w:leader="none" w:pos="1728"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No Dual Member shall be permitted to participate in the Cross Redemption Policy unless he/she has completed the Linkage Process.</w:t>
      </w:r>
    </w:p>
    <w:p>
      <w:pPr>
        <w:spacing w:after="0" w:line="160" w:lineRule="exact"/>
        <w:rPr>
          <w:rFonts w:ascii="Arial" w:cs="Arial" w:eastAsia="Arial" w:hAnsi="Arial"/>
          <w:sz w:val="22"/>
          <w:szCs w:val="22"/>
          <w:color w:val="010000"/>
        </w:rPr>
      </w:pPr>
    </w:p>
    <w:p>
      <w:pPr>
        <w:ind w:right="200" w:firstLine="1305"/>
        <w:spacing w:after="0" w:line="276" w:lineRule="auto"/>
        <w:tabs>
          <w:tab w:leader="none" w:pos="1716"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In connection with the Linkage Process, Marriott shall classify and separately track those Dual Members who are either Marriott Rewards-Sourced SPG Members or SPG-Sourced Marriott Rewards Members.</w:t>
      </w:r>
    </w:p>
    <w:p>
      <w:pPr>
        <w:spacing w:after="0" w:line="160" w:lineRule="exact"/>
        <w:rPr>
          <w:rFonts w:ascii="Arial" w:cs="Arial" w:eastAsia="Arial" w:hAnsi="Arial"/>
          <w:sz w:val="22"/>
          <w:szCs w:val="22"/>
          <w:color w:val="010000"/>
        </w:rPr>
      </w:pPr>
    </w:p>
    <w:p>
      <w:pPr>
        <w:ind w:right="360" w:firstLine="1305"/>
        <w:spacing w:after="0" w:line="251" w:lineRule="auto"/>
        <w:tabs>
          <w:tab w:leader="none" w:pos="1728" w:val="left"/>
        </w:tabs>
        <w:numPr>
          <w:ilvl w:val="0"/>
          <w:numId w:val="48"/>
        </w:numPr>
        <w:rPr>
          <w:rFonts w:ascii="Arial" w:cs="Arial" w:eastAsia="Arial" w:hAnsi="Arial"/>
          <w:sz w:val="22"/>
          <w:szCs w:val="22"/>
          <w:color w:val="010000"/>
        </w:rPr>
      </w:pPr>
      <w:r>
        <w:rPr>
          <w:rFonts w:ascii="Arial" w:cs="Arial" w:eastAsia="Arial" w:hAnsi="Arial"/>
          <w:sz w:val="22"/>
          <w:szCs w:val="22"/>
          <w:color w:val="auto"/>
        </w:rPr>
        <w:t>(i) If a person who is a member of Marriott Rewards but not SPG attempts to use the Linkage Process, such Marriott Rewards member will receive instructions on how to enroll in the SPG program, which may include a link to the SPG website; and (ii) if a person who is a member of SPG but not Marriott Rewards attempts to use the Linkage Process, such SPG member will receive instructions on how to enroll in the Marriott Rewards program, which may include a link to the Marriott Rewards website.</w:t>
      </w:r>
    </w:p>
    <w:p>
      <w:pPr>
        <w:spacing w:after="0" w:line="184" w:lineRule="exact"/>
        <w:rPr>
          <w:sz w:val="20"/>
          <w:szCs w:val="20"/>
          <w:color w:val="auto"/>
        </w:rPr>
      </w:pPr>
    </w:p>
    <w:p>
      <w:pPr>
        <w:ind w:right="80" w:firstLine="648"/>
        <w:spacing w:after="0" w:line="282" w:lineRule="auto"/>
        <w:rPr>
          <w:sz w:val="20"/>
          <w:szCs w:val="20"/>
          <w:color w:val="auto"/>
        </w:rPr>
      </w:pPr>
      <w:r>
        <w:rPr>
          <w:rFonts w:ascii="Arial" w:cs="Arial" w:eastAsia="Arial" w:hAnsi="Arial"/>
          <w:sz w:val="22"/>
          <w:szCs w:val="22"/>
          <w:b w:val="1"/>
          <w:bCs w:val="1"/>
          <w:color w:val="010000"/>
        </w:rPr>
        <w:t xml:space="preserve">Section 3.04 </w:t>
      </w:r>
      <w:r>
        <w:rPr>
          <w:rFonts w:ascii="Arial" w:cs="Arial" w:eastAsia="Arial" w:hAnsi="Arial"/>
          <w:sz w:val="22"/>
          <w:szCs w:val="22"/>
          <w:b w:val="1"/>
          <w:bCs w:val="1"/>
          <w:u w:val="single" w:color="auto"/>
          <w:color w:val="000000"/>
        </w:rPr>
        <w:t>Elite Status</w:t>
      </w:r>
      <w:r>
        <w:rPr>
          <w:rFonts w:ascii="Arial" w:cs="Arial" w:eastAsia="Arial" w:hAnsi="Arial"/>
          <w:sz w:val="22"/>
          <w:szCs w:val="22"/>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10000"/>
        </w:rPr>
        <w:t>(a)</w:t>
      </w:r>
      <w:r>
        <w:rPr>
          <w:rFonts w:ascii="Arial" w:cs="Arial" w:eastAsia="Arial" w:hAnsi="Arial"/>
          <w:sz w:val="22"/>
          <w:szCs w:val="22"/>
          <w:b w:val="1"/>
          <w:bCs w:val="1"/>
          <w:color w:val="010000"/>
        </w:rPr>
        <w:t xml:space="preserve"> </w:t>
      </w:r>
      <w:r>
        <w:rPr>
          <w:rFonts w:ascii="Arial" w:cs="Arial" w:eastAsia="Arial" w:hAnsi="Arial"/>
          <w:sz w:val="22"/>
          <w:szCs w:val="22"/>
          <w:color w:val="000000"/>
        </w:rPr>
        <w:t>Each of the Marriott Rewards and SPG programs may offer to match the Elite Status of any</w:t>
      </w:r>
      <w:r>
        <w:rPr>
          <w:rFonts w:ascii="Arial" w:cs="Arial" w:eastAsia="Arial" w:hAnsi="Arial"/>
          <w:sz w:val="22"/>
          <w:szCs w:val="22"/>
          <w:b w:val="1"/>
          <w:bCs w:val="1"/>
          <w:color w:val="010000"/>
        </w:rPr>
        <w:t xml:space="preserve"> </w:t>
      </w:r>
      <w:r>
        <w:rPr>
          <w:rFonts w:ascii="Arial" w:cs="Arial" w:eastAsia="Arial" w:hAnsi="Arial"/>
          <w:sz w:val="22"/>
          <w:szCs w:val="22"/>
          <w:color w:val="000000"/>
        </w:rPr>
        <w:t>Dual Member who achieves, or has achieved, an Elite Status level in the other program.</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400"/>
          </w:cols>
          <w:pgMar w:left="240" w:top="375" w:right="259" w:bottom="1440" w:gutter="0" w:footer="0" w:header="0"/>
        </w:sectPr>
      </w:pPr>
    </w:p>
    <w:bookmarkStart w:id="78" w:name="page79"/>
    <w:bookmarkEnd w:id="78"/>
    <w:p>
      <w:pPr>
        <w:ind w:right="100" w:firstLine="1305"/>
        <w:spacing w:after="0" w:line="251" w:lineRule="auto"/>
        <w:tabs>
          <w:tab w:leader="none" w:pos="1728" w:val="left"/>
        </w:tabs>
        <w:numPr>
          <w:ilvl w:val="0"/>
          <w:numId w:val="49"/>
        </w:numPr>
        <w:rPr>
          <w:rFonts w:ascii="Arial" w:cs="Arial" w:eastAsia="Arial" w:hAnsi="Arial"/>
          <w:sz w:val="22"/>
          <w:szCs w:val="22"/>
          <w:color w:val="010000"/>
        </w:rPr>
      </w:pPr>
      <w:r>
        <w:rPr>
          <w:rFonts w:ascii="Arial" w:cs="Arial" w:eastAsia="Arial" w:hAnsi="Arial"/>
          <w:sz w:val="22"/>
          <w:szCs w:val="22"/>
          <w:color w:val="auto"/>
        </w:rPr>
        <w:t>Notwithstanding the foregoing, MVW shall have the right to purchase silver, gold and platinum elite Marriott Rewards Elite Status for certain existing and future eligible MVW Owners, and Marriott and MVW have separately agreed on pricing terms for such upgrades at a cost reflecting the actual cost to the Marriott Rewards Program of the historical usage patterns of such status by MVW Owners plus incremental program administrative costs and Marriott Rewards points benefits associated with such Elite Status.</w:t>
      </w:r>
    </w:p>
    <w:p>
      <w:pPr>
        <w:spacing w:after="0" w:line="18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3.05</w:t>
      </w:r>
      <w:r>
        <w:rPr>
          <w:sz w:val="20"/>
          <w:szCs w:val="20"/>
          <w:color w:val="auto"/>
        </w:rPr>
        <w:tab/>
      </w:r>
      <w:r>
        <w:rPr>
          <w:rFonts w:ascii="Arial" w:cs="Arial" w:eastAsia="Arial" w:hAnsi="Arial"/>
          <w:sz w:val="19"/>
          <w:szCs w:val="19"/>
          <w:b w:val="1"/>
          <w:bCs w:val="1"/>
          <w:u w:val="single" w:color="auto"/>
          <w:color w:val="auto"/>
        </w:rPr>
        <w:t>Website Links</w:t>
      </w:r>
      <w:r>
        <w:rPr>
          <w:rFonts w:ascii="Arial" w:cs="Arial" w:eastAsia="Arial" w:hAnsi="Arial"/>
          <w:sz w:val="19"/>
          <w:szCs w:val="19"/>
          <w:color w:val="auto"/>
        </w:rPr>
        <w:t>. Marriott will place (a) a hyperlink to Starwoodhotels.com on the Marriott.com website and</w:t>
      </w:r>
    </w:p>
    <w:p>
      <w:pPr>
        <w:spacing w:after="0" w:line="28" w:lineRule="exact"/>
        <w:rPr>
          <w:sz w:val="20"/>
          <w:szCs w:val="20"/>
          <w:color w:val="auto"/>
        </w:rPr>
      </w:pPr>
    </w:p>
    <w:p>
      <w:pPr>
        <w:ind w:right="200" w:firstLine="8"/>
        <w:spacing w:after="0" w:line="251" w:lineRule="auto"/>
        <w:tabs>
          <w:tab w:leader="none" w:pos="306" w:val="left"/>
        </w:tabs>
        <w:numPr>
          <w:ilvl w:val="0"/>
          <w:numId w:val="50"/>
        </w:numPr>
        <w:rPr>
          <w:rFonts w:ascii="Arial" w:cs="Arial" w:eastAsia="Arial" w:hAnsi="Arial"/>
          <w:sz w:val="22"/>
          <w:szCs w:val="22"/>
          <w:color w:val="auto"/>
        </w:rPr>
      </w:pPr>
      <w:r>
        <w:rPr>
          <w:rFonts w:ascii="Arial" w:cs="Arial" w:eastAsia="Arial" w:hAnsi="Arial"/>
          <w:sz w:val="22"/>
          <w:szCs w:val="22"/>
          <w:color w:val="auto"/>
        </w:rPr>
        <w:t>a hyperlink to Marriott.com on the Starwoodhotels.com website; provided, for the avoidance of doubt, that customers will not be able to search for or reserve Starwood Properties on Marriott.com or search for or reserve Marriott Properties on Starwoodhotels.com.</w:t>
      </w:r>
    </w:p>
    <w:p>
      <w:pPr>
        <w:spacing w:after="0" w:line="182" w:lineRule="exact"/>
        <w:rPr>
          <w:sz w:val="20"/>
          <w:szCs w:val="20"/>
          <w:color w:val="auto"/>
        </w:rPr>
      </w:pPr>
    </w:p>
    <w:p>
      <w:pPr>
        <w:jc w:val="both"/>
        <w:ind w:right="40" w:firstLine="648"/>
        <w:spacing w:after="0" w:line="262" w:lineRule="auto"/>
        <w:rPr>
          <w:sz w:val="20"/>
          <w:szCs w:val="20"/>
          <w:color w:val="auto"/>
        </w:rPr>
      </w:pPr>
      <w:r>
        <w:rPr>
          <w:rFonts w:ascii="Arial" w:cs="Arial" w:eastAsia="Arial" w:hAnsi="Arial"/>
          <w:sz w:val="22"/>
          <w:szCs w:val="22"/>
          <w:b w:val="1"/>
          <w:bCs w:val="1"/>
          <w:color w:val="010000"/>
        </w:rPr>
        <w:t xml:space="preserve">Section 3.06 </w:t>
      </w:r>
      <w:r>
        <w:rPr>
          <w:rFonts w:ascii="Arial" w:cs="Arial" w:eastAsia="Arial" w:hAnsi="Arial"/>
          <w:sz w:val="22"/>
          <w:szCs w:val="22"/>
          <w:b w:val="1"/>
          <w:bCs w:val="1"/>
          <w:u w:val="single" w:color="auto"/>
          <w:color w:val="000000"/>
        </w:rPr>
        <w:t>Joint Marriott Rewards and SPG Marketing</w:t>
      </w:r>
      <w:r>
        <w:rPr>
          <w:rFonts w:ascii="Arial" w:cs="Arial" w:eastAsia="Arial" w:hAnsi="Arial"/>
          <w:sz w:val="22"/>
          <w:szCs w:val="22"/>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10000"/>
        </w:rPr>
        <w:t>(a)</w:t>
      </w:r>
      <w:r>
        <w:rPr>
          <w:rFonts w:ascii="Arial" w:cs="Arial" w:eastAsia="Arial" w:hAnsi="Arial"/>
          <w:sz w:val="22"/>
          <w:szCs w:val="22"/>
          <w:b w:val="1"/>
          <w:bCs w:val="1"/>
          <w:color w:val="010000"/>
        </w:rPr>
        <w:t xml:space="preserve"> </w:t>
      </w:r>
      <w:r>
        <w:rPr>
          <w:rFonts w:ascii="Arial" w:cs="Arial" w:eastAsia="Arial" w:hAnsi="Arial"/>
          <w:sz w:val="22"/>
          <w:szCs w:val="22"/>
          <w:color w:val="000000"/>
        </w:rPr>
        <w:t>Marriott may engage in joint Marriott Rewards and SPG</w:t>
      </w:r>
      <w:r>
        <w:rPr>
          <w:rFonts w:ascii="Arial" w:cs="Arial" w:eastAsia="Arial" w:hAnsi="Arial"/>
          <w:sz w:val="22"/>
          <w:szCs w:val="22"/>
          <w:b w:val="1"/>
          <w:bCs w:val="1"/>
          <w:color w:val="010000"/>
        </w:rPr>
        <w:t xml:space="preserve"> </w:t>
      </w:r>
      <w:r>
        <w:rPr>
          <w:rFonts w:ascii="Arial" w:cs="Arial" w:eastAsia="Arial" w:hAnsi="Arial"/>
          <w:sz w:val="22"/>
          <w:szCs w:val="22"/>
          <w:color w:val="000000"/>
        </w:rPr>
        <w:t>direct marketing solicitations (such as by direct mail or targeted email) to persons who are members of either Marriott Rewards or SPG, but not both, and may solicit such persons to become Dual Members.</w:t>
      </w:r>
    </w:p>
    <w:p>
      <w:pPr>
        <w:spacing w:after="0" w:line="177" w:lineRule="exact"/>
        <w:rPr>
          <w:sz w:val="20"/>
          <w:szCs w:val="20"/>
          <w:color w:val="auto"/>
        </w:rPr>
      </w:pPr>
    </w:p>
    <w:p>
      <w:pPr>
        <w:jc w:val="both"/>
        <w:ind w:right="220" w:firstLine="1305"/>
        <w:spacing w:after="0" w:line="260" w:lineRule="auto"/>
        <w:tabs>
          <w:tab w:leader="none" w:pos="1728"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Marriott may utilize “call to action” general solicitations in advertising and marketing materials as part of its campaign to drive awareness of the Linkage Process, Cross Redemption Policy, and Elite Status, which will include references to the Linkage Process microsite.</w:t>
      </w:r>
    </w:p>
    <w:p>
      <w:pPr>
        <w:spacing w:after="0" w:line="177" w:lineRule="exact"/>
        <w:rPr>
          <w:rFonts w:ascii="Arial" w:cs="Arial" w:eastAsia="Arial" w:hAnsi="Arial"/>
          <w:sz w:val="22"/>
          <w:szCs w:val="22"/>
          <w:color w:val="010000"/>
        </w:rPr>
      </w:pPr>
    </w:p>
    <w:p>
      <w:pPr>
        <w:ind w:right="260" w:firstLine="1305"/>
        <w:spacing w:after="0" w:line="264" w:lineRule="auto"/>
        <w:tabs>
          <w:tab w:leader="none" w:pos="1716" w:val="left"/>
        </w:tabs>
        <w:numPr>
          <w:ilvl w:val="0"/>
          <w:numId w:val="51"/>
        </w:numPr>
        <w:rPr>
          <w:rFonts w:ascii="Arial" w:cs="Arial" w:eastAsia="Arial" w:hAnsi="Arial"/>
          <w:sz w:val="21"/>
          <w:szCs w:val="21"/>
          <w:color w:val="010000"/>
        </w:rPr>
      </w:pPr>
      <w:r>
        <w:rPr>
          <w:rFonts w:ascii="Arial" w:cs="Arial" w:eastAsia="Arial" w:hAnsi="Arial"/>
          <w:sz w:val="21"/>
          <w:szCs w:val="21"/>
          <w:color w:val="auto"/>
        </w:rPr>
        <w:t>Marriott will engage in Marriott Rewards and SPG direct marketing solicitations (such as by direct mail, targeted email, brochures or web-based solicitations) separately, and will not engage in joint SPG and Marriott Rewards direct solicitations, which solicitations are made to persons who are not members of either program. In furtherance of the foregoing, (i) brochures and solicitations for SPG (but not Marriott Rewards) may be made available at Starwood Properties and through other Starwood brand channels, and (ii) brochures and solicitations for Marriott Rewards (but not SPG) may be made available at Marriott Properties and through other Marriott brand channels.</w:t>
      </w:r>
    </w:p>
    <w:p>
      <w:pPr>
        <w:spacing w:after="0" w:line="175" w:lineRule="exact"/>
        <w:rPr>
          <w:rFonts w:ascii="Arial" w:cs="Arial" w:eastAsia="Arial" w:hAnsi="Arial"/>
          <w:sz w:val="21"/>
          <w:szCs w:val="21"/>
          <w:color w:val="010000"/>
        </w:rPr>
      </w:pPr>
    </w:p>
    <w:p>
      <w:pPr>
        <w:ind w:right="60" w:firstLine="1305"/>
        <w:spacing w:after="0" w:line="276" w:lineRule="auto"/>
        <w:tabs>
          <w:tab w:leader="none" w:pos="1728" w:val="left"/>
        </w:tabs>
        <w:numPr>
          <w:ilvl w:val="0"/>
          <w:numId w:val="51"/>
        </w:numPr>
        <w:rPr>
          <w:rFonts w:ascii="Arial" w:cs="Arial" w:eastAsia="Arial" w:hAnsi="Arial"/>
          <w:sz w:val="22"/>
          <w:szCs w:val="22"/>
          <w:color w:val="010000"/>
        </w:rPr>
      </w:pPr>
      <w:r>
        <w:rPr>
          <w:rFonts w:ascii="Arial" w:cs="Arial" w:eastAsia="Arial" w:hAnsi="Arial"/>
          <w:sz w:val="22"/>
          <w:szCs w:val="22"/>
          <w:color w:val="auto"/>
        </w:rPr>
        <w:t>If a person is not a member of either Marriott Rewards or SPG, Marriott may not solicit such person to become a Dual Member until such person becomes a member of either Marriott Rewards or SPG.</w:t>
      </w:r>
    </w:p>
    <w:p>
      <w:pPr>
        <w:spacing w:after="0" w:line="155" w:lineRule="exact"/>
        <w:rPr>
          <w:sz w:val="20"/>
          <w:szCs w:val="20"/>
          <w:color w:val="auto"/>
        </w:rPr>
      </w:pPr>
    </w:p>
    <w:p>
      <w:pPr>
        <w:ind w:firstLine="648"/>
        <w:spacing w:after="0" w:line="262" w:lineRule="auto"/>
        <w:rPr>
          <w:sz w:val="20"/>
          <w:szCs w:val="20"/>
          <w:color w:val="auto"/>
        </w:rPr>
      </w:pPr>
      <w:r>
        <w:rPr>
          <w:rFonts w:ascii="Arial" w:cs="Arial" w:eastAsia="Arial" w:hAnsi="Arial"/>
          <w:sz w:val="21"/>
          <w:szCs w:val="21"/>
          <w:b w:val="1"/>
          <w:bCs w:val="1"/>
          <w:color w:val="010000"/>
        </w:rPr>
        <w:t xml:space="preserve">Section 3.07 </w:t>
      </w:r>
      <w:r>
        <w:rPr>
          <w:rFonts w:ascii="Arial" w:cs="Arial" w:eastAsia="Arial" w:hAnsi="Arial"/>
          <w:sz w:val="21"/>
          <w:szCs w:val="21"/>
          <w:b w:val="1"/>
          <w:bCs w:val="1"/>
          <w:u w:val="single" w:color="auto"/>
          <w:color w:val="000000"/>
        </w:rPr>
        <w:t>Use of Logos</w:t>
      </w:r>
      <w:r>
        <w:rPr>
          <w:rFonts w:ascii="Arial" w:cs="Arial" w:eastAsia="Arial" w:hAnsi="Arial"/>
          <w:sz w:val="21"/>
          <w:szCs w:val="21"/>
          <w:color w:val="000000"/>
        </w:rPr>
        <w:t>.</w:t>
      </w:r>
      <w:r>
        <w:rPr>
          <w:rFonts w:ascii="Arial" w:cs="Arial" w:eastAsia="Arial" w:hAnsi="Arial"/>
          <w:sz w:val="21"/>
          <w:szCs w:val="21"/>
          <w:b w:val="1"/>
          <w:bCs w:val="1"/>
          <w:color w:val="010000"/>
        </w:rPr>
        <w:t xml:space="preserve"> </w:t>
      </w:r>
      <w:r>
        <w:rPr>
          <w:rFonts w:ascii="Arial" w:cs="Arial" w:eastAsia="Arial" w:hAnsi="Arial"/>
          <w:sz w:val="21"/>
          <w:szCs w:val="21"/>
          <w:color w:val="010000"/>
        </w:rPr>
        <w:t>(a)</w:t>
      </w:r>
      <w:r>
        <w:rPr>
          <w:rFonts w:ascii="Arial" w:cs="Arial" w:eastAsia="Arial" w:hAnsi="Arial"/>
          <w:sz w:val="21"/>
          <w:szCs w:val="21"/>
          <w:b w:val="1"/>
          <w:bCs w:val="1"/>
          <w:color w:val="010000"/>
        </w:rPr>
        <w:t xml:space="preserve"> </w:t>
      </w:r>
      <w:r>
        <w:rPr>
          <w:rFonts w:ascii="Arial" w:cs="Arial" w:eastAsia="Arial" w:hAnsi="Arial"/>
          <w:sz w:val="21"/>
          <w:szCs w:val="21"/>
          <w:color w:val="000000"/>
        </w:rPr>
        <w:t>Notwithstanding the foregoing, the Marriott Rewards, Ritz-Carlton Rewards and SPG</w:t>
      </w:r>
      <w:r>
        <w:rPr>
          <w:rFonts w:ascii="Arial" w:cs="Arial" w:eastAsia="Arial" w:hAnsi="Arial"/>
          <w:sz w:val="21"/>
          <w:szCs w:val="21"/>
          <w:b w:val="1"/>
          <w:bCs w:val="1"/>
          <w:color w:val="010000"/>
        </w:rPr>
        <w:t xml:space="preserve"> </w:t>
      </w:r>
      <w:r>
        <w:rPr>
          <w:rFonts w:ascii="Arial" w:cs="Arial" w:eastAsia="Arial" w:hAnsi="Arial"/>
          <w:sz w:val="21"/>
          <w:szCs w:val="21"/>
          <w:color w:val="000000"/>
        </w:rPr>
        <w:t xml:space="preserve">logos may be used together in promotional and sales and marketing materials and other channels, which will include joint advertising and promotions of Marriott Rewards, Ritz-Carlton Rewards and SPG provided that either (i) all such logos will be used together without reference to any participating hotel and vacation ownership brands or (ii) all such logos will be used together with reference to all (but not less than all) participating hotel and vacation ownership brands or with reference to subcategories of brands as shown on </w:t>
      </w:r>
      <w:r>
        <w:rPr>
          <w:rFonts w:ascii="Arial" w:cs="Arial" w:eastAsia="Arial" w:hAnsi="Arial"/>
          <w:sz w:val="21"/>
          <w:szCs w:val="21"/>
          <w:u w:val="single" w:color="auto"/>
          <w:color w:val="000000"/>
        </w:rPr>
        <w:t>Exhibit B</w:t>
      </w:r>
      <w:r>
        <w:rPr>
          <w:rFonts w:ascii="Arial" w:cs="Arial" w:eastAsia="Arial" w:hAnsi="Arial"/>
          <w:sz w:val="21"/>
          <w:szCs w:val="21"/>
          <w:color w:val="000000"/>
        </w:rPr>
        <w:t xml:space="preserve"> attached hereto (and if a subcategory of brands is referred to, all brands in that subcategory must also be referenced), with the hotel and vacation ownership brands being depicted in the same manner in which they were depicted on the footer of the lead page of the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400"/>
          </w:cols>
          <w:pgMar w:left="240" w:top="1063" w:right="259" w:bottom="1440" w:gutter="0" w:footer="0" w:header="0"/>
        </w:sectPr>
      </w:pPr>
    </w:p>
    <w:bookmarkStart w:id="79" w:name="page80"/>
    <w:bookmarkEnd w:id="79"/>
    <w:p>
      <w:pPr>
        <w:ind w:right="340"/>
        <w:spacing w:after="0" w:line="263" w:lineRule="auto"/>
        <w:rPr>
          <w:sz w:val="20"/>
          <w:szCs w:val="20"/>
          <w:color w:val="auto"/>
        </w:rPr>
      </w:pPr>
      <w:r>
        <w:rPr>
          <w:rFonts w:ascii="Arial" w:cs="Arial" w:eastAsia="Arial" w:hAnsi="Arial"/>
          <w:sz w:val="22"/>
          <w:szCs w:val="22"/>
          <w:color w:val="auto"/>
        </w:rPr>
        <w:t xml:space="preserve">marriott.com and starwoodhotels.com websites on June 20, 2016 as shown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but not necessarily the same layout or order.</w:t>
      </w:r>
    </w:p>
    <w:p>
      <w:pPr>
        <w:spacing w:after="0" w:line="175" w:lineRule="exact"/>
        <w:rPr>
          <w:sz w:val="20"/>
          <w:szCs w:val="20"/>
          <w:color w:val="auto"/>
        </w:rPr>
      </w:pPr>
    </w:p>
    <w:p>
      <w:pPr>
        <w:jc w:val="both"/>
        <w:ind w:right="100" w:firstLine="1305"/>
        <w:spacing w:after="0" w:line="293" w:lineRule="auto"/>
        <w:tabs>
          <w:tab w:leader="none" w:pos="1728" w:val="left"/>
        </w:tabs>
        <w:numPr>
          <w:ilvl w:val="1"/>
          <w:numId w:val="52"/>
        </w:numPr>
        <w:rPr>
          <w:rFonts w:ascii="Arial" w:cs="Arial" w:eastAsia="Arial" w:hAnsi="Arial"/>
          <w:sz w:val="19"/>
          <w:szCs w:val="19"/>
          <w:color w:val="010000"/>
        </w:rPr>
      </w:pPr>
      <w:r>
        <w:rPr>
          <w:rFonts w:ascii="Arial" w:cs="Arial" w:eastAsia="Arial" w:hAnsi="Arial"/>
          <w:sz w:val="19"/>
          <w:szCs w:val="19"/>
          <w:color w:val="auto"/>
        </w:rPr>
        <w:t xml:space="preserve">For so long as the Marriott Rewards and SPG programs are run separately, (i) the Marriott vacation ownership brands will be depicted together with the Marriott hotel brands in the same manner, but not necessarily in the same layout or order, as they were depicted on the footer of the lead page of marriott.com on June 20, 2016 as shown on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attached hereto and</w:t>
      </w:r>
    </w:p>
    <w:p>
      <w:pPr>
        <w:spacing w:after="0" w:line="1" w:lineRule="exact"/>
        <w:rPr>
          <w:rFonts w:ascii="Arial" w:cs="Arial" w:eastAsia="Arial" w:hAnsi="Arial"/>
          <w:sz w:val="19"/>
          <w:szCs w:val="19"/>
          <w:color w:val="010000"/>
        </w:rPr>
      </w:pPr>
    </w:p>
    <w:p>
      <w:pPr>
        <w:ind w:right="340" w:firstLine="8"/>
        <w:spacing w:after="0" w:line="244" w:lineRule="auto"/>
        <w:tabs>
          <w:tab w:leader="none" w:pos="318"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the Vistana vacation ownership brands will be depicted together with the Starwood hotel brands in the same manner, but not necessarily in the same layout or order, as they were depicted on the footer of the lead page of starwoodhotels.com on June 20, 2016 as shown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attached hereto, including in any joint Marriott Rewards and SPG advertising, promotion, sales, marketing and similar materials, collateral and media.</w:t>
      </w:r>
    </w:p>
    <w:p>
      <w:pPr>
        <w:spacing w:after="0" w:line="190"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010000"/>
        </w:rPr>
        <w:t xml:space="preserve">Section 3.08 </w:t>
      </w:r>
      <w:r>
        <w:rPr>
          <w:rFonts w:ascii="Arial" w:cs="Arial" w:eastAsia="Arial" w:hAnsi="Arial"/>
          <w:sz w:val="22"/>
          <w:szCs w:val="22"/>
          <w:b w:val="1"/>
          <w:bCs w:val="1"/>
          <w:u w:val="single" w:color="auto"/>
          <w:color w:val="000000"/>
        </w:rPr>
        <w:t>Call Transfers</w:t>
      </w:r>
      <w:r>
        <w:rPr>
          <w:rFonts w:ascii="Arial" w:cs="Arial" w:eastAsia="Arial" w:hAnsi="Arial"/>
          <w:sz w:val="22"/>
          <w:szCs w:val="22"/>
          <w:color w:val="000000"/>
        </w:rPr>
        <w:t>.</w:t>
      </w:r>
      <w:r>
        <w:rPr>
          <w:rFonts w:ascii="Arial" w:cs="Arial" w:eastAsia="Arial" w:hAnsi="Arial"/>
          <w:sz w:val="22"/>
          <w:szCs w:val="22"/>
          <w:b w:val="1"/>
          <w:bCs w:val="1"/>
          <w:color w:val="010000"/>
        </w:rPr>
        <w:t xml:space="preserve"> </w:t>
      </w:r>
      <w:r>
        <w:rPr>
          <w:rFonts w:ascii="Arial" w:cs="Arial" w:eastAsia="Arial" w:hAnsi="Arial"/>
          <w:sz w:val="22"/>
          <w:szCs w:val="22"/>
          <w:color w:val="010000"/>
        </w:rPr>
        <w:t>(a)</w:t>
      </w:r>
      <w:r>
        <w:rPr>
          <w:rFonts w:ascii="Arial" w:cs="Arial" w:eastAsia="Arial" w:hAnsi="Arial"/>
          <w:sz w:val="22"/>
          <w:szCs w:val="22"/>
          <w:b w:val="1"/>
          <w:bCs w:val="1"/>
          <w:color w:val="010000"/>
        </w:rPr>
        <w:t xml:space="preserve"> </w:t>
      </w:r>
      <w:r>
        <w:rPr>
          <w:rFonts w:ascii="Arial" w:cs="Arial" w:eastAsia="Arial" w:hAnsi="Arial"/>
          <w:sz w:val="22"/>
          <w:szCs w:val="22"/>
          <w:color w:val="000000"/>
        </w:rPr>
        <w:t>The sales or customer service representatives at Marriott’s reservations call centers that</w:t>
      </w:r>
      <w:r>
        <w:rPr>
          <w:rFonts w:ascii="Arial" w:cs="Arial" w:eastAsia="Arial" w:hAnsi="Arial"/>
          <w:sz w:val="22"/>
          <w:szCs w:val="22"/>
          <w:b w:val="1"/>
          <w:bCs w:val="1"/>
          <w:color w:val="010000"/>
        </w:rPr>
        <w:t xml:space="preserve"> </w:t>
      </w:r>
      <w:r>
        <w:rPr>
          <w:rFonts w:ascii="Arial" w:cs="Arial" w:eastAsia="Arial" w:hAnsi="Arial"/>
          <w:sz w:val="22"/>
          <w:szCs w:val="22"/>
          <w:color w:val="000000"/>
        </w:rPr>
        <w:t>sell or make reservations for Marriott Properties will not be permitted to sell or make reservations for Starwood Properties; provided however, such call center representatives may offer to transfer a potential customer to Starwood’s reservation call center if such potential customer chooses not to reserve at a Marriott Property.</w:t>
      </w:r>
    </w:p>
    <w:p>
      <w:pPr>
        <w:spacing w:after="0" w:line="183" w:lineRule="exact"/>
        <w:rPr>
          <w:sz w:val="20"/>
          <w:szCs w:val="20"/>
          <w:color w:val="auto"/>
        </w:rPr>
      </w:pPr>
    </w:p>
    <w:p>
      <w:pPr>
        <w:ind w:right="200" w:firstLine="1305"/>
        <w:spacing w:after="0" w:line="254" w:lineRule="auto"/>
        <w:tabs>
          <w:tab w:leader="none" w:pos="1728" w:val="left"/>
        </w:tabs>
        <w:numPr>
          <w:ilvl w:val="0"/>
          <w:numId w:val="54"/>
        </w:numPr>
        <w:rPr>
          <w:rFonts w:ascii="Arial" w:cs="Arial" w:eastAsia="Arial" w:hAnsi="Arial"/>
          <w:sz w:val="22"/>
          <w:szCs w:val="22"/>
          <w:color w:val="010000"/>
        </w:rPr>
      </w:pPr>
      <w:r>
        <w:rPr>
          <w:rFonts w:ascii="Arial" w:cs="Arial" w:eastAsia="Arial" w:hAnsi="Arial"/>
          <w:sz w:val="22"/>
          <w:szCs w:val="22"/>
          <w:color w:val="auto"/>
        </w:rPr>
        <w:t>The sales or customer service representatives at Starwood’s reservations call centers that sell or make reservations for Starwood Properties will not be permitted to sell or make reservations for Marriott Properties; provided however, such call center representatives may offer to transfer a potential customer to Marriott’s reservation call center if such potential customer chooses not to reserve at a Starwood Property.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IV.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MARKETING RIGHTS</w:t>
      </w:r>
    </w:p>
    <w:p>
      <w:pPr>
        <w:spacing w:after="0" w:line="196" w:lineRule="exact"/>
        <w:rPr>
          <w:sz w:val="20"/>
          <w:szCs w:val="20"/>
          <w:color w:val="auto"/>
        </w:rPr>
      </w:pPr>
    </w:p>
    <w:p>
      <w:pPr>
        <w:ind w:right="160" w:firstLine="648"/>
        <w:spacing w:after="0" w:line="256" w:lineRule="auto"/>
        <w:rPr>
          <w:sz w:val="20"/>
          <w:szCs w:val="20"/>
          <w:color w:val="auto"/>
        </w:rPr>
      </w:pPr>
      <w:r>
        <w:rPr>
          <w:rFonts w:ascii="Arial" w:cs="Arial" w:eastAsia="Arial" w:hAnsi="Arial"/>
          <w:sz w:val="22"/>
          <w:szCs w:val="22"/>
          <w:b w:val="1"/>
          <w:bCs w:val="1"/>
          <w:color w:val="010000"/>
        </w:rPr>
        <w:t xml:space="preserve">Section 4.01 </w:t>
      </w:r>
      <w:r>
        <w:rPr>
          <w:rFonts w:ascii="Arial" w:cs="Arial" w:eastAsia="Arial" w:hAnsi="Arial"/>
          <w:sz w:val="22"/>
          <w:szCs w:val="22"/>
          <w:b w:val="1"/>
          <w:bCs w:val="1"/>
          <w:u w:val="single" w:color="auto"/>
          <w:color w:val="000000"/>
        </w:rPr>
        <w:t>Marketing to Marriott Rewards Members</w:t>
      </w:r>
      <w:r>
        <w:rPr>
          <w:rFonts w:ascii="Arial" w:cs="Arial" w:eastAsia="Arial" w:hAnsi="Arial"/>
          <w:sz w:val="22"/>
          <w:szCs w:val="22"/>
          <w:color w:val="000000"/>
        </w:rPr>
        <w:t>. Subject to the terms and conditions of the MVW License</w:t>
      </w:r>
      <w:r>
        <w:rPr>
          <w:rFonts w:ascii="Arial" w:cs="Arial" w:eastAsia="Arial" w:hAnsi="Arial"/>
          <w:sz w:val="22"/>
          <w:szCs w:val="22"/>
          <w:b w:val="1"/>
          <w:bCs w:val="1"/>
          <w:color w:val="010000"/>
        </w:rPr>
        <w:t xml:space="preserve"> </w:t>
      </w:r>
      <w:r>
        <w:rPr>
          <w:rFonts w:ascii="Arial" w:cs="Arial" w:eastAsia="Arial" w:hAnsi="Arial"/>
          <w:sz w:val="22"/>
          <w:szCs w:val="22"/>
          <w:color w:val="000000"/>
        </w:rPr>
        <w:t>Agreement, the Marriott Rewards Agreement, the Noncompetition Agreement and other Marriott-MVW Agreements, MVW may market its Licensed Business to all current and future Marriott Rewards members except for SPG-Sourced Marriott Rewards Members.</w:t>
      </w:r>
    </w:p>
    <w:p>
      <w:pPr>
        <w:spacing w:after="0" w:line="177"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b w:val="1"/>
          <w:bCs w:val="1"/>
          <w:color w:val="010000"/>
        </w:rPr>
        <w:t xml:space="preserve">Section 4.02 </w:t>
      </w:r>
      <w:r>
        <w:rPr>
          <w:rFonts w:ascii="Arial" w:cs="Arial" w:eastAsia="Arial" w:hAnsi="Arial"/>
          <w:sz w:val="22"/>
          <w:szCs w:val="22"/>
          <w:b w:val="1"/>
          <w:bCs w:val="1"/>
          <w:u w:val="single" w:color="auto"/>
          <w:color w:val="000000"/>
        </w:rPr>
        <w:t>Marketing to SPG Members</w:t>
      </w:r>
      <w:r>
        <w:rPr>
          <w:rFonts w:ascii="Arial" w:cs="Arial" w:eastAsia="Arial" w:hAnsi="Arial"/>
          <w:sz w:val="22"/>
          <w:szCs w:val="22"/>
          <w:color w:val="000000"/>
        </w:rPr>
        <w:t>. Subject to the terms and conditions of the Vistana License Agreement and the</w:t>
      </w:r>
      <w:r>
        <w:rPr>
          <w:rFonts w:ascii="Arial" w:cs="Arial" w:eastAsia="Arial" w:hAnsi="Arial"/>
          <w:sz w:val="22"/>
          <w:szCs w:val="22"/>
          <w:b w:val="1"/>
          <w:bCs w:val="1"/>
          <w:color w:val="010000"/>
        </w:rPr>
        <w:t xml:space="preserve"> </w:t>
      </w:r>
      <w:r>
        <w:rPr>
          <w:rFonts w:ascii="Arial" w:cs="Arial" w:eastAsia="Arial" w:hAnsi="Arial"/>
          <w:sz w:val="22"/>
          <w:szCs w:val="22"/>
          <w:color w:val="000000"/>
        </w:rPr>
        <w:t>other agreements between Starwood, Vistana and ILG, MVW acknowledges and agrees that Vistana may market its Licensed Business (as that term is used in the Vistana License Agreement) to all current and future SPG members except for Marriott Rewards-Sourced SPG Members.</w:t>
      </w:r>
    </w:p>
    <w:p>
      <w:pPr>
        <w:spacing w:after="0" w:line="17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4.03</w:t>
      </w:r>
      <w:r>
        <w:rPr>
          <w:sz w:val="20"/>
          <w:szCs w:val="20"/>
          <w:color w:val="auto"/>
        </w:rPr>
        <w:tab/>
      </w:r>
      <w:r>
        <w:rPr>
          <w:rFonts w:ascii="Arial" w:cs="Arial" w:eastAsia="Arial" w:hAnsi="Arial"/>
          <w:sz w:val="19"/>
          <w:szCs w:val="19"/>
          <w:b w:val="1"/>
          <w:bCs w:val="1"/>
          <w:u w:val="single" w:color="auto"/>
          <w:color w:val="auto"/>
        </w:rPr>
        <w:t>Marketing at Starwood Properties</w:t>
      </w:r>
      <w:r>
        <w:rPr>
          <w:rFonts w:ascii="Arial" w:cs="Arial" w:eastAsia="Arial" w:hAnsi="Arial"/>
          <w:sz w:val="19"/>
          <w:szCs w:val="19"/>
          <w:color w:val="auto"/>
        </w:rPr>
        <w:t>.</w:t>
      </w:r>
    </w:p>
    <w:p>
      <w:pPr>
        <w:spacing w:after="0" w:line="280" w:lineRule="exact"/>
        <w:rPr>
          <w:sz w:val="20"/>
          <w:szCs w:val="20"/>
          <w:color w:val="auto"/>
        </w:rPr>
      </w:pPr>
    </w:p>
    <w:p>
      <w:pPr>
        <w:ind w:right="100" w:firstLine="1305"/>
        <w:spacing w:after="0" w:line="250" w:lineRule="auto"/>
        <w:tabs>
          <w:tab w:leader="none" w:pos="1590" w:val="left"/>
        </w:tabs>
        <w:numPr>
          <w:ilvl w:val="0"/>
          <w:numId w:val="55"/>
        </w:numPr>
        <w:rPr>
          <w:rFonts w:ascii="Arial" w:cs="Arial" w:eastAsia="Arial" w:hAnsi="Arial"/>
          <w:sz w:val="22"/>
          <w:szCs w:val="22"/>
          <w:color w:val="010000"/>
        </w:rPr>
      </w:pPr>
      <w:r>
        <w:rPr>
          <w:rFonts w:ascii="Arial" w:cs="Arial" w:eastAsia="Arial" w:hAnsi="Arial"/>
          <w:sz w:val="22"/>
          <w:szCs w:val="22"/>
          <w:color w:val="auto"/>
        </w:rPr>
        <w:t>Subject to the limitations described in Section 4.03(b)(i) and (ii), Marriott will consider in good faith MVW’s requests from time to time to enter into arrangements for access to Starwood Properties for purposes of marketing MVW’s Licensed Destination Club Products; provided that any such arrangements will comply with the applicable provisions in the MVW License Agreement applicable to similar arrangements at Marriott Properties.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400"/>
          </w:cols>
          <w:pgMar w:left="240" w:top="847" w:right="259" w:bottom="1440" w:gutter="0" w:footer="0" w:header="0"/>
        </w:sectPr>
      </w:pPr>
    </w:p>
    <w:bookmarkStart w:id="80" w:name="page81"/>
    <w:bookmarkEnd w:id="80"/>
    <w:p>
      <w:pPr>
        <w:ind w:firstLine="1305"/>
        <w:spacing w:after="0" w:line="358" w:lineRule="auto"/>
        <w:tabs>
          <w:tab w:leader="none" w:pos="1728" w:val="left"/>
        </w:tabs>
        <w:numPr>
          <w:ilvl w:val="0"/>
          <w:numId w:val="56"/>
        </w:numPr>
        <w:rPr>
          <w:rFonts w:ascii="Arial" w:cs="Arial" w:eastAsia="Arial" w:hAnsi="Arial"/>
          <w:sz w:val="19"/>
          <w:szCs w:val="19"/>
          <w:color w:val="010000"/>
        </w:rPr>
      </w:pPr>
      <w:r>
        <w:rPr>
          <w:rFonts w:ascii="Arial" w:cs="Arial" w:eastAsia="Arial" w:hAnsi="Arial"/>
          <w:sz w:val="19"/>
          <w:szCs w:val="19"/>
          <w:color w:val="auto"/>
        </w:rPr>
        <w:t>In furtherance of the foregoing, Marriott will not enter into any arrangement with Vistana or ILG that would preclude MVW from accessing Starwood Properties for purposes of marketing MVW’s Licensed Destination Club Products except:</w:t>
      </w:r>
    </w:p>
    <w:p>
      <w:pPr>
        <w:spacing w:after="0" w:line="90" w:lineRule="exact"/>
        <w:rPr>
          <w:rFonts w:ascii="Arial" w:cs="Arial" w:eastAsia="Arial" w:hAnsi="Arial"/>
          <w:sz w:val="19"/>
          <w:szCs w:val="19"/>
          <w:color w:val="010000"/>
        </w:rPr>
      </w:pPr>
    </w:p>
    <w:p>
      <w:pPr>
        <w:ind w:right="160" w:firstLine="1953"/>
        <w:spacing w:after="0" w:line="297" w:lineRule="auto"/>
        <w:tabs>
          <w:tab w:leader="none" w:pos="2383" w:val="left"/>
        </w:tabs>
        <w:numPr>
          <w:ilvl w:val="1"/>
          <w:numId w:val="56"/>
        </w:numPr>
        <w:rPr>
          <w:rFonts w:ascii="Arial" w:cs="Arial" w:eastAsia="Arial" w:hAnsi="Arial"/>
          <w:sz w:val="19"/>
          <w:szCs w:val="19"/>
          <w:color w:val="010000"/>
        </w:rPr>
      </w:pPr>
      <w:r>
        <w:rPr>
          <w:rFonts w:ascii="Arial" w:cs="Arial" w:eastAsia="Arial" w:hAnsi="Arial"/>
          <w:sz w:val="19"/>
          <w:szCs w:val="19"/>
          <w:color w:val="auto"/>
        </w:rPr>
        <w:t>unless Vistana otherwise consents, in specific markets in which Vistana operates vacation ownership properties pursuant to the Vistana License Agreement, provided that if MVW enters into a marketing arrangement in a Starwood Property in a market in which Vistana has no vacation ownership properties under the Vistana License Agreement at the time the marketing arrangement is put in place, but Vistana subsequently opens, or has signed definitive agreements to develop, such a vacation ownership property in such market, then MVW will allow the then-current term of such marketing arrangement to expire and not enter into any other such marketing arrangement in a Starwood Property in such market; or</w:t>
      </w:r>
    </w:p>
    <w:p>
      <w:pPr>
        <w:spacing w:after="0" w:line="146" w:lineRule="exact"/>
        <w:rPr>
          <w:rFonts w:ascii="Arial" w:cs="Arial" w:eastAsia="Arial" w:hAnsi="Arial"/>
          <w:sz w:val="19"/>
          <w:szCs w:val="19"/>
          <w:color w:val="010000"/>
        </w:rPr>
      </w:pPr>
    </w:p>
    <w:p>
      <w:pPr>
        <w:ind w:right="840" w:firstLine="1953"/>
        <w:spacing w:after="0" w:line="276" w:lineRule="auto"/>
        <w:tabs>
          <w:tab w:leader="none" w:pos="2389" w:val="left"/>
        </w:tabs>
        <w:numPr>
          <w:ilvl w:val="1"/>
          <w:numId w:val="56"/>
        </w:numPr>
        <w:rPr>
          <w:rFonts w:ascii="Arial" w:cs="Arial" w:eastAsia="Arial" w:hAnsi="Arial"/>
          <w:sz w:val="22"/>
          <w:szCs w:val="22"/>
          <w:color w:val="010000"/>
        </w:rPr>
      </w:pPr>
      <w:r>
        <w:rPr>
          <w:rFonts w:ascii="Arial" w:cs="Arial" w:eastAsia="Arial" w:hAnsi="Arial"/>
          <w:sz w:val="22"/>
          <w:szCs w:val="22"/>
          <w:color w:val="auto"/>
        </w:rPr>
        <w:t>for such restrictions that existed in any agreement as of June 20, 2016 between Starwood or its Affiliates, ILG and/or Vistana or any of their respective Affiliates.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010000"/>
        </w:rPr>
        <w:t>ARTICLE V.</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FULL FORCE AND EFFECT /GENERAL PROVISIONS</w:t>
      </w:r>
    </w:p>
    <w:p>
      <w:pPr>
        <w:spacing w:after="0" w:line="196" w:lineRule="exact"/>
        <w:rPr>
          <w:sz w:val="20"/>
          <w:szCs w:val="20"/>
          <w:color w:val="auto"/>
        </w:rPr>
      </w:pPr>
    </w:p>
    <w:p>
      <w:pPr>
        <w:ind w:right="160" w:firstLine="648"/>
        <w:spacing w:after="0" w:line="282" w:lineRule="auto"/>
        <w:rPr>
          <w:sz w:val="20"/>
          <w:szCs w:val="20"/>
          <w:color w:val="auto"/>
        </w:rPr>
      </w:pPr>
      <w:r>
        <w:rPr>
          <w:rFonts w:ascii="Arial" w:cs="Arial" w:eastAsia="Arial" w:hAnsi="Arial"/>
          <w:sz w:val="22"/>
          <w:szCs w:val="22"/>
          <w:b w:val="1"/>
          <w:bCs w:val="1"/>
          <w:color w:val="010000"/>
        </w:rPr>
        <w:t xml:space="preserve">Section 5.01 </w:t>
      </w:r>
      <w:r>
        <w:rPr>
          <w:rFonts w:ascii="Arial" w:cs="Arial" w:eastAsia="Arial" w:hAnsi="Arial"/>
          <w:sz w:val="22"/>
          <w:szCs w:val="22"/>
          <w:b w:val="1"/>
          <w:bCs w:val="1"/>
          <w:u w:val="single" w:color="auto"/>
          <w:color w:val="000000"/>
        </w:rPr>
        <w:t>Effectiveness of this Agreement</w:t>
      </w:r>
      <w:r>
        <w:rPr>
          <w:rFonts w:ascii="Arial" w:cs="Arial" w:eastAsia="Arial" w:hAnsi="Arial"/>
          <w:sz w:val="22"/>
          <w:szCs w:val="22"/>
          <w:color w:val="000000"/>
        </w:rPr>
        <w:t>. This Agreement shall become effective upon the closing of the Starwood</w:t>
      </w:r>
      <w:r>
        <w:rPr>
          <w:rFonts w:ascii="Arial" w:cs="Arial" w:eastAsia="Arial" w:hAnsi="Arial"/>
          <w:sz w:val="22"/>
          <w:szCs w:val="22"/>
          <w:b w:val="1"/>
          <w:bCs w:val="1"/>
          <w:color w:val="010000"/>
        </w:rPr>
        <w:t xml:space="preserve"> </w:t>
      </w:r>
      <w:r>
        <w:rPr>
          <w:rFonts w:ascii="Arial" w:cs="Arial" w:eastAsia="Arial" w:hAnsi="Arial"/>
          <w:sz w:val="22"/>
          <w:szCs w:val="22"/>
          <w:color w:val="000000"/>
        </w:rPr>
        <w:t>Combination with no further action required by the parties hereto.</w:t>
      </w:r>
    </w:p>
    <w:p>
      <w:pPr>
        <w:spacing w:after="0" w:line="148" w:lineRule="exact"/>
        <w:rPr>
          <w:sz w:val="20"/>
          <w:szCs w:val="20"/>
          <w:color w:val="auto"/>
        </w:rPr>
      </w:pPr>
    </w:p>
    <w:p>
      <w:pPr>
        <w:ind w:right="20" w:firstLine="648"/>
        <w:spacing w:after="0" w:line="251" w:lineRule="auto"/>
        <w:rPr>
          <w:sz w:val="20"/>
          <w:szCs w:val="20"/>
          <w:color w:val="auto"/>
        </w:rPr>
      </w:pPr>
      <w:r>
        <w:rPr>
          <w:rFonts w:ascii="Arial" w:cs="Arial" w:eastAsia="Arial" w:hAnsi="Arial"/>
          <w:sz w:val="22"/>
          <w:szCs w:val="22"/>
          <w:b w:val="1"/>
          <w:bCs w:val="1"/>
          <w:color w:val="010000"/>
        </w:rPr>
        <w:t xml:space="preserve">Section 5.02 </w:t>
      </w:r>
      <w:r>
        <w:rPr>
          <w:rFonts w:ascii="Arial" w:cs="Arial" w:eastAsia="Arial" w:hAnsi="Arial"/>
          <w:sz w:val="22"/>
          <w:szCs w:val="22"/>
          <w:b w:val="1"/>
          <w:bCs w:val="1"/>
          <w:u w:val="single" w:color="auto"/>
          <w:color w:val="000000"/>
        </w:rPr>
        <w:t>Full Force and Effect</w:t>
      </w:r>
      <w:r>
        <w:rPr>
          <w:rFonts w:ascii="Arial" w:cs="Arial" w:eastAsia="Arial" w:hAnsi="Arial"/>
          <w:sz w:val="22"/>
          <w:szCs w:val="22"/>
          <w:color w:val="000000"/>
        </w:rPr>
        <w:t>. Except to the extent specifically amended, modified or supplemented by this</w:t>
      </w:r>
      <w:r>
        <w:rPr>
          <w:rFonts w:ascii="Arial" w:cs="Arial" w:eastAsia="Arial" w:hAnsi="Arial"/>
          <w:sz w:val="22"/>
          <w:szCs w:val="22"/>
          <w:b w:val="1"/>
          <w:bCs w:val="1"/>
          <w:color w:val="010000"/>
        </w:rPr>
        <w:t xml:space="preserve"> </w:t>
      </w:r>
      <w:r>
        <w:rPr>
          <w:rFonts w:ascii="Arial" w:cs="Arial" w:eastAsia="Arial" w:hAnsi="Arial"/>
          <w:sz w:val="22"/>
          <w:szCs w:val="22"/>
          <w:color w:val="000000"/>
        </w:rPr>
        <w:t>Agreement, each of the Marriott-MVW Agreements remains unchanged and in full force and effect, and for the avoidance of doubt, this Agreement will be considered to be supplemental to the Marriott-MVW Agreements. From and after the effectiveness of this Agreement pursuant to Section 5.01, each reference in any of the Marriott-MVW Agreements to “this Agreement,” “hereof”, “hereunder” or words of similar import, will be deemed to mean the applicable Marriott-MVW Agreement, as so amended, modified or supplemented by this Agreement.</w:t>
      </w:r>
    </w:p>
    <w:p>
      <w:pPr>
        <w:spacing w:after="0" w:line="18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010000"/>
        </w:rPr>
        <w:t>Section 5.03</w:t>
      </w:r>
      <w:r>
        <w:rPr>
          <w:sz w:val="20"/>
          <w:szCs w:val="20"/>
          <w:color w:val="auto"/>
        </w:rPr>
        <w:tab/>
      </w:r>
      <w:r>
        <w:rPr>
          <w:rFonts w:ascii="Arial" w:cs="Arial" w:eastAsia="Arial" w:hAnsi="Arial"/>
          <w:sz w:val="19"/>
          <w:szCs w:val="19"/>
          <w:b w:val="1"/>
          <w:bCs w:val="1"/>
          <w:u w:val="single" w:color="auto"/>
          <w:color w:val="auto"/>
        </w:rPr>
        <w:t>General Provisions</w:t>
      </w:r>
      <w:r>
        <w:rPr>
          <w:rFonts w:ascii="Arial" w:cs="Arial" w:eastAsia="Arial" w:hAnsi="Arial"/>
          <w:sz w:val="19"/>
          <w:szCs w:val="19"/>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Sections 22.1</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Governing Law; Venue</w:t>
      </w:r>
      <w:r>
        <w:rPr>
          <w:rFonts w:ascii="Arial" w:cs="Arial" w:eastAsia="Arial" w:hAnsi="Arial"/>
          <w:sz w:val="19"/>
          <w:szCs w:val="19"/>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22.2</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Injunctive Relief</w:t>
      </w:r>
      <w:r>
        <w:rPr>
          <w:rFonts w:ascii="Arial" w:cs="Arial" w:eastAsia="Arial" w:hAnsi="Arial"/>
          <w:sz w:val="19"/>
          <w:szCs w:val="19"/>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u w:val="single" w:color="auto"/>
          <w:color w:val="auto"/>
        </w:rPr>
        <w:t>22.3</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Costs of</w:t>
      </w:r>
    </w:p>
    <w:p>
      <w:pPr>
        <w:spacing w:after="0" w:line="28"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Enforcement</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22.4</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Arbitration</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22.5</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Expert Resolution</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22.6</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Waiver of Jury Trial and Punitive Damages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23.1</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Notices</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24.1</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Construction and Severability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24.2</w:t>
      </w:r>
      <w:r>
        <w:rPr>
          <w:rFonts w:ascii="Arial" w:cs="Arial" w:eastAsia="Arial" w:hAnsi="Arial"/>
          <w:sz w:val="19"/>
          <w:szCs w:val="19"/>
          <w:color w:val="auto"/>
        </w:rPr>
        <w:t xml:space="preserve"> (</w:t>
      </w:r>
      <w:r>
        <w:rPr>
          <w:rFonts w:ascii="Arial" w:cs="Arial" w:eastAsia="Arial" w:hAnsi="Arial"/>
          <w:sz w:val="19"/>
          <w:szCs w:val="19"/>
          <w:i w:val="1"/>
          <w:iCs w:val="1"/>
          <w:color w:val="auto"/>
        </w:rPr>
        <w:t>Approvals, Consents and Waivers</w:t>
      </w:r>
      <w:r>
        <w:rPr>
          <w:rFonts w:ascii="Arial" w:cs="Arial" w:eastAsia="Arial" w:hAnsi="Arial"/>
          <w:sz w:val="19"/>
          <w:szCs w:val="19"/>
          <w:color w:val="auto"/>
        </w:rPr>
        <w:t xml:space="preserve">), </w:t>
      </w:r>
      <w:r>
        <w:rPr>
          <w:rFonts w:ascii="Arial" w:cs="Arial" w:eastAsia="Arial" w:hAnsi="Arial"/>
          <w:sz w:val="19"/>
          <w:szCs w:val="19"/>
          <w:u w:val="single" w:color="auto"/>
          <w:color w:val="auto"/>
        </w:rPr>
        <w:t>24.3</w:t>
      </w:r>
      <w:r>
        <w:rPr>
          <w:rFonts w:ascii="Arial" w:cs="Arial" w:eastAsia="Arial" w:hAnsi="Arial"/>
          <w:sz w:val="19"/>
          <w:szCs w:val="19"/>
          <w:color w:val="auto"/>
        </w:rPr>
        <w:t xml:space="preserve"> (</w:t>
      </w:r>
      <w:r>
        <w:rPr>
          <w:rFonts w:ascii="Arial" w:cs="Arial" w:eastAsia="Arial" w:hAnsi="Arial"/>
          <w:sz w:val="19"/>
          <w:szCs w:val="19"/>
          <w:i w:val="1"/>
          <w:iCs w:val="1"/>
          <w:color w:val="auto"/>
        </w:rPr>
        <w:t>Entire Agreement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24.4</w:t>
      </w:r>
      <w:r>
        <w:rPr>
          <w:rFonts w:ascii="Arial" w:cs="Arial" w:eastAsia="Arial" w:hAnsi="Arial"/>
          <w:sz w:val="19"/>
          <w:szCs w:val="19"/>
          <w:color w:val="auto"/>
        </w:rPr>
        <w:t xml:space="preserve"> (</w:t>
      </w:r>
      <w:r>
        <w:rPr>
          <w:rFonts w:ascii="Arial" w:cs="Arial" w:eastAsia="Arial" w:hAnsi="Arial"/>
          <w:sz w:val="19"/>
          <w:szCs w:val="19"/>
          <w:i w:val="1"/>
          <w:iCs w:val="1"/>
          <w:color w:val="auto"/>
        </w:rPr>
        <w:t>Amendments</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26.2</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Multiple Counterparts</w:t>
      </w:r>
      <w:r>
        <w:rPr>
          <w:rFonts w:ascii="Arial" w:cs="Arial" w:eastAsia="Arial" w:hAnsi="Arial"/>
          <w:sz w:val="19"/>
          <w:szCs w:val="19"/>
          <w:color w:val="auto"/>
        </w:rPr>
        <w:t>) of the MVW License Agreement are incorporated herein by reference and form a part of this Agreement as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if set forth herein,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196" w:lineRule="exact"/>
        <w:rPr>
          <w:sz w:val="20"/>
          <w:szCs w:val="20"/>
          <w:color w:val="auto"/>
        </w:rPr>
      </w:pPr>
    </w:p>
    <w:p>
      <w:pPr>
        <w:ind w:right="200" w:firstLine="648"/>
        <w:spacing w:after="0" w:line="268" w:lineRule="auto"/>
        <w:rPr>
          <w:sz w:val="20"/>
          <w:szCs w:val="20"/>
          <w:color w:val="auto"/>
        </w:rPr>
      </w:pPr>
      <w:r>
        <w:rPr>
          <w:rFonts w:ascii="Arial" w:cs="Arial" w:eastAsia="Arial" w:hAnsi="Arial"/>
          <w:sz w:val="21"/>
          <w:szCs w:val="21"/>
          <w:b w:val="1"/>
          <w:bCs w:val="1"/>
          <w:color w:val="010000"/>
        </w:rPr>
        <w:t xml:space="preserve">Section 5.04 </w:t>
      </w:r>
      <w:r>
        <w:rPr>
          <w:rFonts w:ascii="Arial" w:cs="Arial" w:eastAsia="Arial" w:hAnsi="Arial"/>
          <w:sz w:val="21"/>
          <w:szCs w:val="21"/>
          <w:b w:val="1"/>
          <w:bCs w:val="1"/>
          <w:u w:val="single" w:color="auto"/>
          <w:color w:val="000000"/>
        </w:rPr>
        <w:t>Evidence of Compliance; Reporting</w:t>
      </w:r>
      <w:r>
        <w:rPr>
          <w:rFonts w:ascii="Arial" w:cs="Arial" w:eastAsia="Arial" w:hAnsi="Arial"/>
          <w:sz w:val="21"/>
          <w:szCs w:val="21"/>
          <w:color w:val="000000"/>
        </w:rPr>
        <w:t>. Each of Marriott and MVW will, upon request by the other party,</w:t>
      </w:r>
      <w:r>
        <w:rPr>
          <w:rFonts w:ascii="Arial" w:cs="Arial" w:eastAsia="Arial" w:hAnsi="Arial"/>
          <w:sz w:val="21"/>
          <w:szCs w:val="21"/>
          <w:b w:val="1"/>
          <w:bCs w:val="1"/>
          <w:color w:val="010000"/>
        </w:rPr>
        <w:t xml:space="preserve"> </w:t>
      </w:r>
      <w:r>
        <w:rPr>
          <w:rFonts w:ascii="Arial" w:cs="Arial" w:eastAsia="Arial" w:hAnsi="Arial"/>
          <w:sz w:val="21"/>
          <w:szCs w:val="21"/>
          <w:color w:val="000000"/>
        </w:rPr>
        <w:t>provide (i) reasonable evidence of compliance with the provisions of this Agreement (which may include reasonable sampling procedures), on such a periodic basis as the parties reasonably agree and (ii) additional reasonable information and supporting documentation concerning the calculation of fees, costs, expenses, or other payments due under this Agreement. In furtherance of the foregoing, Marriott will provide MVW such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420"/>
          </w:cols>
          <w:pgMar w:left="240" w:top="591" w:right="239" w:bottom="1440" w:gutter="0" w:footer="0" w:header="0"/>
        </w:sectPr>
      </w:pPr>
    </w:p>
    <w:bookmarkStart w:id="81" w:name="page82"/>
    <w:bookmarkEnd w:id="81"/>
    <w:p>
      <w:pPr>
        <w:spacing w:after="0"/>
        <w:rPr>
          <w:sz w:val="20"/>
          <w:szCs w:val="20"/>
          <w:color w:val="auto"/>
        </w:rPr>
      </w:pPr>
      <w:r>
        <w:rPr>
          <w:rFonts w:ascii="Arial" w:cs="Arial" w:eastAsia="Arial" w:hAnsi="Arial"/>
          <w:sz w:val="22"/>
          <w:szCs w:val="22"/>
          <w:color w:val="auto"/>
        </w:rPr>
        <w:t>additional reporting and information as described in the Services Manual to the Marriott Rewards Agreement.</w:t>
      </w:r>
    </w:p>
    <w:p>
      <w:pPr>
        <w:spacing w:after="0" w:line="214" w:lineRule="exact"/>
        <w:rPr>
          <w:sz w:val="20"/>
          <w:szCs w:val="20"/>
          <w:color w:val="auto"/>
        </w:rPr>
      </w:pPr>
    </w:p>
    <w:p>
      <w:pPr>
        <w:ind w:firstLine="648"/>
        <w:spacing w:after="0" w:line="262" w:lineRule="auto"/>
        <w:rPr>
          <w:sz w:val="20"/>
          <w:szCs w:val="20"/>
          <w:color w:val="auto"/>
        </w:rPr>
      </w:pPr>
      <w:r>
        <w:rPr>
          <w:rFonts w:ascii="Arial" w:cs="Arial" w:eastAsia="Arial" w:hAnsi="Arial"/>
          <w:sz w:val="22"/>
          <w:szCs w:val="22"/>
          <w:b w:val="1"/>
          <w:bCs w:val="1"/>
          <w:color w:val="010000"/>
        </w:rPr>
        <w:t xml:space="preserve">Section 5.05 </w:t>
      </w:r>
      <w:r>
        <w:rPr>
          <w:rFonts w:ascii="Arial" w:cs="Arial" w:eastAsia="Arial" w:hAnsi="Arial"/>
          <w:sz w:val="22"/>
          <w:szCs w:val="22"/>
          <w:b w:val="1"/>
          <w:bCs w:val="1"/>
          <w:u w:val="single" w:color="auto"/>
          <w:color w:val="000000"/>
        </w:rPr>
        <w:t>Further Assurances</w:t>
      </w:r>
      <w:r>
        <w:rPr>
          <w:rFonts w:ascii="Arial" w:cs="Arial" w:eastAsia="Arial" w:hAnsi="Arial"/>
          <w:sz w:val="22"/>
          <w:szCs w:val="22"/>
          <w:color w:val="000000"/>
        </w:rPr>
        <w:t>. In the event that certain events described in Exhibit C occur after the date of this</w:t>
      </w:r>
      <w:r>
        <w:rPr>
          <w:rFonts w:ascii="Arial" w:cs="Arial" w:eastAsia="Arial" w:hAnsi="Arial"/>
          <w:sz w:val="22"/>
          <w:szCs w:val="22"/>
          <w:b w:val="1"/>
          <w:bCs w:val="1"/>
          <w:color w:val="010000"/>
        </w:rPr>
        <w:t xml:space="preserve"> </w:t>
      </w:r>
      <w:r>
        <w:rPr>
          <w:rFonts w:ascii="Arial" w:cs="Arial" w:eastAsia="Arial" w:hAnsi="Arial"/>
          <w:sz w:val="22"/>
          <w:szCs w:val="22"/>
          <w:color w:val="000000"/>
        </w:rPr>
        <w:t>Agreement, each of MVW and Marriott agree to amend the MVW License Agreement and take such other actions as are detailed in Exhibit C.</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this page is intentionally left blank; signature page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400"/>
          </w:cols>
          <w:pgMar w:left="240" w:top="1063" w:right="259" w:bottom="1440" w:gutter="0" w:footer="0" w:header="0"/>
        </w:sectPr>
      </w:pPr>
    </w:p>
    <w:bookmarkStart w:id="82" w:name="page83"/>
    <w:bookmarkEnd w:id="82"/>
    <w:p>
      <w:pPr>
        <w:spacing w:after="0" w:line="263" w:lineRule="auto"/>
        <w:rPr>
          <w:sz w:val="20"/>
          <w:szCs w:val="20"/>
          <w:color w:val="auto"/>
        </w:rPr>
      </w:pPr>
      <w:r>
        <w:rPr>
          <w:rFonts w:ascii="Arial" w:cs="Arial" w:eastAsia="Arial" w:hAnsi="Arial"/>
          <w:sz w:val="22"/>
          <w:szCs w:val="22"/>
          <w:color w:val="auto"/>
        </w:rPr>
        <w:t>IN WITNESS WHEREOF, the parties have caused this Amendment to be executed as of the date first written above by their respective officers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4860" w:type="dxa"/>
            <w:vAlign w:val="bottom"/>
            <w:gridSpan w:val="6"/>
          </w:tcPr>
          <w:p>
            <w:pPr>
              <w:spacing w:after="0"/>
              <w:rPr>
                <w:sz w:val="20"/>
                <w:szCs w:val="20"/>
                <w:color w:val="auto"/>
              </w:rPr>
            </w:pPr>
            <w:r>
              <w:rPr>
                <w:rFonts w:ascii="Arial" w:cs="Arial" w:eastAsia="Arial" w:hAnsi="Arial"/>
                <w:sz w:val="22"/>
                <w:szCs w:val="22"/>
                <w:b w:val="1"/>
                <w:bCs w:val="1"/>
                <w:color w:val="auto"/>
              </w:rPr>
              <w:t>MARRIOTT VACATIONS WORLDWIDE</w:t>
            </w: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0" w:type="dxa"/>
            <w:vAlign w:val="bottom"/>
          </w:tcPr>
          <w:p>
            <w:pPr>
              <w:spacing w:after="0"/>
              <w:rPr>
                <w:sz w:val="21"/>
                <w:szCs w:val="21"/>
                <w:color w:val="auto"/>
              </w:rPr>
            </w:pPr>
          </w:p>
        </w:tc>
      </w:tr>
      <w:tr>
        <w:trPr>
          <w:trHeight w:val="281"/>
        </w:trPr>
        <w:tc>
          <w:tcPr>
            <w:tcW w:w="4860" w:type="dxa"/>
            <w:vAlign w:val="bottom"/>
            <w:gridSpan w:val="6"/>
          </w:tcPr>
          <w:p>
            <w:pPr>
              <w:spacing w:after="0"/>
              <w:rPr>
                <w:sz w:val="20"/>
                <w:szCs w:val="20"/>
                <w:color w:val="auto"/>
              </w:rPr>
            </w:pPr>
            <w:r>
              <w:rPr>
                <w:rFonts w:ascii="Arial" w:cs="Arial" w:eastAsia="Arial" w:hAnsi="Arial"/>
                <w:sz w:val="22"/>
                <w:szCs w:val="22"/>
                <w:b w:val="1"/>
                <w:bCs w:val="1"/>
                <w:color w:val="auto"/>
              </w:rPr>
              <w:t>CORPORATION</w:t>
            </w:r>
          </w:p>
        </w:tc>
        <w:tc>
          <w:tcPr>
            <w:tcW w:w="5080" w:type="dxa"/>
            <w:vAlign w:val="bottom"/>
            <w:gridSpan w:val="6"/>
          </w:tcPr>
          <w:p>
            <w:pPr>
              <w:ind w:left="840"/>
              <w:spacing w:after="0"/>
              <w:rPr>
                <w:sz w:val="20"/>
                <w:szCs w:val="20"/>
                <w:color w:val="auto"/>
              </w:rPr>
            </w:pPr>
            <w:r>
              <w:rPr>
                <w:rFonts w:ascii="Arial" w:cs="Arial" w:eastAsia="Arial" w:hAnsi="Arial"/>
                <w:sz w:val="22"/>
                <w:szCs w:val="22"/>
                <w:b w:val="1"/>
                <w:bCs w:val="1"/>
                <w:color w:val="auto"/>
                <w:w w:val="98"/>
              </w:rPr>
              <w:t>MARRIOTT OWNERSHIP RESORTS, INC.</w:t>
            </w:r>
          </w:p>
        </w:tc>
      </w:tr>
      <w:tr>
        <w:trPr>
          <w:trHeight w:val="625"/>
        </w:trPr>
        <w:tc>
          <w:tcPr>
            <w:tcW w:w="4860" w:type="dxa"/>
            <w:vAlign w:val="bottom"/>
            <w:gridSpan w:val="6"/>
          </w:tcPr>
          <w:p>
            <w:pPr>
              <w:spacing w:after="0"/>
              <w:rPr>
                <w:sz w:val="20"/>
                <w:szCs w:val="20"/>
                <w:color w:val="auto"/>
              </w:rPr>
            </w:pPr>
            <w:r>
              <w:rPr>
                <w:rFonts w:ascii="Arial" w:cs="Arial" w:eastAsia="Arial" w:hAnsi="Arial"/>
                <w:sz w:val="22"/>
                <w:szCs w:val="22"/>
                <w:color w:val="auto"/>
              </w:rPr>
              <w:t>By:/s/ Ralph Lee Cunningham</w:t>
            </w:r>
          </w:p>
        </w:tc>
        <w:tc>
          <w:tcPr>
            <w:tcW w:w="5080" w:type="dxa"/>
            <w:vAlign w:val="bottom"/>
            <w:gridSpan w:val="6"/>
          </w:tcPr>
          <w:p>
            <w:pPr>
              <w:ind w:left="840"/>
              <w:spacing w:after="0"/>
              <w:rPr>
                <w:sz w:val="20"/>
                <w:szCs w:val="20"/>
                <w:color w:val="auto"/>
              </w:rPr>
            </w:pPr>
            <w:r>
              <w:rPr>
                <w:rFonts w:ascii="Arial" w:cs="Arial" w:eastAsia="Arial" w:hAnsi="Arial"/>
                <w:sz w:val="22"/>
                <w:szCs w:val="22"/>
                <w:color w:val="auto"/>
              </w:rPr>
              <w:t>By:/s/ Ralph Lee Cunningham</w:t>
            </w: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3"/>
        </w:trPr>
        <w:tc>
          <w:tcPr>
            <w:tcW w:w="4860" w:type="dxa"/>
            <w:vAlign w:val="bottom"/>
            <w:gridSpan w:val="6"/>
          </w:tcPr>
          <w:p>
            <w:pPr>
              <w:spacing w:after="0" w:line="223" w:lineRule="exact"/>
              <w:rPr>
                <w:sz w:val="20"/>
                <w:szCs w:val="20"/>
                <w:color w:val="auto"/>
              </w:rPr>
            </w:pPr>
            <w:r>
              <w:rPr>
                <w:rFonts w:ascii="Arial" w:cs="Arial" w:eastAsia="Arial" w:hAnsi="Arial"/>
                <w:sz w:val="22"/>
                <w:szCs w:val="22"/>
                <w:color w:val="auto"/>
              </w:rPr>
              <w:t>Name:Ralph Lee Cunningham</w:t>
            </w:r>
          </w:p>
        </w:tc>
        <w:tc>
          <w:tcPr>
            <w:tcW w:w="5080" w:type="dxa"/>
            <w:vAlign w:val="bottom"/>
            <w:gridSpan w:val="6"/>
          </w:tcPr>
          <w:p>
            <w:pPr>
              <w:ind w:left="840"/>
              <w:spacing w:after="0" w:line="223" w:lineRule="exact"/>
              <w:rPr>
                <w:sz w:val="20"/>
                <w:szCs w:val="20"/>
                <w:color w:val="auto"/>
              </w:rPr>
            </w:pPr>
            <w:r>
              <w:rPr>
                <w:rFonts w:ascii="Arial" w:cs="Arial" w:eastAsia="Arial" w:hAnsi="Arial"/>
                <w:sz w:val="22"/>
                <w:szCs w:val="22"/>
                <w:color w:val="auto"/>
              </w:rPr>
              <w:t>Name:Ralph Lee Cunningham</w:t>
            </w:r>
          </w:p>
        </w:tc>
      </w:tr>
      <w:tr>
        <w:trPr>
          <w:trHeight w:val="20"/>
        </w:trPr>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23"/>
        </w:trPr>
        <w:tc>
          <w:tcPr>
            <w:tcW w:w="4860" w:type="dxa"/>
            <w:vAlign w:val="bottom"/>
            <w:gridSpan w:val="6"/>
          </w:tcPr>
          <w:p>
            <w:pPr>
              <w:spacing w:after="0" w:line="223" w:lineRule="exact"/>
              <w:rPr>
                <w:sz w:val="20"/>
                <w:szCs w:val="20"/>
                <w:color w:val="auto"/>
              </w:rPr>
            </w:pPr>
            <w:r>
              <w:rPr>
                <w:rFonts w:ascii="Arial" w:cs="Arial" w:eastAsia="Arial" w:hAnsi="Arial"/>
                <w:sz w:val="22"/>
                <w:szCs w:val="22"/>
                <w:color w:val="auto"/>
              </w:rPr>
              <w:t>Title:Vice President</w:t>
            </w:r>
          </w:p>
        </w:tc>
        <w:tc>
          <w:tcPr>
            <w:tcW w:w="5080" w:type="dxa"/>
            <w:vAlign w:val="bottom"/>
            <w:gridSpan w:val="6"/>
          </w:tcPr>
          <w:p>
            <w:pPr>
              <w:ind w:left="840"/>
              <w:spacing w:after="0" w:line="223" w:lineRule="exact"/>
              <w:rPr>
                <w:sz w:val="20"/>
                <w:szCs w:val="20"/>
                <w:color w:val="auto"/>
              </w:rPr>
            </w:pPr>
            <w:r>
              <w:rPr>
                <w:rFonts w:ascii="Arial" w:cs="Arial" w:eastAsia="Arial" w:hAnsi="Arial"/>
                <w:sz w:val="22"/>
                <w:szCs w:val="22"/>
                <w:color w:val="auto"/>
              </w:rPr>
              <w:t>Title:Vice President</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81"/>
        </w:trPr>
        <w:tc>
          <w:tcPr>
            <w:tcW w:w="4680" w:type="dxa"/>
            <w:vAlign w:val="bottom"/>
            <w:gridSpan w:val="6"/>
          </w:tcPr>
          <w:p>
            <w:pPr>
              <w:spacing w:after="0"/>
              <w:rPr>
                <w:sz w:val="20"/>
                <w:szCs w:val="20"/>
                <w:color w:val="auto"/>
              </w:rPr>
            </w:pPr>
            <w:r>
              <w:rPr>
                <w:rFonts w:ascii="Arial" w:cs="Arial" w:eastAsia="Arial" w:hAnsi="Arial"/>
                <w:sz w:val="22"/>
                <w:szCs w:val="22"/>
                <w:b w:val="1"/>
                <w:bCs w:val="1"/>
                <w:color w:val="auto"/>
              </w:rPr>
              <w:t>MARRIOTT INTERNATIONAL, INC.</w:t>
            </w:r>
          </w:p>
        </w:tc>
        <w:tc>
          <w:tcPr>
            <w:tcW w:w="3980" w:type="dxa"/>
            <w:vAlign w:val="bottom"/>
            <w:gridSpan w:val="6"/>
          </w:tcPr>
          <w:p>
            <w:pPr>
              <w:ind w:left="1020"/>
              <w:spacing w:after="0"/>
              <w:rPr>
                <w:sz w:val="20"/>
                <w:szCs w:val="20"/>
                <w:color w:val="auto"/>
              </w:rPr>
            </w:pPr>
            <w:r>
              <w:rPr>
                <w:rFonts w:ascii="Arial" w:cs="Arial" w:eastAsia="Arial" w:hAnsi="Arial"/>
                <w:sz w:val="22"/>
                <w:szCs w:val="22"/>
                <w:b w:val="1"/>
                <w:bCs w:val="1"/>
                <w:color w:val="auto"/>
                <w:w w:val="98"/>
              </w:rPr>
              <w:t>MARRIOTT REWARDS, LLC.</w:t>
            </w:r>
          </w:p>
        </w:tc>
      </w:tr>
      <w:tr>
        <w:trPr>
          <w:trHeight w:val="625"/>
        </w:trPr>
        <w:tc>
          <w:tcPr>
            <w:tcW w:w="4680" w:type="dxa"/>
            <w:vAlign w:val="bottom"/>
            <w:gridSpan w:val="6"/>
          </w:tcPr>
          <w:p>
            <w:pPr>
              <w:spacing w:after="0"/>
              <w:rPr>
                <w:sz w:val="20"/>
                <w:szCs w:val="20"/>
                <w:color w:val="auto"/>
              </w:rPr>
            </w:pPr>
            <w:r>
              <w:rPr>
                <w:rFonts w:ascii="Arial" w:cs="Arial" w:eastAsia="Arial" w:hAnsi="Arial"/>
                <w:sz w:val="22"/>
                <w:szCs w:val="22"/>
                <w:color w:val="auto"/>
              </w:rPr>
              <w:t>By:/s/ Kathleen K. Oberg</w:t>
            </w:r>
          </w:p>
        </w:tc>
        <w:tc>
          <w:tcPr>
            <w:tcW w:w="3980" w:type="dxa"/>
            <w:vAlign w:val="bottom"/>
            <w:gridSpan w:val="6"/>
          </w:tcPr>
          <w:p>
            <w:pPr>
              <w:ind w:left="1020"/>
              <w:spacing w:after="0"/>
              <w:rPr>
                <w:sz w:val="20"/>
                <w:szCs w:val="20"/>
                <w:color w:val="auto"/>
              </w:rPr>
            </w:pPr>
            <w:r>
              <w:rPr>
                <w:rFonts w:ascii="Arial" w:cs="Arial" w:eastAsia="Arial" w:hAnsi="Arial"/>
                <w:sz w:val="22"/>
                <w:szCs w:val="22"/>
                <w:color w:val="auto"/>
              </w:rPr>
              <w:t>By:/s/ Robert Behrens</w:t>
            </w:r>
          </w:p>
        </w:tc>
      </w:tr>
      <w:tr>
        <w:trPr>
          <w:trHeight w:val="20"/>
        </w:trPr>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3"/>
        </w:trPr>
        <w:tc>
          <w:tcPr>
            <w:tcW w:w="4680" w:type="dxa"/>
            <w:vAlign w:val="bottom"/>
            <w:gridSpan w:val="6"/>
          </w:tcPr>
          <w:p>
            <w:pPr>
              <w:spacing w:after="0" w:line="223" w:lineRule="exact"/>
              <w:rPr>
                <w:sz w:val="20"/>
                <w:szCs w:val="20"/>
                <w:color w:val="auto"/>
              </w:rPr>
            </w:pPr>
            <w:r>
              <w:rPr>
                <w:rFonts w:ascii="Arial" w:cs="Arial" w:eastAsia="Arial" w:hAnsi="Arial"/>
                <w:sz w:val="22"/>
                <w:szCs w:val="22"/>
                <w:color w:val="auto"/>
              </w:rPr>
              <w:t>Name:Kathleen K. Oberg</w:t>
            </w:r>
          </w:p>
        </w:tc>
        <w:tc>
          <w:tcPr>
            <w:tcW w:w="3980" w:type="dxa"/>
            <w:vAlign w:val="bottom"/>
            <w:gridSpan w:val="6"/>
          </w:tcPr>
          <w:p>
            <w:pPr>
              <w:ind w:left="1020"/>
              <w:spacing w:after="0" w:line="223" w:lineRule="exact"/>
              <w:rPr>
                <w:sz w:val="20"/>
                <w:szCs w:val="20"/>
                <w:color w:val="auto"/>
              </w:rPr>
            </w:pPr>
            <w:r>
              <w:rPr>
                <w:rFonts w:ascii="Arial" w:cs="Arial" w:eastAsia="Arial" w:hAnsi="Arial"/>
                <w:sz w:val="22"/>
                <w:szCs w:val="22"/>
                <w:color w:val="auto"/>
              </w:rPr>
              <w:t>Name:Robert Behrens</w:t>
            </w:r>
          </w:p>
        </w:tc>
      </w:tr>
      <w:tr>
        <w:trPr>
          <w:trHeight w:val="20"/>
        </w:trPr>
        <w:tc>
          <w:tcPr>
            <w:tcW w:w="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23"/>
        </w:trPr>
        <w:tc>
          <w:tcPr>
            <w:tcW w:w="4680" w:type="dxa"/>
            <w:vAlign w:val="bottom"/>
            <w:gridSpan w:val="6"/>
          </w:tcPr>
          <w:p>
            <w:pPr>
              <w:spacing w:after="0" w:line="223" w:lineRule="exact"/>
              <w:rPr>
                <w:sz w:val="20"/>
                <w:szCs w:val="20"/>
                <w:color w:val="auto"/>
              </w:rPr>
            </w:pPr>
            <w:r>
              <w:rPr>
                <w:rFonts w:ascii="Arial" w:cs="Arial" w:eastAsia="Arial" w:hAnsi="Arial"/>
                <w:sz w:val="22"/>
                <w:szCs w:val="22"/>
                <w:color w:val="auto"/>
              </w:rPr>
              <w:t>Title:EVP &amp; CFO</w:t>
            </w:r>
          </w:p>
        </w:tc>
        <w:tc>
          <w:tcPr>
            <w:tcW w:w="3980" w:type="dxa"/>
            <w:vAlign w:val="bottom"/>
            <w:gridSpan w:val="6"/>
          </w:tcPr>
          <w:p>
            <w:pPr>
              <w:ind w:left="1020"/>
              <w:spacing w:after="0" w:line="223" w:lineRule="exact"/>
              <w:rPr>
                <w:sz w:val="20"/>
                <w:szCs w:val="20"/>
                <w:color w:val="auto"/>
              </w:rPr>
            </w:pPr>
            <w:r>
              <w:rPr>
                <w:rFonts w:ascii="Arial" w:cs="Arial" w:eastAsia="Arial" w:hAnsi="Arial"/>
                <w:sz w:val="22"/>
                <w:szCs w:val="22"/>
                <w:color w:val="auto"/>
              </w:rPr>
              <w:t>Title:VP, Marriott Rewards</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4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MARRIOTT WORLDWIDE CORPORATION</w:t>
      </w:r>
    </w:p>
    <w:p>
      <w:pPr>
        <w:spacing w:after="0" w:line="200" w:lineRule="exact"/>
        <w:rPr>
          <w:sz w:val="20"/>
          <w:szCs w:val="20"/>
          <w:color w:val="auto"/>
        </w:rPr>
      </w:pPr>
    </w:p>
    <w:p>
      <w:pPr>
        <w:spacing w:after="0" w:line="228" w:lineRule="exact"/>
        <w:rPr>
          <w:sz w:val="20"/>
          <w:szCs w:val="20"/>
          <w:color w:val="auto"/>
        </w:rPr>
      </w:pPr>
    </w:p>
    <w:p>
      <w:pPr>
        <w:ind w:left="4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Kathleen K. Oberg</w:t>
      </w:r>
    </w:p>
    <w:p>
      <w:pPr>
        <w:ind w:left="40"/>
        <w:spacing w:after="0" w:line="238" w:lineRule="auto"/>
        <w:rPr>
          <w:sz w:val="20"/>
          <w:szCs w:val="20"/>
          <w:color w:val="auto"/>
        </w:rPr>
      </w:pPr>
      <w:r>
        <w:rPr>
          <w:rFonts w:ascii="Arial" w:cs="Arial" w:eastAsia="Arial" w:hAnsi="Arial"/>
          <w:sz w:val="22"/>
          <w:szCs w:val="22"/>
          <w:color w:val="auto"/>
        </w:rPr>
        <w:t>Name:</w:t>
      </w:r>
      <w:r>
        <w:rPr>
          <w:rFonts w:ascii="Arial" w:cs="Arial" w:eastAsia="Arial" w:hAnsi="Arial"/>
          <w:sz w:val="22"/>
          <w:szCs w:val="22"/>
          <w:u w:val="single" w:color="auto"/>
          <w:color w:val="auto"/>
        </w:rPr>
        <w:t>Kathleen K. Oberg</w:t>
      </w:r>
    </w:p>
    <w:p>
      <w:pPr>
        <w:ind w:left="40"/>
        <w:spacing w:after="0"/>
        <w:rPr>
          <w:sz w:val="20"/>
          <w:szCs w:val="20"/>
          <w:color w:val="auto"/>
        </w:rPr>
      </w:pPr>
      <w:r>
        <w:rPr>
          <w:rFonts w:ascii="Arial" w:cs="Arial" w:eastAsia="Arial" w:hAnsi="Arial"/>
          <w:sz w:val="22"/>
          <w:szCs w:val="22"/>
          <w:color w:val="auto"/>
        </w:rPr>
        <w:t>Title:</w:t>
      </w:r>
      <w:r>
        <w:rPr>
          <w:rFonts w:ascii="Arial" w:cs="Arial" w:eastAsia="Arial" w:hAnsi="Arial"/>
          <w:sz w:val="22"/>
          <w:szCs w:val="22"/>
          <w:u w:val="single" w:color="auto"/>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Marriott-MVW Side Letter Agreement</w:t>
      </w:r>
      <w:r>
        <w:rPr>
          <w:rFonts w:ascii="Arial" w:cs="Arial" w:eastAsia="Arial" w:hAnsi="Arial"/>
          <w:sz w:val="22"/>
          <w:szCs w:val="22"/>
          <w:color w:val="auto"/>
        </w:rPr>
        <w:t>]</w:t>
      </w:r>
    </w:p>
    <w:p>
      <w:pPr>
        <w:sectPr>
          <w:pgSz w:w="11900" w:h="16838" w:orient="portrait"/>
          <w:cols w:equalWidth="0" w:num="1">
            <w:col w:w="10760"/>
          </w:cols>
          <w:pgMar w:left="240" w:top="591" w:right="899" w:bottom="1440" w:gutter="0" w:footer="0" w:header="0"/>
        </w:sectPr>
      </w:pPr>
    </w:p>
    <w:bookmarkStart w:id="83" w:name="page84"/>
    <w:bookmarkEnd w:id="83"/>
    <w:p>
      <w:pPr>
        <w:jc w:val="center"/>
        <w:spacing w:after="0"/>
        <w:rPr>
          <w:sz w:val="20"/>
          <w:szCs w:val="20"/>
          <w:color w:val="auto"/>
        </w:rPr>
      </w:pPr>
      <w:r>
        <w:rPr>
          <w:rFonts w:ascii="Arial" w:cs="Arial" w:eastAsia="Arial" w:hAnsi="Arial"/>
          <w:sz w:val="22"/>
          <w:szCs w:val="22"/>
          <w:color w:val="auto"/>
        </w:rPr>
        <w:t>EXHIBIT A</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[See Attached]</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9019"/>
          </w:cols>
          <w:pgMar w:left="1440" w:top="591" w:right="1440" w:bottom="1440"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380365</wp:posOffset>
            </wp:positionV>
            <wp:extent cx="5351145" cy="69208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380365</wp:posOffset>
            </wp:positionV>
            <wp:extent cx="5351145" cy="6920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380365</wp:posOffset>
            </wp:positionV>
            <wp:extent cx="5351145" cy="69208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380365</wp:posOffset>
            </wp:positionV>
            <wp:extent cx="5351145" cy="69208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380365</wp:posOffset>
            </wp:positionV>
            <wp:extent cx="5351145" cy="6920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380365</wp:posOffset>
            </wp:positionV>
            <wp:extent cx="5351145" cy="69208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351145" cy="6920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ind w:right="-1200"/>
        <w:spacing w:after="0"/>
        <w:rPr>
          <w:sz w:val="20"/>
          <w:szCs w:val="20"/>
          <w:color w:val="auto"/>
        </w:rPr>
      </w:pPr>
      <w:r>
        <w:rPr>
          <w:rFonts w:ascii="Arial" w:cs="Arial" w:eastAsia="Arial" w:hAnsi="Arial"/>
          <w:sz w:val="22"/>
          <w:szCs w:val="22"/>
          <w:color w:val="auto"/>
        </w:rPr>
        <w:t>EXHIBIT B</w:t>
      </w:r>
    </w:p>
    <w:p>
      <w:pPr>
        <w:spacing w:after="0" w:line="220" w:lineRule="exact"/>
        <w:rPr>
          <w:sz w:val="20"/>
          <w:szCs w:val="20"/>
          <w:color w:val="auto"/>
        </w:rPr>
      </w:pPr>
    </w:p>
    <w:p>
      <w:pPr>
        <w:jc w:val="center"/>
        <w:ind w:right="-1200"/>
        <w:spacing w:after="0"/>
        <w:rPr>
          <w:sz w:val="20"/>
          <w:szCs w:val="20"/>
          <w:color w:val="auto"/>
        </w:rPr>
      </w:pPr>
      <w:r>
        <w:rPr>
          <w:rFonts w:ascii="Arial" w:cs="Arial" w:eastAsia="Arial" w:hAnsi="Arial"/>
          <w:sz w:val="21"/>
          <w:szCs w:val="21"/>
          <w:color w:val="auto"/>
        </w:rPr>
        <w:t>Brand Subcategories</w:t>
      </w:r>
    </w:p>
    <w:p>
      <w:pPr>
        <w:spacing w:after="0" w:line="200" w:lineRule="exact"/>
        <w:rPr>
          <w:sz w:val="20"/>
          <w:szCs w:val="20"/>
          <w:color w:val="auto"/>
        </w:rPr>
      </w:pPr>
    </w:p>
    <w:p>
      <w:pPr>
        <w:spacing w:after="0" w:line="396" w:lineRule="exact"/>
        <w:rPr>
          <w:sz w:val="20"/>
          <w:szCs w:val="20"/>
          <w:color w:val="auto"/>
        </w:rPr>
      </w:pPr>
    </w:p>
    <w:p>
      <w:pPr>
        <w:ind w:left="40"/>
        <w:spacing w:after="0"/>
        <w:tabs>
          <w:tab w:leader="none" w:pos="2660" w:val="left"/>
        </w:tabs>
        <w:rPr>
          <w:sz w:val="20"/>
          <w:szCs w:val="20"/>
          <w:color w:val="auto"/>
        </w:rPr>
      </w:pPr>
      <w:r>
        <w:rPr>
          <w:rFonts w:ascii="Arial" w:cs="Arial" w:eastAsia="Arial" w:hAnsi="Arial"/>
          <w:sz w:val="22"/>
          <w:szCs w:val="22"/>
          <w:color w:val="auto"/>
        </w:rPr>
        <w:t>Classic Luxury:</w:t>
      </w:r>
      <w:r>
        <w:rPr>
          <w:sz w:val="20"/>
          <w:szCs w:val="20"/>
          <w:color w:val="auto"/>
        </w:rPr>
        <w:tab/>
      </w:r>
      <w:r>
        <w:rPr>
          <w:rFonts w:ascii="Arial" w:cs="Arial" w:eastAsia="Arial" w:hAnsi="Arial"/>
          <w:sz w:val="19"/>
          <w:szCs w:val="19"/>
          <w:color w:val="auto"/>
        </w:rPr>
        <w:t>The Ritz Carlton</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St.Regis</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JW Marriott</w:t>
      </w:r>
    </w:p>
    <w:p>
      <w:pPr>
        <w:spacing w:after="0" w:line="368" w:lineRule="exact"/>
        <w:rPr>
          <w:sz w:val="20"/>
          <w:szCs w:val="20"/>
          <w:color w:val="auto"/>
        </w:rPr>
      </w:pPr>
    </w:p>
    <w:p>
      <w:pPr>
        <w:ind w:left="40"/>
        <w:spacing w:after="0"/>
        <w:tabs>
          <w:tab w:leader="none" w:pos="2660" w:val="left"/>
        </w:tabs>
        <w:rPr>
          <w:sz w:val="20"/>
          <w:szCs w:val="20"/>
          <w:color w:val="auto"/>
        </w:rPr>
      </w:pPr>
      <w:r>
        <w:rPr>
          <w:rFonts w:ascii="Arial" w:cs="Arial" w:eastAsia="Arial" w:hAnsi="Arial"/>
          <w:sz w:val="22"/>
          <w:szCs w:val="22"/>
          <w:color w:val="auto"/>
        </w:rPr>
        <w:t>Classic Premium:</w:t>
      </w:r>
      <w:r>
        <w:rPr>
          <w:sz w:val="20"/>
          <w:szCs w:val="20"/>
          <w:color w:val="auto"/>
        </w:rPr>
        <w:tab/>
      </w:r>
      <w:r>
        <w:rPr>
          <w:rFonts w:ascii="Arial" w:cs="Arial" w:eastAsia="Arial" w:hAnsi="Arial"/>
          <w:sz w:val="21"/>
          <w:szCs w:val="21"/>
          <w:color w:val="auto"/>
        </w:rPr>
        <w:t>Marriott</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Marriott Vacation Club</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Sheraton</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Delta Hotels by Marriott</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Marriott Executive Apartments (Longer Stays)</w:t>
      </w: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2660" w:val="left"/>
        </w:tabs>
        <w:rPr>
          <w:sz w:val="20"/>
          <w:szCs w:val="20"/>
          <w:color w:val="auto"/>
        </w:rPr>
      </w:pPr>
      <w:r>
        <w:rPr>
          <w:rFonts w:ascii="Arial" w:cs="Arial" w:eastAsia="Arial" w:hAnsi="Arial"/>
          <w:sz w:val="22"/>
          <w:szCs w:val="22"/>
          <w:color w:val="auto"/>
        </w:rPr>
        <w:t>Classic Select:</w:t>
      </w:r>
      <w:r>
        <w:rPr>
          <w:sz w:val="20"/>
          <w:szCs w:val="20"/>
          <w:color w:val="auto"/>
        </w:rPr>
        <w:tab/>
      </w:r>
      <w:r>
        <w:rPr>
          <w:rFonts w:ascii="Arial" w:cs="Arial" w:eastAsia="Arial" w:hAnsi="Arial"/>
          <w:sz w:val="19"/>
          <w:szCs w:val="19"/>
          <w:color w:val="auto"/>
        </w:rPr>
        <w:t>Courtyard by Marriott</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Four Points by Sheraton</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Springhill Suites by Marriott</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Protea Hotels</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19"/>
          <w:szCs w:val="19"/>
          <w:color w:val="auto"/>
        </w:rPr>
        <w:t>TownePlace Suites by Marriott (Longer Stays)</w:t>
      </w:r>
    </w:p>
    <w:p>
      <w:pPr>
        <w:spacing w:after="0" w:line="79"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Fairfield Inn by Marriott</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Residence Inn by Marriott (Longer Stays)</w:t>
      </w:r>
    </w:p>
    <w:p>
      <w:pPr>
        <w:spacing w:after="0" w:line="368" w:lineRule="exact"/>
        <w:rPr>
          <w:sz w:val="20"/>
          <w:szCs w:val="20"/>
          <w:color w:val="auto"/>
        </w:rPr>
      </w:pPr>
    </w:p>
    <w:p>
      <w:pPr>
        <w:ind w:left="40"/>
        <w:spacing w:after="0"/>
        <w:tabs>
          <w:tab w:leader="none" w:pos="2660" w:val="left"/>
        </w:tabs>
        <w:rPr>
          <w:sz w:val="20"/>
          <w:szCs w:val="20"/>
          <w:color w:val="auto"/>
        </w:rPr>
      </w:pPr>
      <w:r>
        <w:rPr>
          <w:rFonts w:ascii="Arial" w:cs="Arial" w:eastAsia="Arial" w:hAnsi="Arial"/>
          <w:sz w:val="22"/>
          <w:szCs w:val="22"/>
          <w:color w:val="auto"/>
        </w:rPr>
        <w:t>Distinctive Luxury:</w:t>
      </w:r>
      <w:r>
        <w:rPr>
          <w:sz w:val="20"/>
          <w:szCs w:val="20"/>
          <w:color w:val="auto"/>
        </w:rPr>
        <w:tab/>
      </w:r>
      <w:r>
        <w:rPr>
          <w:rFonts w:ascii="Arial" w:cs="Arial" w:eastAsia="Arial" w:hAnsi="Arial"/>
          <w:sz w:val="19"/>
          <w:szCs w:val="19"/>
          <w:color w:val="auto"/>
        </w:rPr>
        <w:t>Ritz-Carlton Reserve</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The Luxury Collection</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W Hotels</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Bulgari Hotels and Resorts</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EDITION</w:t>
      </w:r>
    </w:p>
    <w:p>
      <w:pPr>
        <w:spacing w:after="0" w:line="368" w:lineRule="exact"/>
        <w:rPr>
          <w:sz w:val="20"/>
          <w:szCs w:val="20"/>
          <w:color w:val="auto"/>
        </w:rPr>
      </w:pPr>
    </w:p>
    <w:p>
      <w:pPr>
        <w:ind w:left="40"/>
        <w:spacing w:after="0"/>
        <w:tabs>
          <w:tab w:leader="none" w:pos="2660" w:val="left"/>
        </w:tabs>
        <w:rPr>
          <w:sz w:val="20"/>
          <w:szCs w:val="20"/>
          <w:color w:val="auto"/>
        </w:rPr>
      </w:pPr>
      <w:r>
        <w:rPr>
          <w:rFonts w:ascii="Arial" w:cs="Arial" w:eastAsia="Arial" w:hAnsi="Arial"/>
          <w:sz w:val="22"/>
          <w:szCs w:val="22"/>
          <w:color w:val="auto"/>
        </w:rPr>
        <w:t>Distinctive Premium:</w:t>
      </w:r>
      <w:r>
        <w:rPr>
          <w:sz w:val="20"/>
          <w:szCs w:val="20"/>
          <w:color w:val="auto"/>
        </w:rPr>
        <w:tab/>
      </w:r>
      <w:r>
        <w:rPr>
          <w:rFonts w:ascii="Arial" w:cs="Arial" w:eastAsia="Arial" w:hAnsi="Arial"/>
          <w:sz w:val="19"/>
          <w:szCs w:val="19"/>
          <w:color w:val="auto"/>
        </w:rPr>
        <w:t>Le Meridien</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Westin Hotels and Resorts</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Autograph Collection Hotels</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Renaissance Hotels</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Tribute Portfolio</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Gaylord Hotels</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Design Hotels</w:t>
      </w:r>
    </w:p>
    <w:p>
      <w:pPr>
        <w:spacing w:after="0" w:line="368" w:lineRule="exact"/>
        <w:rPr>
          <w:sz w:val="20"/>
          <w:szCs w:val="20"/>
          <w:color w:val="auto"/>
        </w:rPr>
      </w:pPr>
    </w:p>
    <w:p>
      <w:pPr>
        <w:ind w:left="40"/>
        <w:spacing w:after="0"/>
        <w:tabs>
          <w:tab w:leader="none" w:pos="2660" w:val="left"/>
        </w:tabs>
        <w:rPr>
          <w:sz w:val="20"/>
          <w:szCs w:val="20"/>
          <w:color w:val="auto"/>
        </w:rPr>
      </w:pPr>
      <w:r>
        <w:rPr>
          <w:rFonts w:ascii="Arial" w:cs="Arial" w:eastAsia="Arial" w:hAnsi="Arial"/>
          <w:sz w:val="22"/>
          <w:szCs w:val="22"/>
          <w:color w:val="auto"/>
        </w:rPr>
        <w:t>Distinctive Select:</w:t>
      </w:r>
      <w:r>
        <w:rPr>
          <w:sz w:val="20"/>
          <w:szCs w:val="20"/>
          <w:color w:val="auto"/>
        </w:rPr>
        <w:tab/>
      </w:r>
      <w:r>
        <w:rPr>
          <w:rFonts w:ascii="Arial" w:cs="Arial" w:eastAsia="Arial" w:hAnsi="Arial"/>
          <w:sz w:val="19"/>
          <w:szCs w:val="19"/>
          <w:color w:val="auto"/>
        </w:rPr>
        <w:t>AC Hotels by Marriott</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Aloft Hotels</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Moxy Hotels</w:t>
      </w:r>
    </w:p>
    <w:p>
      <w:pPr>
        <w:spacing w:after="0" w:line="44"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Element by Westin (Longer Stays)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NOTE: “Longer Stays” can be depicted as a separate category</w:t>
      </w:r>
    </w:p>
    <w:p>
      <w:pPr>
        <w:sectPr>
          <w:pgSz w:w="11900" w:h="16838" w:orient="portrait"/>
          <w:cols w:equalWidth="0" w:num="1">
            <w:col w:w="10219"/>
          </w:cols>
          <w:pgMar w:left="240" w:top="591" w:right="1440" w:bottom="1440" w:gutter="0" w:footer="0" w:header="0"/>
        </w:sectPr>
      </w:pPr>
    </w:p>
    <w:p>
      <w:pPr>
        <w:spacing w:after="0" w:line="240"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0219"/>
          </w:cols>
          <w:pgMar w:left="240" w:top="591" w:right="1440" w:bottom="1440" w:gutter="0" w:footer="0" w:header="0"/>
          <w:type w:val="continuous"/>
        </w:sectPr>
      </w:pPr>
    </w:p>
    <w:bookmarkStart w:id="91" w:name="page92"/>
    <w:bookmarkEnd w:id="91"/>
    <w:p>
      <w:pPr>
        <w:jc w:val="right"/>
        <w:ind w:right="3979"/>
        <w:spacing w:after="0"/>
        <w:rPr>
          <w:sz w:val="20"/>
          <w:szCs w:val="20"/>
          <w:color w:val="auto"/>
        </w:rPr>
      </w:pPr>
      <w:r>
        <w:rPr>
          <w:rFonts w:ascii="Arial" w:cs="Arial" w:eastAsia="Arial" w:hAnsi="Arial"/>
          <w:sz w:val="22"/>
          <w:szCs w:val="22"/>
          <w:color w:val="auto"/>
        </w:rPr>
        <w:t>EXHIBIT C</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4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9559"/>
          </w:cols>
          <w:pgMar w:left="900" w:top="591" w:right="1440" w:bottom="1440" w:gutter="0" w:footer="0" w:header="0"/>
        </w:sectPr>
      </w:pPr>
    </w:p>
    <w:bookmarkStart w:id="92" w:name="page93"/>
    <w:bookmarkEnd w:id="9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certify that:</w:t>
      </w:r>
    </w:p>
    <w:p>
      <w:pPr>
        <w:spacing w:after="0" w:line="117" w:lineRule="exact"/>
        <w:rPr>
          <w:sz w:val="20"/>
          <w:szCs w:val="20"/>
          <w:color w:val="auto"/>
        </w:rPr>
      </w:pPr>
    </w:p>
    <w:p>
      <w:pPr>
        <w:ind w:left="660" w:hanging="652"/>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2016</w:t>
      </w:r>
    </w:p>
    <w:p>
      <w:pPr>
        <w:spacing w:after="0" w:line="200" w:lineRule="exact"/>
        <w:rPr>
          <w:sz w:val="20"/>
          <w:szCs w:val="20"/>
          <w:color w:val="auto"/>
        </w:rPr>
      </w:pPr>
    </w:p>
    <w:p>
      <w:pPr>
        <w:spacing w:after="0" w:line="295"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John E. Geller, Jr., certify that:</w:t>
      </w:r>
    </w:p>
    <w:p>
      <w:pPr>
        <w:spacing w:after="0" w:line="117" w:lineRule="exact"/>
        <w:rPr>
          <w:sz w:val="20"/>
          <w:szCs w:val="20"/>
          <w:color w:val="auto"/>
        </w:rPr>
      </w:pPr>
    </w:p>
    <w:p>
      <w:pPr>
        <w:ind w:left="660" w:hanging="652"/>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Marriott Vacations Worldwide Corporation;</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5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2016</w:t>
      </w:r>
    </w:p>
    <w:p>
      <w:pPr>
        <w:spacing w:after="0" w:line="200" w:lineRule="exact"/>
        <w:rPr>
          <w:sz w:val="20"/>
          <w:szCs w:val="20"/>
          <w:color w:val="auto"/>
        </w:rPr>
      </w:pPr>
    </w:p>
    <w:p>
      <w:pPr>
        <w:spacing w:after="0" w:line="268"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31750</wp:posOffset>
            </wp:positionV>
            <wp:extent cx="25298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7"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7460"/>
        <w:spacing w:after="0"/>
        <w:rPr>
          <w:sz w:val="20"/>
          <w:szCs w:val="20"/>
          <w:color w:val="auto"/>
        </w:rPr>
      </w:pPr>
      <w:r>
        <w:rPr>
          <w:rFonts w:ascii="Arial" w:cs="Arial" w:eastAsia="Arial" w:hAnsi="Arial"/>
          <w:sz w:val="17"/>
          <w:szCs w:val="17"/>
          <w:color w:val="auto"/>
        </w:rPr>
        <w:t>Executive Vice President and Chief Financial Officer</w:t>
      </w:r>
    </w:p>
    <w:p>
      <w:pPr>
        <w:spacing w:after="0" w:line="75" w:lineRule="exact"/>
        <w:rPr>
          <w:sz w:val="20"/>
          <w:szCs w:val="20"/>
          <w:color w:val="auto"/>
        </w:rPr>
      </w:pPr>
    </w:p>
    <w:p>
      <w:pPr>
        <w:ind w:left="74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Stephen P. Weisz, President and Chief Executive Officer of Marriott Vacations Worldwide Corporation (the “Company”) certify that:</w:t>
      </w:r>
    </w:p>
    <w:p>
      <w:pPr>
        <w:spacing w:after="0" w:line="117" w:lineRule="exact"/>
        <w:rPr>
          <w:sz w:val="20"/>
          <w:szCs w:val="20"/>
          <w:color w:val="auto"/>
        </w:rPr>
      </w:pPr>
    </w:p>
    <w:p>
      <w:pPr>
        <w:ind w:left="660" w:right="52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9, 2016 (the “Quarterly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420" w:hanging="652"/>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13,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 Stephen P. Weisz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31750</wp:posOffset>
            </wp:positionV>
            <wp:extent cx="206692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5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Stephen P. Weisz</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President and Chief Executive Officer</w:t>
      </w:r>
    </w:p>
    <w:p>
      <w:pPr>
        <w:spacing w:after="0" w:line="6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13a-14(b) and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Sections 1350(a) and (b))</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I, John E. Geller, Jr., Executive Vice President and Chief Financial Officer of Marriott Vacations Worldwide Corporation (the “Company”) certify that:</w:t>
      </w:r>
    </w:p>
    <w:p>
      <w:pPr>
        <w:spacing w:after="0" w:line="129" w:lineRule="exact"/>
        <w:rPr>
          <w:sz w:val="20"/>
          <w:szCs w:val="20"/>
          <w:color w:val="auto"/>
        </w:rPr>
      </w:pPr>
    </w:p>
    <w:p>
      <w:pPr>
        <w:ind w:left="660" w:right="520" w:hanging="652"/>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9, 2016 (the “Quarterly Report”), fully complies with the requirements of section 13(a) or 15(d) of the Securities Exchange Act of 1934 (15 U.S.C. 78m or 78o(d)); and</w:t>
      </w:r>
    </w:p>
    <w:p>
      <w:pPr>
        <w:spacing w:after="0" w:line="62" w:lineRule="exact"/>
        <w:rPr>
          <w:rFonts w:ascii="Arial" w:cs="Arial" w:eastAsia="Arial" w:hAnsi="Arial"/>
          <w:sz w:val="18"/>
          <w:szCs w:val="18"/>
          <w:color w:val="auto"/>
        </w:rPr>
      </w:pPr>
    </w:p>
    <w:p>
      <w:pPr>
        <w:ind w:left="660" w:right="420" w:hanging="652"/>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October 13,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John E. Geller,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31750</wp:posOffset>
            </wp:positionV>
            <wp:extent cx="26841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57"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John E. Geller, Jr.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x"/>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1)"/>
      <w:numFmt w:val="decimal"/>
      <w:start w:val="1"/>
    </w:lvl>
  </w:abstractNum>
  <w:abstractNum w:abstractNumId="3">
    <w:nsid w:val="6CEAF087"/>
    <w:multiLevelType w:val="hybridMultilevel"/>
    <w:lvl w:ilvl="0">
      <w:lvlJc w:val="left"/>
      <w:lvlText w:val="(%1)"/>
      <w:numFmt w:val="decimal"/>
      <w:start w:val="1"/>
    </w:lvl>
  </w:abstractNum>
  <w:abstractNum w:abstractNumId="4">
    <w:nsid w:val="22221A70"/>
    <w:multiLevelType w:val="hybridMultilevel"/>
    <w:lvl w:ilvl="0">
      <w:lvlJc w:val="left"/>
      <w:lvlText w:val="(%1)"/>
      <w:numFmt w:val="decimal"/>
      <w:start w:val="1"/>
    </w:lvl>
  </w:abstractNum>
  <w:abstractNum w:abstractNumId="5">
    <w:nsid w:val="4516DDE9"/>
    <w:multiLevelType w:val="hybridMultilevel"/>
    <w:lvl w:ilvl="0">
      <w:lvlJc w:val="left"/>
      <w:lvlText w:val="(%1)"/>
      <w:numFmt w:val="decimal"/>
      <w:start w:val="1"/>
    </w:lvl>
  </w:abstractNum>
  <w:abstractNum w:abstractNumId="6">
    <w:nsid w:val="3006C83E"/>
    <w:multiLevelType w:val="hybridMultilevel"/>
    <w:lvl w:ilvl="0">
      <w:lvlJc w:val="left"/>
      <w:lvlText w:val="(%1)"/>
      <w:numFmt w:val="decimal"/>
      <w:start w:val="1"/>
    </w:lvl>
  </w:abstractNum>
  <w:abstractNum w:abstractNumId="7">
    <w:nsid w:val="614FD4A1"/>
    <w:multiLevelType w:val="hybridMultilevel"/>
    <w:lvl w:ilvl="0">
      <w:lvlJc w:val="left"/>
      <w:lvlText w:val="(%1)"/>
      <w:numFmt w:val="decimal"/>
      <w:start w:val="1"/>
    </w:lvl>
  </w:abstractNum>
  <w:abstractNum w:abstractNumId="8">
    <w:nsid w:val="419AC241"/>
    <w:multiLevelType w:val="hybridMultilevel"/>
    <w:lvl w:ilvl="0">
      <w:lvlJc w:val="left"/>
      <w:lvlText w:val="•"/>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1)"/>
      <w:numFmt w:val="decimal"/>
      <w:start w:val="1"/>
    </w:lvl>
  </w:abstractNum>
  <w:abstractNum w:abstractNumId="11">
    <w:nsid w:val="5072367"/>
    <w:multiLevelType w:val="hybridMultilevel"/>
    <w:lvl w:ilvl="0">
      <w:lvlJc w:val="left"/>
      <w:lvlText w:val="(%1)"/>
      <w:numFmt w:val="decimal"/>
      <w:start w:val="1"/>
    </w:lvl>
  </w:abstractNum>
  <w:abstractNum w:abstractNumId="12">
    <w:nsid w:val="3804823E"/>
    <w:multiLevelType w:val="hybridMultilevel"/>
    <w:lvl w:ilvl="0">
      <w:lvlJc w:val="left"/>
      <w:lvlText w:val="(%1)"/>
      <w:numFmt w:val="decimal"/>
      <w:start w:val="1"/>
    </w:lvl>
  </w:abstractNum>
  <w:abstractNum w:abstractNumId="13">
    <w:nsid w:val="77465F01"/>
    <w:multiLevelType w:val="hybridMultilevel"/>
    <w:lvl w:ilvl="0">
      <w:lvlJc w:val="left"/>
      <w:lvlText w:val="(%1)"/>
      <w:numFmt w:val="decimal"/>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1)"/>
      <w:numFmt w:val="decimal"/>
      <w:start w:val="1"/>
    </w:lvl>
  </w:abstractNum>
  <w:abstractNum w:abstractNumId="18">
    <w:nsid w:val="51EAD36B"/>
    <w:multiLevelType w:val="hybridMultilevel"/>
    <w:lvl w:ilvl="0">
      <w:lvlJc w:val="left"/>
      <w:lvlText w:val="(%1)"/>
      <w:numFmt w:val="decimal"/>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1)"/>
      <w:numFmt w:val="decimal"/>
      <w:start w:val="1"/>
    </w:lvl>
  </w:abstractNum>
  <w:abstractNum w:abstractNumId="26">
    <w:nsid w:val="1D4ED43B"/>
    <w:multiLevelType w:val="hybridMultilevel"/>
    <w:lvl w:ilvl="0">
      <w:lvlJc w:val="left"/>
      <w:lvlText w:val="(%1)"/>
      <w:numFmt w:val="decimal"/>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
      <w:numFmt w:val="bullet"/>
      <w:start w:val="1"/>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1)"/>
      <w:numFmt w:val="decimal"/>
      <w:start w:val="1"/>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lowerRoman"/>
      <w:start w:val="3"/>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amp;"/>
      <w:numFmt w:val="bullet"/>
      <w:start w:val="1"/>
    </w:lvl>
  </w:abstractNum>
  <w:abstractNum w:abstractNumId="45">
    <w:nsid w:val="70C6A529"/>
    <w:multiLevelType w:val="hybridMultilevel"/>
    <w:lvl w:ilvl="0">
      <w:lvlJc w:val="left"/>
      <w:lvlText w:val="(%1)"/>
      <w:numFmt w:val="lowerLetter"/>
      <w:start w:val="2"/>
    </w:lvl>
  </w:abstractNum>
  <w:abstractNum w:abstractNumId="46">
    <w:nsid w:val="520EEDD1"/>
    <w:multiLevelType w:val="hybridMultilevel"/>
    <w:lvl w:ilvl="0">
      <w:lvlJc w:val="left"/>
      <w:lvlText w:val="(%1)"/>
      <w:numFmt w:val="lowerLetter"/>
      <w:start w:val="2"/>
    </w:lvl>
  </w:abstractNum>
  <w:abstractNum w:abstractNumId="47">
    <w:nsid w:val="374A3FE6"/>
    <w:multiLevelType w:val="hybridMultilevel"/>
    <w:lvl w:ilvl="0">
      <w:lvlJc w:val="left"/>
      <w:lvlText w:val="(%1)"/>
      <w:numFmt w:val="lowerLetter"/>
      <w:start w:val="2"/>
    </w:lvl>
  </w:abstractNum>
  <w:abstractNum w:abstractNumId="48">
    <w:nsid w:val="4F4EF005"/>
    <w:multiLevelType w:val="hybridMultilevel"/>
    <w:lvl w:ilvl="0">
      <w:lvlJc w:val="left"/>
      <w:lvlText w:val="(%1)"/>
      <w:numFmt w:val="lowerLetter"/>
      <w:start w:val="2"/>
    </w:lvl>
  </w:abstractNum>
  <w:abstractNum w:abstractNumId="49">
    <w:nsid w:val="23F9C13C"/>
    <w:multiLevelType w:val="hybridMultilevel"/>
    <w:lvl w:ilvl="0">
      <w:lvlJc w:val="left"/>
      <w:lvlText w:val="(%1)"/>
      <w:numFmt w:val="lowerLetter"/>
      <w:start w:val="2"/>
    </w:lvl>
  </w:abstractNum>
  <w:abstractNum w:abstractNumId="50">
    <w:nsid w:val="649BB77C"/>
    <w:multiLevelType w:val="hybridMultilevel"/>
    <w:lvl w:ilvl="0">
      <w:lvlJc w:val="left"/>
      <w:lvlText w:val="(%1)"/>
      <w:numFmt w:val="lowerLetter"/>
      <w:start w:val="2"/>
    </w:lvl>
  </w:abstractNum>
  <w:abstractNum w:abstractNumId="51">
    <w:nsid w:val="275AC794"/>
    <w:multiLevelType w:val="hybridMultilevel"/>
    <w:lvl w:ilvl="0">
      <w:lvlJc w:val="left"/>
      <w:lvlText w:val="%1"/>
      <w:numFmt w:val="lowerLetter"/>
      <w:start w:val="1"/>
    </w:lvl>
    <w:lvl w:ilvl="1">
      <w:lvlJc w:val="left"/>
      <w:lvlText w:val="(%2)"/>
      <w:numFmt w:val="lowerLetter"/>
      <w:start w:val="2"/>
    </w:lvl>
  </w:abstractNum>
  <w:abstractNum w:abstractNumId="52">
    <w:nsid w:val="39386575"/>
    <w:multiLevelType w:val="hybridMultilevel"/>
    <w:lvl w:ilvl="0">
      <w:lvlJc w:val="left"/>
      <w:lvlText w:val="(%1)"/>
      <w:numFmt w:val="lowerLetter"/>
      <w:start w:val="35"/>
    </w:lvl>
    <w:lvl w:ilvl="1">
      <w:lvlJc w:val="left"/>
      <w:lvlText w:val="%2"/>
      <w:numFmt w:val="lowerLetter"/>
      <w:start w:val="1"/>
    </w:lvl>
  </w:abstractNum>
  <w:abstractNum w:abstractNumId="53">
    <w:nsid w:val="1CF10FD8"/>
    <w:multiLevelType w:val="hybridMultilevel"/>
    <w:lvl w:ilvl="0">
      <w:lvlJc w:val="left"/>
      <w:lvlText w:val="(%1)"/>
      <w:numFmt w:val="lowerLetter"/>
      <w:start w:val="2"/>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lowerLetter"/>
      <w:start w:val="2"/>
    </w:lvl>
    <w:lvl w:ilvl="1">
      <w:lvlJc w:val="left"/>
      <w:lvlText w:val="(%2)"/>
      <w:numFmt w:val="lowerRoman"/>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2019-12-29T10:15:44Z</dcterms:created>
  <dcterms:modified xsi:type="dcterms:W3CDTF">2019-12-29T10:15:44Z</dcterms:modified>
</cp:coreProperties>
</file>