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UNITED STATES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Washington, D.C. 20549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SCHEDULE 14A INFORMATION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Proxy Statement Pursuant to Section 14(a) of the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tabs>
          <w:tab w:leader="none" w:pos="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Securities Exchange Act of 1934 (Amendment No.</w:t>
        <w:tab/>
        <w:t>)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 w:line="161" w:lineRule="exact"/>
        <w:tabs>
          <w:tab w:leader="none" w:pos="1520" w:val="left"/>
          <w:tab w:leader="none" w:pos="2160" w:val="left"/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Check the appropriate box: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280" w:hanging="275"/>
        <w:spacing w:after="0"/>
        <w:tabs>
          <w:tab w:leader="none" w:pos="2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Preliminary Proxy Statement</w:t>
      </w:r>
    </w:p>
    <w:p>
      <w:pPr>
        <w:spacing w:after="0" w:line="93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3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Proxy Statement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Additional Materials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Soliciting Material under §240.14a-12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Marriott Vacations Worldwide Corporation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registrant as specified in its charter)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Payment of Filing Fee (Check all boxes that apply):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00" w:hanging="381"/>
        <w:spacing w:after="0"/>
        <w:tabs>
          <w:tab w:leader="none" w:pos="4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 fee required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0" w:hanging="381"/>
        <w:spacing w:after="0"/>
        <w:tabs>
          <w:tab w:leader="none" w:pos="4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paid previously with preliminary materials</w:t>
      </w:r>
    </w:p>
    <w:p>
      <w:pPr>
        <w:spacing w:after="0" w:line="22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00" w:hanging="381"/>
        <w:spacing w:after="0"/>
        <w:tabs>
          <w:tab w:leader="none" w:pos="4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262255</wp:posOffset>
            </wp:positionV>
            <wp:extent cx="7161530" cy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140970</wp:posOffset>
            </wp:positionV>
            <wp:extent cx="7161530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14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33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2024-03-21T07:59:38Z</dcterms:created>
  <dcterms:modified xsi:type="dcterms:W3CDTF">2024-03-21T07:59:38Z</dcterms:modified>
</cp:coreProperties>
</file>