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left="64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left="640"/>
        <w:spacing w:after="0"/>
        <w:rPr>
          <w:sz w:val="20"/>
          <w:szCs w:val="20"/>
          <w:color w:val="auto"/>
        </w:rPr>
      </w:pPr>
      <w:r>
        <w:rPr>
          <w:rFonts w:ascii="Arial" w:cs="Arial" w:eastAsia="Arial" w:hAnsi="Arial"/>
          <w:sz w:val="22"/>
          <w:szCs w:val="22"/>
          <w:b w:val="1"/>
          <w:bCs w:val="1"/>
          <w:color w:val="auto"/>
        </w:rPr>
        <w:t>WASHINGTON, D.C. 20549</w:t>
      </w:r>
    </w:p>
    <w:p>
      <w:pPr>
        <w:ind w:left="4820"/>
        <w:spacing w:after="0"/>
        <w:rPr>
          <w:sz w:val="20"/>
          <w:szCs w:val="20"/>
          <w:color w:val="auto"/>
        </w:rPr>
      </w:pPr>
      <w:r>
        <w:rPr>
          <w:rFonts w:ascii="Arial" w:cs="Arial" w:eastAsia="Arial" w:hAnsi="Arial"/>
          <w:sz w:val="18"/>
          <w:szCs w:val="18"/>
          <w:color w:val="auto"/>
        </w:rPr>
        <w:t>_________________________</w:t>
      </w:r>
    </w:p>
    <w:p>
      <w:pPr>
        <w:spacing w:after="0" w:line="34" w:lineRule="exact"/>
        <w:rPr>
          <w:sz w:val="24"/>
          <w:szCs w:val="24"/>
          <w:color w:val="auto"/>
        </w:rPr>
      </w:pPr>
    </w:p>
    <w:p>
      <w:pPr>
        <w:jc w:val="center"/>
        <w:ind w:left="640"/>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780"/>
        <w:spacing w:after="0"/>
        <w:rPr>
          <w:sz w:val="20"/>
          <w:szCs w:val="20"/>
          <w:color w:val="auto"/>
        </w:rPr>
      </w:pPr>
      <w:r>
        <w:rPr>
          <w:rFonts w:ascii="Arial" w:cs="Arial" w:eastAsia="Arial" w:hAnsi="Arial"/>
          <w:sz w:val="11"/>
          <w:szCs w:val="11"/>
          <w:color w:val="auto"/>
        </w:rPr>
        <w:t>___________________________________________</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63" w:lineRule="exact"/>
        <w:rPr>
          <w:sz w:val="24"/>
          <w:szCs w:val="24"/>
          <w:color w:val="auto"/>
        </w:rPr>
      </w:pPr>
    </w:p>
    <w:p>
      <w:pPr>
        <w:ind w:left="5820"/>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1" w:lineRule="exact"/>
        <w:rPr>
          <w:sz w:val="24"/>
          <w:szCs w:val="24"/>
          <w:color w:val="auto"/>
        </w:rPr>
      </w:pPr>
    </w:p>
    <w:p>
      <w:pPr>
        <w:ind w:left="3740"/>
        <w:spacing w:after="0"/>
        <w:tabs>
          <w:tab w:leader="none" w:pos="70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3882390</wp:posOffset>
            </wp:positionH>
            <wp:positionV relativeFrom="paragraph">
              <wp:posOffset>-7620</wp:posOffset>
            </wp:positionV>
            <wp:extent cx="1294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43"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Commission file number 001-35219</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_________________________</w:t>
      </w:r>
    </w:p>
    <w:p>
      <w:pPr>
        <w:spacing w:after="0" w:line="33" w:lineRule="exact"/>
        <w:rPr>
          <w:sz w:val="24"/>
          <w:szCs w:val="24"/>
          <w:color w:val="auto"/>
        </w:rPr>
      </w:pPr>
    </w:p>
    <w:p>
      <w:pPr>
        <w:jc w:val="center"/>
        <w:ind w:left="640"/>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50"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_________________________</w:t>
      </w:r>
    </w:p>
    <w:p>
      <w:pPr>
        <w:spacing w:after="0" w:line="112" w:lineRule="exact"/>
        <w:rPr>
          <w:sz w:val="24"/>
          <w:szCs w:val="24"/>
          <w:color w:val="auto"/>
        </w:rPr>
      </w:pPr>
    </w:p>
    <w:tbl>
      <w:tblPr>
        <w:tblLayout w:type="fixed"/>
        <w:tblInd w:w="2000" w:type="dxa"/>
        <w:tblCellMar>
          <w:top w:w="0" w:type="dxa"/>
          <w:left w:w="0" w:type="dxa"/>
          <w:bottom w:w="0" w:type="dxa"/>
          <w:right w:w="0" w:type="dxa"/>
        </w:tblCellMar>
      </w:tblPr>
      <w:tr>
        <w:trPr>
          <w:trHeight w:val="234"/>
        </w:trPr>
        <w:tc>
          <w:tcPr>
            <w:tcW w:w="4160" w:type="dxa"/>
            <w:vAlign w:val="bottom"/>
          </w:tcPr>
          <w:p>
            <w:pPr>
              <w:jc w:val="center"/>
              <w:ind w:right="1121"/>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jc w:val="right"/>
              <w:ind w:right="61"/>
              <w:spacing w:after="0"/>
              <w:rPr>
                <w:sz w:val="20"/>
                <w:szCs w:val="20"/>
                <w:color w:val="auto"/>
              </w:rPr>
            </w:pPr>
            <w:r>
              <w:rPr>
                <w:rFonts w:ascii="Arial" w:cs="Arial" w:eastAsia="Arial" w:hAnsi="Arial"/>
                <w:sz w:val="18"/>
                <w:szCs w:val="18"/>
                <w:b w:val="1"/>
                <w:bCs w:val="1"/>
                <w:color w:val="auto"/>
              </w:rPr>
              <w:t>45-2598330</w:t>
            </w:r>
          </w:p>
        </w:tc>
      </w:tr>
      <w:tr>
        <w:trPr>
          <w:trHeight w:val="216"/>
        </w:trPr>
        <w:tc>
          <w:tcPr>
            <w:tcW w:w="4160" w:type="dxa"/>
            <w:vAlign w:val="bottom"/>
          </w:tcPr>
          <w:p>
            <w:pPr>
              <w:jc w:val="center"/>
              <w:ind w:right="1121"/>
              <w:spacing w:after="0"/>
              <w:rPr>
                <w:sz w:val="20"/>
                <w:szCs w:val="20"/>
                <w:color w:val="auto"/>
              </w:rPr>
            </w:pPr>
            <w:r>
              <w:rPr>
                <w:rFonts w:ascii="Arial" w:cs="Arial" w:eastAsia="Arial" w:hAnsi="Arial"/>
                <w:sz w:val="14"/>
                <w:szCs w:val="14"/>
                <w:b w:val="1"/>
                <w:bCs w:val="1"/>
                <w:color w:val="auto"/>
                <w:w w:val="93"/>
              </w:rPr>
              <w:t>(State or other jurisdiction of</w:t>
            </w:r>
          </w:p>
        </w:tc>
        <w:tc>
          <w:tcPr>
            <w:tcW w:w="2400" w:type="dxa"/>
            <w:vAlign w:val="bottom"/>
          </w:tcPr>
          <w:p>
            <w:pPr>
              <w:jc w:val="center"/>
              <w:ind w:left="12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1121"/>
              <w:spacing w:after="0"/>
              <w:rPr>
                <w:sz w:val="20"/>
                <w:szCs w:val="20"/>
                <w:color w:val="auto"/>
              </w:rPr>
            </w:pPr>
            <w:r>
              <w:rPr>
                <w:rFonts w:ascii="Arial" w:cs="Arial" w:eastAsia="Arial" w:hAnsi="Arial"/>
                <w:sz w:val="14"/>
                <w:szCs w:val="14"/>
                <w:b w:val="1"/>
                <w:bCs w:val="1"/>
                <w:color w:val="auto"/>
                <w:w w:val="94"/>
              </w:rPr>
              <w:t>incorporation or organization)</w:t>
            </w:r>
          </w:p>
        </w:tc>
        <w:tc>
          <w:tcPr>
            <w:tcW w:w="2400" w:type="dxa"/>
            <w:vAlign w:val="bottom"/>
          </w:tcPr>
          <w:p>
            <w:pPr>
              <w:jc w:val="center"/>
              <w:ind w:left="1181"/>
              <w:spacing w:after="0"/>
              <w:rPr>
                <w:sz w:val="20"/>
                <w:szCs w:val="20"/>
                <w:color w:val="auto"/>
              </w:rPr>
            </w:pPr>
            <w:r>
              <w:rPr>
                <w:rFonts w:ascii="Arial" w:cs="Arial" w:eastAsia="Arial" w:hAnsi="Arial"/>
                <w:sz w:val="14"/>
                <w:szCs w:val="14"/>
                <w:b w:val="1"/>
                <w:bCs w:val="1"/>
                <w:color w:val="auto"/>
                <w:w w:val="96"/>
              </w:rPr>
              <w:t>Identification No.)</w:t>
            </w:r>
          </w:p>
        </w:tc>
      </w:tr>
      <w:tr>
        <w:trPr>
          <w:trHeight w:val="250"/>
        </w:trPr>
        <w:tc>
          <w:tcPr>
            <w:tcW w:w="4160" w:type="dxa"/>
            <w:vAlign w:val="bottom"/>
          </w:tcPr>
          <w:p>
            <w:pPr>
              <w:spacing w:after="0"/>
              <w:rPr>
                <w:sz w:val="20"/>
                <w:szCs w:val="20"/>
                <w:color w:val="auto"/>
              </w:rPr>
            </w:pPr>
            <w:r>
              <w:rPr>
                <w:rFonts w:ascii="Arial" w:cs="Arial" w:eastAsia="Arial" w:hAnsi="Arial"/>
                <w:sz w:val="18"/>
                <w:szCs w:val="18"/>
                <w:b w:val="1"/>
                <w:bCs w:val="1"/>
                <w:color w:val="auto"/>
              </w:rPr>
              <w:t>6649 Westwood Blvd.  Orlando  FL</w:t>
            </w:r>
          </w:p>
        </w:tc>
        <w:tc>
          <w:tcPr>
            <w:tcW w:w="2400" w:type="dxa"/>
            <w:vAlign w:val="bottom"/>
          </w:tcPr>
          <w:p>
            <w:pPr>
              <w:jc w:val="right"/>
              <w:ind w:right="261"/>
              <w:spacing w:after="0"/>
              <w:rPr>
                <w:sz w:val="20"/>
                <w:szCs w:val="20"/>
                <w:color w:val="auto"/>
              </w:rPr>
            </w:pPr>
            <w:r>
              <w:rPr>
                <w:rFonts w:ascii="Arial" w:cs="Arial" w:eastAsia="Arial" w:hAnsi="Arial"/>
                <w:sz w:val="18"/>
                <w:szCs w:val="18"/>
                <w:b w:val="1"/>
                <w:bCs w:val="1"/>
                <w:color w:val="auto"/>
              </w:rPr>
              <w:t>32821</w:t>
            </w:r>
          </w:p>
        </w:tc>
      </w:tr>
      <w:tr>
        <w:trPr>
          <w:trHeight w:val="186"/>
        </w:trPr>
        <w:tc>
          <w:tcPr>
            <w:tcW w:w="4160" w:type="dxa"/>
            <w:vAlign w:val="bottom"/>
          </w:tcPr>
          <w:p>
            <w:pPr>
              <w:jc w:val="center"/>
              <w:ind w:right="11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(407) 206-6000</w:t>
      </w:r>
    </w:p>
    <w:p>
      <w:pPr>
        <w:spacing w:after="0" w:line="59"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5"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0"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26" w:lineRule="exact"/>
        <w:rPr>
          <w:sz w:val="24"/>
          <w:szCs w:val="24"/>
          <w:color w:val="auto"/>
        </w:rPr>
      </w:pPr>
    </w:p>
    <w:tbl>
      <w:tblPr>
        <w:tblLayout w:type="fixed"/>
        <w:tblInd w:w="30" w:type="dxa"/>
        <w:tblCellMar>
          <w:top w:w="0" w:type="dxa"/>
          <w:left w:w="0" w:type="dxa"/>
          <w:bottom w:w="0" w:type="dxa"/>
          <w:right w:w="0" w:type="dxa"/>
        </w:tblCellMar>
      </w:tblPr>
      <w:tr>
        <w:trPr>
          <w:trHeight w:val="201"/>
        </w:trPr>
        <w:tc>
          <w:tcPr>
            <w:tcW w:w="3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1"/>
        </w:trPr>
        <w:tc>
          <w:tcPr>
            <w:tcW w:w="3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Common Stock, $0.01 Par Value</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VAC</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New York Stock Exchange</w:t>
            </w:r>
          </w:p>
        </w:tc>
      </w:tr>
    </w:tbl>
    <w:p>
      <w:pPr>
        <w:spacing w:after="0" w:line="144"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ind w:right="120"/>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5" w:lineRule="exact"/>
        <w:rPr>
          <w:sz w:val="24"/>
          <w:szCs w:val="24"/>
          <w:color w:val="auto"/>
        </w:rPr>
      </w:pPr>
    </w:p>
    <w:p>
      <w:pPr>
        <w:jc w:val="both"/>
        <w:ind w:right="14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500" w:type="dxa"/>
        <w:tblCellMar>
          <w:top w:w="0" w:type="dxa"/>
          <w:left w:w="0" w:type="dxa"/>
          <w:bottom w:w="0" w:type="dxa"/>
          <w:right w:w="0" w:type="dxa"/>
        </w:tblCellMar>
      </w:tblPr>
      <w:tr>
        <w:trPr>
          <w:trHeight w:val="209"/>
        </w:trPr>
        <w:tc>
          <w:tcPr>
            <w:tcW w:w="25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0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740"/>
              <w:spacing w:after="0"/>
              <w:rPr>
                <w:sz w:val="20"/>
                <w:szCs w:val="20"/>
                <w:color w:val="auto"/>
              </w:rPr>
            </w:pPr>
            <w:r>
              <w:rPr>
                <w:rFonts w:ascii="Arial" w:cs="Arial" w:eastAsia="Arial" w:hAnsi="Arial"/>
                <w:sz w:val="17"/>
                <w:szCs w:val="17"/>
                <w:color w:val="auto"/>
              </w:rPr>
              <w:t>Accelerated filer</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540" w:type="dxa"/>
            <w:vAlign w:val="bottom"/>
          </w:tcPr>
          <w:p>
            <w:pPr>
              <w:spacing w:after="0"/>
              <w:rPr>
                <w:sz w:val="20"/>
                <w:szCs w:val="20"/>
                <w:color w:val="auto"/>
              </w:rPr>
            </w:pPr>
            <w:r>
              <w:rPr>
                <w:rFonts w:ascii="Arial" w:cs="Arial" w:eastAsia="Arial" w:hAnsi="Arial"/>
                <w:sz w:val="17"/>
                <w:szCs w:val="17"/>
                <w:color w:val="auto"/>
              </w:rPr>
              <w:t>Non-accelerated filer</w:t>
            </w:r>
          </w:p>
        </w:tc>
        <w:tc>
          <w:tcPr>
            <w:tcW w:w="190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740"/>
              <w:spacing w:after="0"/>
              <w:rPr>
                <w:sz w:val="20"/>
                <w:szCs w:val="20"/>
                <w:color w:val="auto"/>
              </w:rPr>
            </w:pPr>
            <w:r>
              <w:rPr>
                <w:rFonts w:ascii="Arial" w:cs="Arial" w:eastAsia="Arial" w:hAnsi="Arial"/>
                <w:sz w:val="17"/>
                <w:szCs w:val="17"/>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60" w:type="dxa"/>
            <w:vAlign w:val="bottom"/>
          </w:tcPr>
          <w:p>
            <w:pPr>
              <w:ind w:left="740"/>
              <w:spacing w:after="0"/>
              <w:rPr>
                <w:sz w:val="20"/>
                <w:szCs w:val="20"/>
                <w:color w:val="auto"/>
              </w:rPr>
            </w:pPr>
            <w:r>
              <w:rPr>
                <w:rFonts w:ascii="Arial" w:cs="Arial" w:eastAsia="Arial" w:hAnsi="Arial"/>
                <w:sz w:val="17"/>
                <w:szCs w:val="17"/>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issuer’s common stock, par value $0.01 per share, as of May 3, 2021 was 42,695,158.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118745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84455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1" w:name="page2"/>
    <w:bookmarkEnd w:id="1"/>
    <w:p>
      <w:pPr>
        <w:jc w:val="center"/>
        <w:ind w:left="6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FORM 10-Q 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Page</w:t>
            </w:r>
          </w:p>
        </w:tc>
      </w:tr>
      <w:tr>
        <w:trPr>
          <w:trHeight w:val="162"/>
        </w:trPr>
        <w:tc>
          <w:tcPr>
            <w:tcW w:w="1180" w:type="dxa"/>
            <w:vAlign w:val="bottom"/>
          </w:tcPr>
          <w:p>
            <w:pPr>
              <w:spacing w:after="0" w:line="142" w:lineRule="exact"/>
              <w:rPr>
                <w:sz w:val="20"/>
                <w:szCs w:val="20"/>
                <w:color w:val="auto"/>
              </w:rPr>
            </w:pPr>
            <w:r>
              <w:rPr>
                <w:rFonts w:ascii="Arial" w:cs="Arial" w:eastAsia="Arial" w:hAnsi="Arial"/>
                <w:sz w:val="16"/>
                <w:szCs w:val="16"/>
                <w:b w:val="1"/>
                <w:bCs w:val="1"/>
                <w:color w:val="auto"/>
              </w:rPr>
              <w:t>Part I.</w:t>
            </w:r>
          </w:p>
        </w:tc>
        <w:tc>
          <w:tcPr>
            <w:tcW w:w="2380" w:type="dxa"/>
            <w:vAlign w:val="bottom"/>
            <w:gridSpan w:val="19"/>
          </w:tcPr>
          <w:p>
            <w:pPr>
              <w:spacing w:after="0" w:line="142" w:lineRule="exact"/>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FINANCIAL INFORMATION</w:t>
              </w:r>
            </w:hyperlink>
          </w:p>
        </w:tc>
        <w:tc>
          <w:tcPr>
            <w:tcW w:w="6600" w:type="dxa"/>
            <w:vAlign w:val="bottom"/>
            <w:gridSpan w:val="13"/>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gridSpan w:val="2"/>
          </w:tcPr>
          <w:p>
            <w:pPr>
              <w:jc w:val="center"/>
              <w:ind w:right="40"/>
              <w:spacing w:after="0" w:line="142" w:lineRule="exact"/>
              <w:rPr>
                <w:rFonts w:ascii="Arial" w:cs="Arial" w:eastAsia="Arial" w:hAnsi="Arial"/>
                <w:sz w:val="16"/>
                <w:szCs w:val="16"/>
                <w:color w:val="0000FF"/>
                <w:w w:val="89"/>
              </w:rPr>
            </w:pPr>
            <w:hyperlink w:anchor="page2">
              <w:r>
                <w:rPr>
                  <w:rFonts w:ascii="Arial" w:cs="Arial" w:eastAsia="Arial" w:hAnsi="Arial"/>
                  <w:sz w:val="16"/>
                  <w:szCs w:val="16"/>
                  <w:color w:val="0000FF"/>
                  <w:w w:val="89"/>
                </w:rPr>
                <w:t>1</w:t>
              </w:r>
            </w:hyperlink>
          </w:p>
        </w:tc>
        <w:tc>
          <w:tcPr>
            <w:tcW w:w="460" w:type="dxa"/>
            <w:vAlign w:val="bottom"/>
          </w:tcPr>
          <w:p>
            <w:pPr>
              <w:spacing w:after="0"/>
              <w:rPr>
                <w:sz w:val="14"/>
                <w:szCs w:val="14"/>
                <w:color w:val="auto"/>
              </w:rPr>
            </w:pPr>
          </w:p>
        </w:tc>
      </w:tr>
      <w:tr>
        <w:trPr>
          <w:trHeight w:val="27"/>
        </w:trPr>
        <w:tc>
          <w:tcPr>
            <w:tcW w:w="118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gridSpan w:val="3"/>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03"/>
        </w:trPr>
        <w:tc>
          <w:tcPr>
            <w:tcW w:w="1180" w:type="dxa"/>
            <w:vAlign w:val="bottom"/>
          </w:tcPr>
          <w:p>
            <w:pPr>
              <w:ind w:left="200"/>
              <w:spacing w:after="0"/>
              <w:rPr>
                <w:sz w:val="20"/>
                <w:szCs w:val="20"/>
                <w:color w:val="auto"/>
              </w:rPr>
            </w:pPr>
            <w:r>
              <w:rPr>
                <w:rFonts w:ascii="Arial" w:cs="Arial" w:eastAsia="Arial" w:hAnsi="Arial"/>
                <w:sz w:val="17"/>
                <w:szCs w:val="17"/>
                <w:color w:val="auto"/>
              </w:rPr>
              <w:t>Item 1.</w:t>
            </w:r>
          </w:p>
        </w:tc>
        <w:tc>
          <w:tcPr>
            <w:tcW w:w="200" w:type="dxa"/>
            <w:vAlign w:val="bottom"/>
          </w:tcPr>
          <w:p>
            <w:pPr>
              <w:spacing w:after="0"/>
              <w:rPr>
                <w:sz w:val="17"/>
                <w:szCs w:val="17"/>
                <w:color w:val="auto"/>
              </w:rPr>
            </w:pPr>
          </w:p>
        </w:tc>
        <w:tc>
          <w:tcPr>
            <w:tcW w:w="1440" w:type="dxa"/>
            <w:vAlign w:val="bottom"/>
            <w:gridSpan w:val="10"/>
          </w:tcPr>
          <w:p>
            <w:pPr>
              <w:spacing w:after="0"/>
              <w:rPr>
                <w:rFonts w:ascii="Arial" w:cs="Arial" w:eastAsia="Arial" w:hAnsi="Arial"/>
                <w:sz w:val="17"/>
                <w:szCs w:val="17"/>
                <w:color w:val="0000FF"/>
                <w:w w:val="89"/>
              </w:rPr>
            </w:pPr>
            <w:hyperlink w:anchor="page3">
              <w:r>
                <w:rPr>
                  <w:rFonts w:ascii="Arial" w:cs="Arial" w:eastAsia="Arial" w:hAnsi="Arial"/>
                  <w:sz w:val="17"/>
                  <w:szCs w:val="17"/>
                  <w:color w:val="0000FF"/>
                  <w:w w:val="89"/>
                </w:rPr>
                <w:t>Financial Statements</w:t>
              </w:r>
            </w:hyperlink>
          </w:p>
        </w:tc>
        <w:tc>
          <w:tcPr>
            <w:tcW w:w="740" w:type="dxa"/>
            <w:vAlign w:val="bottom"/>
            <w:gridSpan w:val="8"/>
          </w:tcPr>
          <w:p>
            <w:pPr>
              <w:spacing w:after="0"/>
              <w:rPr>
                <w:sz w:val="17"/>
                <w:szCs w:val="17"/>
                <w:color w:val="auto"/>
              </w:rPr>
            </w:pPr>
          </w:p>
        </w:tc>
        <w:tc>
          <w:tcPr>
            <w:tcW w:w="6600" w:type="dxa"/>
            <w:vAlign w:val="bottom"/>
            <w:gridSpan w:val="13"/>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gridSpan w:val="2"/>
          </w:tcPr>
          <w:p>
            <w:pPr>
              <w:jc w:val="center"/>
              <w:ind w:right="40"/>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1</w:t>
              </w:r>
            </w:hyperlink>
          </w:p>
        </w:tc>
        <w:tc>
          <w:tcPr>
            <w:tcW w:w="4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40" w:type="dxa"/>
            <w:vAlign w:val="bottom"/>
            <w:gridSpan w:val="30"/>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Interim Consolidated Statements of Income</w:t>
              </w:r>
            </w:hyperlink>
          </w:p>
        </w:tc>
        <w:tc>
          <w:tcPr>
            <w:tcW w:w="600" w:type="dxa"/>
            <w:vAlign w:val="bottom"/>
            <w:gridSpan w:val="3"/>
          </w:tcPr>
          <w:p>
            <w:pPr>
              <w:jc w:val="center"/>
              <w:ind w:left="356"/>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1</w:t>
              </w:r>
            </w:hyperlink>
          </w:p>
        </w:tc>
        <w:tc>
          <w:tcPr>
            <w:tcW w:w="4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40" w:type="dxa"/>
            <w:vAlign w:val="bottom"/>
            <w:gridSpan w:val="30"/>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Interim Consolidated Statements of Comprehensive Income</w:t>
              </w:r>
            </w:hyperlink>
          </w:p>
        </w:tc>
        <w:tc>
          <w:tcPr>
            <w:tcW w:w="600" w:type="dxa"/>
            <w:vAlign w:val="bottom"/>
            <w:gridSpan w:val="3"/>
          </w:tcPr>
          <w:p>
            <w:pPr>
              <w:jc w:val="center"/>
              <w:ind w:left="356"/>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2</w:t>
              </w:r>
            </w:hyperlink>
          </w:p>
        </w:tc>
        <w:tc>
          <w:tcPr>
            <w:tcW w:w="4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21"/>
          </w:tcPr>
          <w:p>
            <w:pPr>
              <w:spacing w:after="0"/>
              <w:rPr>
                <w:rFonts w:ascii="Arial" w:cs="Arial" w:eastAsia="Arial" w:hAnsi="Arial"/>
                <w:sz w:val="17"/>
                <w:szCs w:val="17"/>
                <w:color w:val="0000FF"/>
                <w:w w:val="90"/>
              </w:rPr>
            </w:pPr>
            <w:hyperlink w:anchor="page4">
              <w:r>
                <w:rPr>
                  <w:rFonts w:ascii="Arial" w:cs="Arial" w:eastAsia="Arial" w:hAnsi="Arial"/>
                  <w:sz w:val="17"/>
                  <w:szCs w:val="17"/>
                  <w:color w:val="0000FF"/>
                  <w:w w:val="90"/>
                </w:rPr>
                <w:t>Interim Consolidated Balance Sheets</w:t>
              </w:r>
            </w:hyperlink>
          </w:p>
        </w:tc>
        <w:tc>
          <w:tcPr>
            <w:tcW w:w="1560" w:type="dxa"/>
            <w:vAlign w:val="bottom"/>
            <w:gridSpan w:val="6"/>
          </w:tcPr>
          <w:p>
            <w:pPr>
              <w:spacing w:after="0"/>
              <w:rPr>
                <w:sz w:val="17"/>
                <w:szCs w:val="17"/>
                <w:color w:val="auto"/>
              </w:rPr>
            </w:pPr>
          </w:p>
        </w:tc>
        <w:tc>
          <w:tcPr>
            <w:tcW w:w="444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gridSpan w:val="2"/>
          </w:tcPr>
          <w:p>
            <w:pPr>
              <w:jc w:val="center"/>
              <w:ind w:right="40"/>
              <w:spacing w:after="0"/>
              <w:rPr>
                <w:rFonts w:ascii="Arial" w:cs="Arial" w:eastAsia="Arial" w:hAnsi="Arial"/>
                <w:sz w:val="17"/>
                <w:szCs w:val="17"/>
                <w:color w:val="0000FF"/>
                <w:w w:val="84"/>
              </w:rPr>
            </w:pPr>
            <w:hyperlink w:anchor="page4">
              <w:r>
                <w:rPr>
                  <w:rFonts w:ascii="Arial" w:cs="Arial" w:eastAsia="Arial" w:hAnsi="Arial"/>
                  <w:sz w:val="17"/>
                  <w:szCs w:val="17"/>
                  <w:color w:val="0000FF"/>
                  <w:w w:val="84"/>
                </w:rPr>
                <w:t>3</w:t>
              </w:r>
            </w:hyperlink>
          </w:p>
        </w:tc>
        <w:tc>
          <w:tcPr>
            <w:tcW w:w="4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80" w:type="dxa"/>
            <w:vAlign w:val="bottom"/>
            <w:gridSpan w:val="24"/>
          </w:tcPr>
          <w:p>
            <w:pPr>
              <w:spacing w:after="0"/>
              <w:rPr>
                <w:rFonts w:ascii="Arial" w:cs="Arial" w:eastAsia="Arial" w:hAnsi="Arial"/>
                <w:sz w:val="17"/>
                <w:szCs w:val="17"/>
                <w:color w:val="0000FF"/>
                <w:w w:val="90"/>
              </w:rPr>
            </w:pPr>
            <w:hyperlink w:anchor="page5">
              <w:r>
                <w:rPr>
                  <w:rFonts w:ascii="Arial" w:cs="Arial" w:eastAsia="Arial" w:hAnsi="Arial"/>
                  <w:sz w:val="17"/>
                  <w:szCs w:val="17"/>
                  <w:color w:val="0000FF"/>
                  <w:w w:val="90"/>
                </w:rPr>
                <w:t>Interim Consolidated Statements of Cash Flows</w:t>
              </w:r>
            </w:hyperlink>
          </w:p>
        </w:tc>
        <w:tc>
          <w:tcPr>
            <w:tcW w:w="526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gridSpan w:val="2"/>
          </w:tcPr>
          <w:p>
            <w:pPr>
              <w:jc w:val="center"/>
              <w:ind w:right="40"/>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4</w:t>
              </w:r>
            </w:hyperlink>
          </w:p>
        </w:tc>
        <w:tc>
          <w:tcPr>
            <w:tcW w:w="4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40" w:type="dxa"/>
            <w:vAlign w:val="bottom"/>
            <w:gridSpan w:val="30"/>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Interim Consolidated Statements of Shareholders’ Equity</w:t>
              </w:r>
            </w:hyperlink>
          </w:p>
        </w:tc>
        <w:tc>
          <w:tcPr>
            <w:tcW w:w="600" w:type="dxa"/>
            <w:vAlign w:val="bottom"/>
            <w:gridSpan w:val="3"/>
          </w:tcPr>
          <w:p>
            <w:pPr>
              <w:jc w:val="center"/>
              <w:ind w:left="356"/>
              <w:spacing w:after="0"/>
              <w:rPr>
                <w:rFonts w:ascii="Arial" w:cs="Arial" w:eastAsia="Arial" w:hAnsi="Arial"/>
                <w:sz w:val="17"/>
                <w:szCs w:val="17"/>
                <w:color w:val="0000FF"/>
                <w:w w:val="84"/>
              </w:rPr>
            </w:pPr>
            <w:hyperlink w:anchor="page7">
              <w:r>
                <w:rPr>
                  <w:rFonts w:ascii="Arial" w:cs="Arial" w:eastAsia="Arial" w:hAnsi="Arial"/>
                  <w:sz w:val="17"/>
                  <w:szCs w:val="17"/>
                  <w:color w:val="0000FF"/>
                  <w:w w:val="84"/>
                </w:rPr>
                <w:t>6</w:t>
              </w:r>
            </w:hyperlink>
          </w:p>
        </w:tc>
        <w:tc>
          <w:tcPr>
            <w:tcW w:w="4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40" w:type="dxa"/>
            <w:vAlign w:val="bottom"/>
            <w:gridSpan w:val="26"/>
          </w:tcPr>
          <w:p>
            <w:pPr>
              <w:spacing w:after="0"/>
              <w:rPr>
                <w:rFonts w:ascii="Arial" w:cs="Arial" w:eastAsia="Arial" w:hAnsi="Arial"/>
                <w:sz w:val="17"/>
                <w:szCs w:val="17"/>
                <w:color w:val="0000FF"/>
                <w:w w:val="90"/>
              </w:rPr>
            </w:pPr>
            <w:hyperlink w:anchor="page8">
              <w:r>
                <w:rPr>
                  <w:rFonts w:ascii="Arial" w:cs="Arial" w:eastAsia="Arial" w:hAnsi="Arial"/>
                  <w:sz w:val="17"/>
                  <w:szCs w:val="17"/>
                  <w:color w:val="0000FF"/>
                  <w:w w:val="90"/>
                </w:rPr>
                <w:t>Notes to Interim Consolidated Financial Statements</w:t>
              </w:r>
            </w:hyperlink>
          </w:p>
        </w:tc>
        <w:tc>
          <w:tcPr>
            <w:tcW w:w="524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gridSpan w:val="2"/>
          </w:tcPr>
          <w:p>
            <w:pPr>
              <w:jc w:val="center"/>
              <w:ind w:right="40"/>
              <w:spacing w:after="0"/>
              <w:rPr>
                <w:rFonts w:ascii="Arial" w:cs="Arial" w:eastAsia="Arial" w:hAnsi="Arial"/>
                <w:sz w:val="17"/>
                <w:szCs w:val="17"/>
                <w:color w:val="0000FF"/>
                <w:w w:val="84"/>
              </w:rPr>
            </w:pPr>
            <w:hyperlink w:anchor="page8">
              <w:r>
                <w:rPr>
                  <w:rFonts w:ascii="Arial" w:cs="Arial" w:eastAsia="Arial" w:hAnsi="Arial"/>
                  <w:sz w:val="17"/>
                  <w:szCs w:val="17"/>
                  <w:color w:val="0000FF"/>
                  <w:w w:val="84"/>
                </w:rPr>
                <w:t>7</w:t>
              </w:r>
            </w:hyperlink>
          </w:p>
        </w:tc>
        <w:tc>
          <w:tcPr>
            <w:tcW w:w="4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rFonts w:ascii="Arial" w:cs="Arial" w:eastAsia="Arial" w:hAnsi="Arial"/>
                <w:sz w:val="17"/>
                <w:szCs w:val="17"/>
                <w:color w:val="0000FF"/>
                <w:w w:val="98"/>
              </w:rPr>
            </w:pPr>
            <w:hyperlink w:anchor="page9">
              <w:r>
                <w:rPr>
                  <w:rFonts w:ascii="Arial" w:cs="Arial" w:eastAsia="Arial" w:hAnsi="Arial"/>
                  <w:sz w:val="17"/>
                  <w:szCs w:val="17"/>
                  <w:color w:val="0000FF"/>
                  <w:w w:val="98"/>
                </w:rPr>
                <w:t>1.</w:t>
              </w:r>
            </w:hyperlink>
          </w:p>
        </w:tc>
        <w:tc>
          <w:tcPr>
            <w:tcW w:w="1460" w:type="dxa"/>
            <w:vAlign w:val="bottom"/>
            <w:gridSpan w:val="13"/>
          </w:tcPr>
          <w:p>
            <w:pPr>
              <w:ind w:left="20"/>
              <w:spacing w:after="0"/>
              <w:rPr>
                <w:rFonts w:ascii="Arial" w:cs="Arial" w:eastAsia="Arial" w:hAnsi="Arial"/>
                <w:sz w:val="17"/>
                <w:szCs w:val="17"/>
                <w:color w:val="0000FF"/>
                <w:w w:val="87"/>
              </w:rPr>
            </w:pPr>
            <w:hyperlink w:anchor="page9">
              <w:r>
                <w:rPr>
                  <w:rFonts w:ascii="Arial" w:cs="Arial" w:eastAsia="Arial" w:hAnsi="Arial"/>
                  <w:sz w:val="17"/>
                  <w:szCs w:val="17"/>
                  <w:color w:val="0000FF"/>
                  <w:w w:val="87"/>
                </w:rPr>
                <w:t>Basis of Presentation</w:t>
              </w:r>
            </w:hyperlink>
          </w:p>
        </w:tc>
        <w:tc>
          <w:tcPr>
            <w:tcW w:w="1680" w:type="dxa"/>
            <w:vAlign w:val="bottom"/>
            <w:gridSpan w:val="11"/>
          </w:tcPr>
          <w:p>
            <w:pPr>
              <w:spacing w:after="0"/>
              <w:rPr>
                <w:sz w:val="17"/>
                <w:szCs w:val="17"/>
                <w:color w:val="auto"/>
              </w:rPr>
            </w:pPr>
          </w:p>
        </w:tc>
        <w:tc>
          <w:tcPr>
            <w:tcW w:w="524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gridSpan w:val="2"/>
          </w:tcPr>
          <w:p>
            <w:pPr>
              <w:jc w:val="center"/>
              <w:ind w:right="40"/>
              <w:spacing w:after="0"/>
              <w:rPr>
                <w:rFonts w:ascii="Arial" w:cs="Arial" w:eastAsia="Arial" w:hAnsi="Arial"/>
                <w:sz w:val="17"/>
                <w:szCs w:val="17"/>
                <w:color w:val="0000FF"/>
                <w:w w:val="84"/>
              </w:rPr>
            </w:pPr>
            <w:hyperlink w:anchor="page9">
              <w:r>
                <w:rPr>
                  <w:rFonts w:ascii="Arial" w:cs="Arial" w:eastAsia="Arial" w:hAnsi="Arial"/>
                  <w:sz w:val="17"/>
                  <w:szCs w:val="17"/>
                  <w:color w:val="0000FF"/>
                  <w:w w:val="84"/>
                </w:rPr>
                <w:t>7</w:t>
              </w:r>
            </w:hyperlink>
          </w:p>
        </w:tc>
        <w:tc>
          <w:tcPr>
            <w:tcW w:w="4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60" w:type="dxa"/>
            <w:vAlign w:val="bottom"/>
          </w:tcPr>
          <w:p>
            <w:pPr>
              <w:spacing w:after="0"/>
              <w:rPr>
                <w:rFonts w:ascii="Arial" w:cs="Arial" w:eastAsia="Arial" w:hAnsi="Arial"/>
                <w:sz w:val="17"/>
                <w:szCs w:val="17"/>
                <w:color w:val="0000FF"/>
                <w:w w:val="98"/>
              </w:rPr>
            </w:pPr>
            <w:hyperlink w:anchor="page9">
              <w:r>
                <w:rPr>
                  <w:rFonts w:ascii="Arial" w:cs="Arial" w:eastAsia="Arial" w:hAnsi="Arial"/>
                  <w:sz w:val="17"/>
                  <w:szCs w:val="17"/>
                  <w:color w:val="0000FF"/>
                  <w:w w:val="98"/>
                </w:rPr>
                <w:t>2.</w:t>
              </w:r>
            </w:hyperlink>
          </w:p>
        </w:tc>
        <w:tc>
          <w:tcPr>
            <w:tcW w:w="4560" w:type="dxa"/>
            <w:vAlign w:val="bottom"/>
            <w:gridSpan w:val="27"/>
          </w:tcPr>
          <w:p>
            <w:pPr>
              <w:ind w:left="20"/>
              <w:spacing w:after="0"/>
              <w:rPr>
                <w:rFonts w:ascii="Arial" w:cs="Arial" w:eastAsia="Arial" w:hAnsi="Arial"/>
                <w:sz w:val="17"/>
                <w:szCs w:val="17"/>
                <w:color w:val="0000FF"/>
                <w:w w:val="91"/>
              </w:rPr>
            </w:pPr>
            <w:hyperlink w:anchor="page9">
              <w:r>
                <w:rPr>
                  <w:rFonts w:ascii="Arial" w:cs="Arial" w:eastAsia="Arial" w:hAnsi="Arial"/>
                  <w:sz w:val="17"/>
                  <w:szCs w:val="17"/>
                  <w:color w:val="0000FF"/>
                  <w:w w:val="91"/>
                </w:rPr>
                <w:t>Significant Accounting Policies and Recent Accounting Standards</w:t>
              </w:r>
            </w:hyperlink>
          </w:p>
        </w:tc>
        <w:tc>
          <w:tcPr>
            <w:tcW w:w="38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gridSpan w:val="2"/>
          </w:tcPr>
          <w:p>
            <w:pPr>
              <w:jc w:val="center"/>
              <w:ind w:right="40"/>
              <w:spacing w:after="0"/>
              <w:rPr>
                <w:rFonts w:ascii="Arial" w:cs="Arial" w:eastAsia="Arial" w:hAnsi="Arial"/>
                <w:sz w:val="17"/>
                <w:szCs w:val="17"/>
                <w:color w:val="0000FF"/>
                <w:w w:val="84"/>
              </w:rPr>
            </w:pPr>
            <w:hyperlink w:anchor="page9">
              <w:r>
                <w:rPr>
                  <w:rFonts w:ascii="Arial" w:cs="Arial" w:eastAsia="Arial" w:hAnsi="Arial"/>
                  <w:sz w:val="17"/>
                  <w:szCs w:val="17"/>
                  <w:color w:val="0000FF"/>
                  <w:w w:val="84"/>
                </w:rPr>
                <w:t>8</w:t>
              </w:r>
            </w:hyperlink>
          </w:p>
        </w:tc>
        <w:tc>
          <w:tcPr>
            <w:tcW w:w="4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60" w:type="dxa"/>
            <w:vAlign w:val="bottom"/>
          </w:tcPr>
          <w:p>
            <w:pPr>
              <w:spacing w:after="0"/>
              <w:rPr>
                <w:rFonts w:ascii="Arial" w:cs="Arial" w:eastAsia="Arial" w:hAnsi="Arial"/>
                <w:sz w:val="17"/>
                <w:szCs w:val="17"/>
                <w:color w:val="0000FF"/>
                <w:w w:val="98"/>
              </w:rPr>
            </w:pPr>
            <w:hyperlink w:anchor="page10">
              <w:r>
                <w:rPr>
                  <w:rFonts w:ascii="Arial" w:cs="Arial" w:eastAsia="Arial" w:hAnsi="Arial"/>
                  <w:sz w:val="17"/>
                  <w:szCs w:val="17"/>
                  <w:color w:val="0000FF"/>
                  <w:w w:val="98"/>
                </w:rPr>
                <w:t>3.</w:t>
              </w:r>
            </w:hyperlink>
          </w:p>
        </w:tc>
        <w:tc>
          <w:tcPr>
            <w:tcW w:w="4560" w:type="dxa"/>
            <w:vAlign w:val="bottom"/>
            <w:gridSpan w:val="27"/>
          </w:tcPr>
          <w:p>
            <w:pPr>
              <w:ind w:left="20"/>
              <w:spacing w:after="0"/>
              <w:rPr>
                <w:rFonts w:ascii="Arial" w:cs="Arial" w:eastAsia="Arial" w:hAnsi="Arial"/>
                <w:sz w:val="17"/>
                <w:szCs w:val="17"/>
                <w:color w:val="0000FF"/>
              </w:rPr>
            </w:pPr>
            <w:hyperlink w:anchor="page10">
              <w:r>
                <w:rPr>
                  <w:rFonts w:ascii="Arial" w:cs="Arial" w:eastAsia="Arial" w:hAnsi="Arial"/>
                  <w:sz w:val="17"/>
                  <w:szCs w:val="17"/>
                  <w:color w:val="0000FF"/>
                </w:rPr>
                <w:t>Acquisitions and Dispositions</w:t>
              </w:r>
            </w:hyperlink>
          </w:p>
        </w:tc>
        <w:tc>
          <w:tcPr>
            <w:tcW w:w="38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gridSpan w:val="2"/>
          </w:tcPr>
          <w:p>
            <w:pPr>
              <w:jc w:val="center"/>
              <w:ind w:right="40"/>
              <w:spacing w:after="0"/>
              <w:rPr>
                <w:rFonts w:ascii="Arial" w:cs="Arial" w:eastAsia="Arial" w:hAnsi="Arial"/>
                <w:sz w:val="17"/>
                <w:szCs w:val="17"/>
                <w:color w:val="0000FF"/>
                <w:w w:val="84"/>
              </w:rPr>
            </w:pPr>
            <w:hyperlink w:anchor="page10">
              <w:r>
                <w:rPr>
                  <w:rFonts w:ascii="Arial" w:cs="Arial" w:eastAsia="Arial" w:hAnsi="Arial"/>
                  <w:sz w:val="17"/>
                  <w:szCs w:val="17"/>
                  <w:color w:val="0000FF"/>
                  <w:w w:val="84"/>
                </w:rPr>
                <w:t>8</w:t>
              </w:r>
            </w:hyperlink>
          </w:p>
        </w:tc>
        <w:tc>
          <w:tcPr>
            <w:tcW w:w="4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60" w:type="dxa"/>
            <w:vAlign w:val="bottom"/>
          </w:tcPr>
          <w:p>
            <w:pPr>
              <w:spacing w:after="0"/>
              <w:rPr>
                <w:rFonts w:ascii="Arial" w:cs="Arial" w:eastAsia="Arial" w:hAnsi="Arial"/>
                <w:sz w:val="17"/>
                <w:szCs w:val="17"/>
                <w:color w:val="0000FF"/>
                <w:w w:val="98"/>
              </w:rPr>
            </w:pPr>
            <w:hyperlink w:anchor="page11">
              <w:r>
                <w:rPr>
                  <w:rFonts w:ascii="Arial" w:cs="Arial" w:eastAsia="Arial" w:hAnsi="Arial"/>
                  <w:sz w:val="17"/>
                  <w:szCs w:val="17"/>
                  <w:color w:val="0000FF"/>
                  <w:w w:val="98"/>
                </w:rPr>
                <w:t>4.</w:t>
              </w:r>
            </w:hyperlink>
          </w:p>
        </w:tc>
        <w:tc>
          <w:tcPr>
            <w:tcW w:w="1780" w:type="dxa"/>
            <w:vAlign w:val="bottom"/>
            <w:gridSpan w:val="16"/>
          </w:tcPr>
          <w:p>
            <w:pPr>
              <w:ind w:left="20"/>
              <w:spacing w:after="0"/>
              <w:rPr>
                <w:rFonts w:ascii="Arial" w:cs="Arial" w:eastAsia="Arial" w:hAnsi="Arial"/>
                <w:sz w:val="17"/>
                <w:szCs w:val="17"/>
                <w:color w:val="0000FF"/>
                <w:w w:val="87"/>
              </w:rPr>
            </w:pPr>
            <w:hyperlink w:anchor="page11">
              <w:r>
                <w:rPr>
                  <w:rFonts w:ascii="Arial" w:cs="Arial" w:eastAsia="Arial" w:hAnsi="Arial"/>
                  <w:sz w:val="17"/>
                  <w:szCs w:val="17"/>
                  <w:color w:val="0000FF"/>
                  <w:w w:val="87"/>
                </w:rPr>
                <w:t>Revenue and Receivables</w:t>
              </w:r>
            </w:hyperlink>
          </w:p>
        </w:tc>
        <w:tc>
          <w:tcPr>
            <w:tcW w:w="280" w:type="dxa"/>
            <w:vAlign w:val="bottom"/>
            <w:gridSpan w:val="3"/>
          </w:tcPr>
          <w:p>
            <w:pPr>
              <w:spacing w:after="0"/>
              <w:rPr>
                <w:sz w:val="17"/>
                <w:szCs w:val="17"/>
                <w:color w:val="auto"/>
              </w:rPr>
            </w:pPr>
          </w:p>
        </w:tc>
        <w:tc>
          <w:tcPr>
            <w:tcW w:w="632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gridSpan w:val="2"/>
          </w:tcPr>
          <w:p>
            <w:pPr>
              <w:jc w:val="center"/>
              <w:ind w:right="40"/>
              <w:spacing w:after="0"/>
              <w:rPr>
                <w:rFonts w:ascii="Arial" w:cs="Arial" w:eastAsia="Arial" w:hAnsi="Arial"/>
                <w:sz w:val="17"/>
                <w:szCs w:val="17"/>
                <w:color w:val="0000FF"/>
                <w:w w:val="84"/>
              </w:rPr>
            </w:pPr>
            <w:hyperlink w:anchor="page11">
              <w:r>
                <w:rPr>
                  <w:rFonts w:ascii="Arial" w:cs="Arial" w:eastAsia="Arial" w:hAnsi="Arial"/>
                  <w:sz w:val="17"/>
                  <w:szCs w:val="17"/>
                  <w:color w:val="0000FF"/>
                  <w:w w:val="84"/>
                </w:rPr>
                <w:t>9</w:t>
              </w:r>
            </w:hyperlink>
          </w:p>
        </w:tc>
        <w:tc>
          <w:tcPr>
            <w:tcW w:w="4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60" w:type="dxa"/>
            <w:vAlign w:val="bottom"/>
          </w:tcPr>
          <w:p>
            <w:pPr>
              <w:spacing w:after="0"/>
              <w:rPr>
                <w:rFonts w:ascii="Arial" w:cs="Arial" w:eastAsia="Arial" w:hAnsi="Arial"/>
                <w:sz w:val="17"/>
                <w:szCs w:val="17"/>
                <w:color w:val="0000FF"/>
                <w:w w:val="98"/>
              </w:rPr>
            </w:pPr>
            <w:hyperlink w:anchor="page13">
              <w:r>
                <w:rPr>
                  <w:rFonts w:ascii="Arial" w:cs="Arial" w:eastAsia="Arial" w:hAnsi="Arial"/>
                  <w:sz w:val="17"/>
                  <w:szCs w:val="17"/>
                  <w:color w:val="0000FF"/>
                  <w:w w:val="98"/>
                </w:rPr>
                <w:t>5.</w:t>
              </w:r>
            </w:hyperlink>
          </w:p>
        </w:tc>
        <w:tc>
          <w:tcPr>
            <w:tcW w:w="1780" w:type="dxa"/>
            <w:vAlign w:val="bottom"/>
            <w:gridSpan w:val="16"/>
          </w:tcPr>
          <w:p>
            <w:pPr>
              <w:ind w:left="20"/>
              <w:spacing w:after="0"/>
              <w:rPr>
                <w:rFonts w:ascii="Arial" w:cs="Arial" w:eastAsia="Arial" w:hAnsi="Arial"/>
                <w:sz w:val="17"/>
                <w:szCs w:val="17"/>
                <w:color w:val="0000FF"/>
              </w:rPr>
            </w:pPr>
            <w:hyperlink w:anchor="page13">
              <w:r>
                <w:rPr>
                  <w:rFonts w:ascii="Arial" w:cs="Arial" w:eastAsia="Arial" w:hAnsi="Arial"/>
                  <w:sz w:val="17"/>
                  <w:szCs w:val="17"/>
                  <w:color w:val="0000FF"/>
                </w:rPr>
                <w:t>Income Taxes</w:t>
              </w:r>
            </w:hyperlink>
          </w:p>
        </w:tc>
        <w:tc>
          <w:tcPr>
            <w:tcW w:w="6600" w:type="dxa"/>
            <w:vAlign w:val="bottom"/>
            <w:gridSpan w:val="13"/>
          </w:tcPr>
          <w:p>
            <w:pPr>
              <w:spacing w:after="0"/>
              <w:rPr>
                <w:sz w:val="17"/>
                <w:szCs w:val="17"/>
                <w:color w:val="auto"/>
              </w:rPr>
            </w:pPr>
          </w:p>
        </w:tc>
        <w:tc>
          <w:tcPr>
            <w:tcW w:w="600" w:type="dxa"/>
            <w:vAlign w:val="bottom"/>
            <w:gridSpan w:val="3"/>
          </w:tcPr>
          <w:p>
            <w:pPr>
              <w:jc w:val="center"/>
              <w:ind w:left="356"/>
              <w:spacing w:after="0"/>
              <w:rPr>
                <w:rFonts w:ascii="Arial" w:cs="Arial" w:eastAsia="Arial" w:hAnsi="Arial"/>
                <w:sz w:val="17"/>
                <w:szCs w:val="17"/>
                <w:color w:val="0000FF"/>
                <w:w w:val="84"/>
              </w:rPr>
            </w:pPr>
            <w:hyperlink w:anchor="page13">
              <w:r>
                <w:rPr>
                  <w:rFonts w:ascii="Arial" w:cs="Arial" w:eastAsia="Arial" w:hAnsi="Arial"/>
                  <w:sz w:val="17"/>
                  <w:szCs w:val="17"/>
                  <w:color w:val="0000FF"/>
                  <w:w w:val="84"/>
                </w:rPr>
                <w:t>11</w:t>
              </w:r>
            </w:hyperlink>
          </w:p>
        </w:tc>
        <w:tc>
          <w:tcPr>
            <w:tcW w:w="4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60" w:type="dxa"/>
            <w:vAlign w:val="bottom"/>
          </w:tcPr>
          <w:p>
            <w:pPr>
              <w:spacing w:after="0"/>
              <w:rPr>
                <w:rFonts w:ascii="Arial" w:cs="Arial" w:eastAsia="Arial" w:hAnsi="Arial"/>
                <w:sz w:val="17"/>
                <w:szCs w:val="17"/>
                <w:color w:val="0000FF"/>
                <w:w w:val="98"/>
              </w:rPr>
            </w:pPr>
            <w:hyperlink w:anchor="page14">
              <w:r>
                <w:rPr>
                  <w:rFonts w:ascii="Arial" w:cs="Arial" w:eastAsia="Arial" w:hAnsi="Arial"/>
                  <w:sz w:val="17"/>
                  <w:szCs w:val="17"/>
                  <w:color w:val="0000FF"/>
                  <w:w w:val="98"/>
                </w:rPr>
                <w:t>6.</w:t>
              </w:r>
            </w:hyperlink>
          </w:p>
        </w:tc>
        <w:tc>
          <w:tcPr>
            <w:tcW w:w="8380" w:type="dxa"/>
            <w:vAlign w:val="bottom"/>
            <w:gridSpan w:val="29"/>
          </w:tcPr>
          <w:p>
            <w:pPr>
              <w:ind w:left="20"/>
              <w:spacing w:after="0"/>
              <w:rPr>
                <w:rFonts w:ascii="Arial" w:cs="Arial" w:eastAsia="Arial" w:hAnsi="Arial"/>
                <w:sz w:val="17"/>
                <w:szCs w:val="17"/>
                <w:color w:val="0000FF"/>
              </w:rPr>
            </w:pPr>
            <w:hyperlink w:anchor="page14">
              <w:r>
                <w:rPr>
                  <w:rFonts w:ascii="Arial" w:cs="Arial" w:eastAsia="Arial" w:hAnsi="Arial"/>
                  <w:sz w:val="17"/>
                  <w:szCs w:val="17"/>
                  <w:color w:val="0000FF"/>
                </w:rPr>
                <w:t>Vacation Ownership Notes Receivable</w:t>
              </w:r>
            </w:hyperlink>
          </w:p>
        </w:tc>
        <w:tc>
          <w:tcPr>
            <w:tcW w:w="1060" w:type="dxa"/>
            <w:vAlign w:val="bottom"/>
            <w:gridSpan w:val="4"/>
          </w:tcPr>
          <w:p>
            <w:pPr>
              <w:jc w:val="center"/>
              <w:spacing w:after="0"/>
              <w:rPr>
                <w:rFonts w:ascii="Arial" w:cs="Arial" w:eastAsia="Arial" w:hAnsi="Arial"/>
                <w:sz w:val="17"/>
                <w:szCs w:val="17"/>
                <w:color w:val="0000FF"/>
                <w:w w:val="94"/>
              </w:rPr>
            </w:pPr>
            <w:hyperlink w:anchor="page14">
              <w:r>
                <w:rPr>
                  <w:rFonts w:ascii="Arial" w:cs="Arial" w:eastAsia="Arial" w:hAnsi="Arial"/>
                  <w:sz w:val="17"/>
                  <w:szCs w:val="17"/>
                  <w:color w:val="0000FF"/>
                  <w:w w:val="94"/>
                </w:rPr>
                <w:t>12</w:t>
              </w:r>
            </w:hyperlink>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60" w:type="dxa"/>
            <w:vAlign w:val="bottom"/>
            <w:tcBorders>
              <w:top w:val="single" w:sz="8" w:color="0000FF"/>
            </w:tcBorders>
          </w:tcPr>
          <w:p>
            <w:pPr>
              <w:spacing w:after="0"/>
              <w:rPr>
                <w:rFonts w:ascii="Arial" w:cs="Arial" w:eastAsia="Arial" w:hAnsi="Arial"/>
                <w:sz w:val="17"/>
                <w:szCs w:val="17"/>
                <w:color w:val="0000FF"/>
                <w:w w:val="98"/>
              </w:rPr>
            </w:pPr>
            <w:hyperlink w:anchor="page19">
              <w:r>
                <w:rPr>
                  <w:rFonts w:ascii="Arial" w:cs="Arial" w:eastAsia="Arial" w:hAnsi="Arial"/>
                  <w:sz w:val="17"/>
                  <w:szCs w:val="17"/>
                  <w:color w:val="0000FF"/>
                  <w:w w:val="98"/>
                </w:rPr>
                <w:t>7.</w:t>
              </w:r>
            </w:hyperlink>
          </w:p>
        </w:tc>
        <w:tc>
          <w:tcPr>
            <w:tcW w:w="2640" w:type="dxa"/>
            <w:vAlign w:val="bottom"/>
            <w:tcBorders>
              <w:top w:val="single" w:sz="8" w:color="0000FF"/>
            </w:tcBorders>
            <w:gridSpan w:val="21"/>
          </w:tcPr>
          <w:p>
            <w:pPr>
              <w:ind w:left="20"/>
              <w:spacing w:after="0"/>
              <w:rPr>
                <w:rFonts w:ascii="Arial" w:cs="Arial" w:eastAsia="Arial" w:hAnsi="Arial"/>
                <w:sz w:val="17"/>
                <w:szCs w:val="17"/>
                <w:color w:val="0000FF"/>
              </w:rPr>
            </w:pPr>
            <w:hyperlink w:anchor="page19">
              <w:r>
                <w:rPr>
                  <w:rFonts w:ascii="Arial" w:cs="Arial" w:eastAsia="Arial" w:hAnsi="Arial"/>
                  <w:sz w:val="17"/>
                  <w:szCs w:val="17"/>
                  <w:color w:val="0000FF"/>
                </w:rPr>
                <w:t>Financial Instruments</w:t>
              </w:r>
            </w:hyperlink>
          </w:p>
        </w:tc>
        <w:tc>
          <w:tcPr>
            <w:tcW w:w="574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0000FF"/>
            </w:tcBorders>
            <w:gridSpan w:val="2"/>
          </w:tcPr>
          <w:p>
            <w:pPr>
              <w:jc w:val="center"/>
              <w:spacing w:after="0"/>
              <w:rPr>
                <w:rFonts w:ascii="Arial" w:cs="Arial" w:eastAsia="Arial" w:hAnsi="Arial"/>
                <w:sz w:val="17"/>
                <w:szCs w:val="17"/>
                <w:color w:val="0000FF"/>
                <w:w w:val="73"/>
              </w:rPr>
            </w:pPr>
            <w:hyperlink w:anchor="page19">
              <w:r>
                <w:rPr>
                  <w:rFonts w:ascii="Arial" w:cs="Arial" w:eastAsia="Arial" w:hAnsi="Arial"/>
                  <w:sz w:val="17"/>
                  <w:szCs w:val="17"/>
                  <w:color w:val="0000FF"/>
                  <w:w w:val="73"/>
                </w:rPr>
                <w:t>18</w:t>
              </w:r>
            </w:hyperlink>
          </w:p>
        </w:tc>
        <w:tc>
          <w:tcPr>
            <w:tcW w:w="46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tcPr>
          <w:p>
            <w:pPr>
              <w:spacing w:after="0"/>
              <w:rPr>
                <w:rFonts w:ascii="Arial" w:cs="Arial" w:eastAsia="Arial" w:hAnsi="Arial"/>
                <w:sz w:val="17"/>
                <w:szCs w:val="17"/>
                <w:color w:val="0000FF"/>
                <w:w w:val="98"/>
              </w:rPr>
            </w:pPr>
            <w:hyperlink w:anchor="page21">
              <w:r>
                <w:rPr>
                  <w:rFonts w:ascii="Arial" w:cs="Arial" w:eastAsia="Arial" w:hAnsi="Arial"/>
                  <w:sz w:val="17"/>
                  <w:szCs w:val="17"/>
                  <w:color w:val="0000FF"/>
                  <w:w w:val="98"/>
                </w:rPr>
                <w:t>8.</w:t>
              </w:r>
            </w:hyperlink>
          </w:p>
        </w:tc>
        <w:tc>
          <w:tcPr>
            <w:tcW w:w="1340" w:type="dxa"/>
            <w:vAlign w:val="bottom"/>
            <w:tcBorders>
              <w:top w:val="single" w:sz="8" w:color="0000FF"/>
              <w:bottom w:val="single" w:sz="8" w:color="0000FF"/>
            </w:tcBorders>
            <w:gridSpan w:val="12"/>
          </w:tcPr>
          <w:p>
            <w:pPr>
              <w:ind w:left="20"/>
              <w:spacing w:after="0"/>
              <w:rPr>
                <w:rFonts w:ascii="Arial" w:cs="Arial" w:eastAsia="Arial" w:hAnsi="Arial"/>
                <w:sz w:val="17"/>
                <w:szCs w:val="17"/>
                <w:color w:val="0000FF"/>
                <w:w w:val="87"/>
              </w:rPr>
            </w:pPr>
            <w:hyperlink w:anchor="page21">
              <w:r>
                <w:rPr>
                  <w:rFonts w:ascii="Arial" w:cs="Arial" w:eastAsia="Arial" w:hAnsi="Arial"/>
                  <w:sz w:val="17"/>
                  <w:szCs w:val="17"/>
                  <w:color w:val="0000FF"/>
                  <w:w w:val="87"/>
                </w:rPr>
                <w:t>Earnings Per Share</w:t>
              </w:r>
            </w:hyperlink>
          </w:p>
        </w:tc>
        <w:tc>
          <w:tcPr>
            <w:tcW w:w="200" w:type="dxa"/>
            <w:vAlign w:val="bottom"/>
            <w:tcBorders>
              <w:top w:val="single" w:sz="8" w:color="0000FF"/>
            </w:tcBorders>
            <w:gridSpan w:val="2"/>
          </w:tcPr>
          <w:p>
            <w:pPr>
              <w:spacing w:after="0"/>
              <w:rPr>
                <w:sz w:val="17"/>
                <w:szCs w:val="17"/>
                <w:color w:val="auto"/>
              </w:rPr>
            </w:pPr>
          </w:p>
        </w:tc>
        <w:tc>
          <w:tcPr>
            <w:tcW w:w="684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rFonts w:ascii="Arial" w:cs="Arial" w:eastAsia="Arial" w:hAnsi="Arial"/>
                <w:sz w:val="17"/>
                <w:szCs w:val="17"/>
                <w:color w:val="0000FF"/>
                <w:w w:val="73"/>
              </w:rPr>
            </w:pPr>
            <w:hyperlink w:anchor="page21">
              <w:r>
                <w:rPr>
                  <w:rFonts w:ascii="Arial" w:cs="Arial" w:eastAsia="Arial" w:hAnsi="Arial"/>
                  <w:sz w:val="17"/>
                  <w:szCs w:val="17"/>
                  <w:color w:val="0000FF"/>
                  <w:w w:val="73"/>
                </w:rPr>
                <w:t>19</w:t>
              </w:r>
            </w:hyperlink>
          </w:p>
        </w:tc>
        <w:tc>
          <w:tcPr>
            <w:tcW w:w="46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60" w:type="dxa"/>
            <w:vAlign w:val="bottom"/>
          </w:tcPr>
          <w:p>
            <w:pPr>
              <w:spacing w:after="0"/>
              <w:rPr>
                <w:rFonts w:ascii="Arial" w:cs="Arial" w:eastAsia="Arial" w:hAnsi="Arial"/>
                <w:sz w:val="17"/>
                <w:szCs w:val="17"/>
                <w:color w:val="0000FF"/>
                <w:w w:val="98"/>
              </w:rPr>
            </w:pPr>
            <w:hyperlink w:anchor="page22">
              <w:r>
                <w:rPr>
                  <w:rFonts w:ascii="Arial" w:cs="Arial" w:eastAsia="Arial" w:hAnsi="Arial"/>
                  <w:sz w:val="17"/>
                  <w:szCs w:val="17"/>
                  <w:color w:val="0000FF"/>
                  <w:w w:val="98"/>
                </w:rPr>
                <w:t>9.</w:t>
              </w:r>
            </w:hyperlink>
          </w:p>
        </w:tc>
        <w:tc>
          <w:tcPr>
            <w:tcW w:w="8380" w:type="dxa"/>
            <w:vAlign w:val="bottom"/>
            <w:gridSpan w:val="29"/>
          </w:tcPr>
          <w:p>
            <w:pPr>
              <w:ind w:left="20"/>
              <w:spacing w:after="0"/>
              <w:rPr>
                <w:rFonts w:ascii="Arial" w:cs="Arial" w:eastAsia="Arial" w:hAnsi="Arial"/>
                <w:sz w:val="17"/>
                <w:szCs w:val="17"/>
                <w:color w:val="0000FF"/>
              </w:rPr>
            </w:pPr>
            <w:hyperlink w:anchor="page22">
              <w:r>
                <w:rPr>
                  <w:rFonts w:ascii="Arial" w:cs="Arial" w:eastAsia="Arial" w:hAnsi="Arial"/>
                  <w:sz w:val="17"/>
                  <w:szCs w:val="17"/>
                  <w:color w:val="0000FF"/>
                </w:rPr>
                <w:t>Inventory</w:t>
              </w:r>
            </w:hyperlink>
          </w:p>
        </w:tc>
        <w:tc>
          <w:tcPr>
            <w:tcW w:w="1060" w:type="dxa"/>
            <w:vAlign w:val="bottom"/>
            <w:gridSpan w:val="4"/>
          </w:tcPr>
          <w:p>
            <w:pPr>
              <w:jc w:val="center"/>
              <w:spacing w:after="0"/>
              <w:rPr>
                <w:rFonts w:ascii="Arial" w:cs="Arial" w:eastAsia="Arial" w:hAnsi="Arial"/>
                <w:sz w:val="17"/>
                <w:szCs w:val="17"/>
                <w:color w:val="0000FF"/>
                <w:w w:val="94"/>
              </w:rPr>
            </w:pPr>
            <w:hyperlink w:anchor="page22">
              <w:r>
                <w:rPr>
                  <w:rFonts w:ascii="Arial" w:cs="Arial" w:eastAsia="Arial" w:hAnsi="Arial"/>
                  <w:sz w:val="17"/>
                  <w:szCs w:val="17"/>
                  <w:color w:val="0000FF"/>
                  <w:w w:val="94"/>
                </w:rPr>
                <w:t>21</w:t>
              </w:r>
            </w:hyperlink>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tcBorders>
              <w:bottom w:val="single" w:sz="8" w:color="0000FF"/>
            </w:tcBorders>
            <w:gridSpan w:val="2"/>
          </w:tcPr>
          <w:p>
            <w:pPr>
              <w:spacing w:after="0"/>
              <w:rPr>
                <w:rFonts w:ascii="Arial" w:cs="Arial" w:eastAsia="Arial" w:hAnsi="Arial"/>
                <w:sz w:val="17"/>
                <w:szCs w:val="17"/>
                <w:color w:val="0000FF"/>
                <w:w w:val="92"/>
              </w:rPr>
            </w:pPr>
            <w:hyperlink w:anchor="page23">
              <w:r>
                <w:rPr>
                  <w:rFonts w:ascii="Arial" w:cs="Arial" w:eastAsia="Arial" w:hAnsi="Arial"/>
                  <w:sz w:val="17"/>
                  <w:szCs w:val="17"/>
                  <w:color w:val="0000FF"/>
                  <w:w w:val="92"/>
                </w:rPr>
                <w:t>10.</w:t>
              </w:r>
            </w:hyperlink>
          </w:p>
        </w:tc>
        <w:tc>
          <w:tcPr>
            <w:tcW w:w="1760" w:type="dxa"/>
            <w:vAlign w:val="bottom"/>
            <w:tcBorders>
              <w:bottom w:val="single" w:sz="8" w:color="0000FF"/>
            </w:tcBorders>
            <w:gridSpan w:val="17"/>
          </w:tcPr>
          <w:p>
            <w:pPr>
              <w:ind w:left="20"/>
              <w:spacing w:after="0"/>
              <w:rPr>
                <w:rFonts w:ascii="Arial" w:cs="Arial" w:eastAsia="Arial" w:hAnsi="Arial"/>
                <w:sz w:val="17"/>
                <w:szCs w:val="17"/>
                <w:color w:val="0000FF"/>
                <w:w w:val="92"/>
              </w:rPr>
            </w:pPr>
            <w:hyperlink w:anchor="page23">
              <w:r>
                <w:rPr>
                  <w:rFonts w:ascii="Arial" w:cs="Arial" w:eastAsia="Arial" w:hAnsi="Arial"/>
                  <w:sz w:val="17"/>
                  <w:szCs w:val="17"/>
                  <w:color w:val="0000FF"/>
                  <w:w w:val="92"/>
                </w:rPr>
                <w:t>Goodwill and Intangibles</w:t>
              </w:r>
            </w:hyperlink>
          </w:p>
        </w:tc>
        <w:tc>
          <w:tcPr>
            <w:tcW w:w="654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3">
              <w:r>
                <w:rPr>
                  <w:rFonts w:ascii="Arial" w:cs="Arial" w:eastAsia="Arial" w:hAnsi="Arial"/>
                  <w:sz w:val="17"/>
                  <w:szCs w:val="17"/>
                  <w:color w:val="0000FF"/>
                  <w:w w:val="73"/>
                </w:rPr>
                <w:t>21</w:t>
              </w:r>
            </w:hyperlink>
          </w:p>
        </w:tc>
        <w:tc>
          <w:tcPr>
            <w:tcW w:w="46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tcBorders>
              <w:bottom w:val="single" w:sz="8" w:color="0000FF"/>
            </w:tcBorders>
            <w:gridSpan w:val="21"/>
          </w:tcPr>
          <w:p>
            <w:pPr>
              <w:spacing w:after="0"/>
              <w:rPr>
                <w:rFonts w:ascii="Arial" w:cs="Arial" w:eastAsia="Arial" w:hAnsi="Arial"/>
                <w:sz w:val="17"/>
                <w:szCs w:val="17"/>
                <w:color w:val="0000FF"/>
                <w:w w:val="90"/>
              </w:rPr>
            </w:pPr>
            <w:hyperlink w:anchor="page24">
              <w:r>
                <w:rPr>
                  <w:rFonts w:ascii="Arial" w:cs="Arial" w:eastAsia="Arial" w:hAnsi="Arial"/>
                  <w:sz w:val="17"/>
                  <w:szCs w:val="17"/>
                  <w:color w:val="0000FF"/>
                  <w:w w:val="90"/>
                </w:rPr>
                <w:t>11. Contingencies and Commitments</w:t>
              </w:r>
            </w:hyperlink>
          </w:p>
        </w:tc>
        <w:tc>
          <w:tcPr>
            <w:tcW w:w="600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4">
              <w:r>
                <w:rPr>
                  <w:rFonts w:ascii="Arial" w:cs="Arial" w:eastAsia="Arial" w:hAnsi="Arial"/>
                  <w:sz w:val="17"/>
                  <w:szCs w:val="17"/>
                  <w:color w:val="0000FF"/>
                  <w:w w:val="73"/>
                </w:rPr>
                <w:t>22</w:t>
              </w:r>
            </w:hyperlink>
          </w:p>
        </w:tc>
        <w:tc>
          <w:tcPr>
            <w:tcW w:w="46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gridSpan w:val="2"/>
          </w:tcPr>
          <w:p>
            <w:pPr>
              <w:spacing w:after="0"/>
              <w:rPr>
                <w:rFonts w:ascii="Arial" w:cs="Arial" w:eastAsia="Arial" w:hAnsi="Arial"/>
                <w:sz w:val="17"/>
                <w:szCs w:val="17"/>
                <w:color w:val="0000FF"/>
                <w:w w:val="92"/>
              </w:rPr>
            </w:pPr>
            <w:hyperlink w:anchor="page26">
              <w:r>
                <w:rPr>
                  <w:rFonts w:ascii="Arial" w:cs="Arial" w:eastAsia="Arial" w:hAnsi="Arial"/>
                  <w:sz w:val="17"/>
                  <w:szCs w:val="17"/>
                  <w:color w:val="0000FF"/>
                  <w:w w:val="92"/>
                </w:rPr>
                <w:t>12.</w:t>
              </w:r>
            </w:hyperlink>
          </w:p>
        </w:tc>
        <w:tc>
          <w:tcPr>
            <w:tcW w:w="8300" w:type="dxa"/>
            <w:vAlign w:val="bottom"/>
            <w:gridSpan w:val="28"/>
          </w:tcPr>
          <w:p>
            <w:pPr>
              <w:ind w:left="20"/>
              <w:spacing w:after="0"/>
              <w:rPr>
                <w:rFonts w:ascii="Arial" w:cs="Arial" w:eastAsia="Arial" w:hAnsi="Arial"/>
                <w:sz w:val="17"/>
                <w:szCs w:val="17"/>
                <w:color w:val="0000FF"/>
              </w:rPr>
            </w:pPr>
            <w:hyperlink w:anchor="page26">
              <w:r>
                <w:rPr>
                  <w:rFonts w:ascii="Arial" w:cs="Arial" w:eastAsia="Arial" w:hAnsi="Arial"/>
                  <w:sz w:val="17"/>
                  <w:szCs w:val="17"/>
                  <w:color w:val="0000FF"/>
                </w:rPr>
                <w:t>Securitized Debt</w:t>
              </w:r>
            </w:hyperlink>
          </w:p>
        </w:tc>
        <w:tc>
          <w:tcPr>
            <w:tcW w:w="1060" w:type="dxa"/>
            <w:vAlign w:val="bottom"/>
            <w:gridSpan w:val="4"/>
          </w:tcPr>
          <w:p>
            <w:pPr>
              <w:jc w:val="center"/>
              <w:spacing w:after="0"/>
              <w:rPr>
                <w:rFonts w:ascii="Arial" w:cs="Arial" w:eastAsia="Arial" w:hAnsi="Arial"/>
                <w:sz w:val="17"/>
                <w:szCs w:val="17"/>
                <w:color w:val="0000FF"/>
                <w:w w:val="94"/>
              </w:rPr>
            </w:pPr>
            <w:hyperlink w:anchor="page26">
              <w:r>
                <w:rPr>
                  <w:rFonts w:ascii="Arial" w:cs="Arial" w:eastAsia="Arial" w:hAnsi="Arial"/>
                  <w:sz w:val="17"/>
                  <w:szCs w:val="17"/>
                  <w:color w:val="0000FF"/>
                  <w:w w:val="94"/>
                </w:rPr>
                <w:t>24</w:t>
              </w:r>
            </w:hyperlink>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92"/>
              </w:rPr>
            </w:pPr>
            <w:hyperlink w:anchor="page27">
              <w:r>
                <w:rPr>
                  <w:rFonts w:ascii="Arial" w:cs="Arial" w:eastAsia="Arial" w:hAnsi="Arial"/>
                  <w:sz w:val="17"/>
                  <w:szCs w:val="17"/>
                  <w:color w:val="0000FF"/>
                  <w:w w:val="92"/>
                </w:rPr>
                <w:t>13.</w:t>
              </w:r>
            </w:hyperlink>
          </w:p>
        </w:tc>
        <w:tc>
          <w:tcPr>
            <w:tcW w:w="360" w:type="dxa"/>
            <w:vAlign w:val="bottom"/>
            <w:tcBorders>
              <w:top w:val="single" w:sz="8" w:color="0000FF"/>
              <w:bottom w:val="single" w:sz="8" w:color="0000FF"/>
            </w:tcBorders>
            <w:gridSpan w:val="2"/>
          </w:tcPr>
          <w:p>
            <w:pPr>
              <w:ind w:left="20"/>
              <w:spacing w:after="0"/>
              <w:rPr>
                <w:rFonts w:ascii="Arial" w:cs="Arial" w:eastAsia="Arial" w:hAnsi="Arial"/>
                <w:sz w:val="17"/>
                <w:szCs w:val="17"/>
                <w:color w:val="0000FF"/>
                <w:w w:val="88"/>
              </w:rPr>
            </w:pPr>
            <w:hyperlink w:anchor="page27">
              <w:r>
                <w:rPr>
                  <w:rFonts w:ascii="Arial" w:cs="Arial" w:eastAsia="Arial" w:hAnsi="Arial"/>
                  <w:sz w:val="17"/>
                  <w:szCs w:val="17"/>
                  <w:color w:val="0000FF"/>
                  <w:w w:val="88"/>
                </w:rPr>
                <w:t>Debt</w:t>
              </w:r>
            </w:hyperlink>
          </w:p>
        </w:tc>
        <w:tc>
          <w:tcPr>
            <w:tcW w:w="800" w:type="dxa"/>
            <w:vAlign w:val="bottom"/>
            <w:tcBorders>
              <w:top w:val="single" w:sz="8" w:color="0000FF"/>
            </w:tcBorders>
            <w:gridSpan w:val="6"/>
          </w:tcPr>
          <w:p>
            <w:pPr>
              <w:spacing w:after="0"/>
              <w:rPr>
                <w:sz w:val="17"/>
                <w:szCs w:val="17"/>
                <w:color w:val="auto"/>
              </w:rPr>
            </w:pPr>
          </w:p>
        </w:tc>
        <w:tc>
          <w:tcPr>
            <w:tcW w:w="7140" w:type="dxa"/>
            <w:vAlign w:val="bottom"/>
            <w:gridSpan w:val="20"/>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rFonts w:ascii="Arial" w:cs="Arial" w:eastAsia="Arial" w:hAnsi="Arial"/>
                <w:sz w:val="17"/>
                <w:szCs w:val="17"/>
                <w:color w:val="0000FF"/>
                <w:w w:val="73"/>
              </w:rPr>
            </w:pPr>
            <w:hyperlink w:anchor="page27">
              <w:r>
                <w:rPr>
                  <w:rFonts w:ascii="Arial" w:cs="Arial" w:eastAsia="Arial" w:hAnsi="Arial"/>
                  <w:sz w:val="17"/>
                  <w:szCs w:val="17"/>
                  <w:color w:val="0000FF"/>
                  <w:w w:val="73"/>
                </w:rPr>
                <w:t>25</w:t>
              </w:r>
            </w:hyperlink>
          </w:p>
        </w:tc>
        <w:tc>
          <w:tcPr>
            <w:tcW w:w="46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gridSpan w:val="2"/>
          </w:tcPr>
          <w:p>
            <w:pPr>
              <w:spacing w:after="0"/>
              <w:rPr>
                <w:rFonts w:ascii="Arial" w:cs="Arial" w:eastAsia="Arial" w:hAnsi="Arial"/>
                <w:sz w:val="17"/>
                <w:szCs w:val="17"/>
                <w:color w:val="0000FF"/>
                <w:w w:val="92"/>
              </w:rPr>
            </w:pPr>
            <w:hyperlink w:anchor="page31">
              <w:r>
                <w:rPr>
                  <w:rFonts w:ascii="Arial" w:cs="Arial" w:eastAsia="Arial" w:hAnsi="Arial"/>
                  <w:sz w:val="17"/>
                  <w:szCs w:val="17"/>
                  <w:color w:val="0000FF"/>
                  <w:w w:val="92"/>
                </w:rPr>
                <w:t>14.</w:t>
              </w:r>
            </w:hyperlink>
          </w:p>
        </w:tc>
        <w:tc>
          <w:tcPr>
            <w:tcW w:w="8300" w:type="dxa"/>
            <w:vAlign w:val="bottom"/>
            <w:gridSpan w:val="28"/>
          </w:tcPr>
          <w:p>
            <w:pPr>
              <w:ind w:left="20"/>
              <w:spacing w:after="0"/>
              <w:rPr>
                <w:rFonts w:ascii="Arial" w:cs="Arial" w:eastAsia="Arial" w:hAnsi="Arial"/>
                <w:sz w:val="17"/>
                <w:szCs w:val="17"/>
                <w:color w:val="0000FF"/>
              </w:rPr>
            </w:pPr>
            <w:hyperlink w:anchor="page31">
              <w:r>
                <w:rPr>
                  <w:rFonts w:ascii="Arial" w:cs="Arial" w:eastAsia="Arial" w:hAnsi="Arial"/>
                  <w:sz w:val="17"/>
                  <w:szCs w:val="17"/>
                  <w:color w:val="0000FF"/>
                </w:rPr>
                <w:t>Shareholders’ Equity</w:t>
              </w:r>
            </w:hyperlink>
          </w:p>
        </w:tc>
        <w:tc>
          <w:tcPr>
            <w:tcW w:w="1060" w:type="dxa"/>
            <w:vAlign w:val="bottom"/>
            <w:gridSpan w:val="4"/>
          </w:tcPr>
          <w:p>
            <w:pPr>
              <w:jc w:val="center"/>
              <w:spacing w:after="0"/>
              <w:rPr>
                <w:rFonts w:ascii="Arial" w:cs="Arial" w:eastAsia="Arial" w:hAnsi="Arial"/>
                <w:sz w:val="17"/>
                <w:szCs w:val="17"/>
                <w:color w:val="0000FF"/>
                <w:w w:val="94"/>
              </w:rPr>
            </w:pPr>
            <w:hyperlink w:anchor="page31">
              <w:r>
                <w:rPr>
                  <w:rFonts w:ascii="Arial" w:cs="Arial" w:eastAsia="Arial" w:hAnsi="Arial"/>
                  <w:sz w:val="17"/>
                  <w:szCs w:val="17"/>
                  <w:color w:val="0000FF"/>
                  <w:w w:val="94"/>
                </w:rPr>
                <w:t>30</w:t>
              </w:r>
            </w:hyperlink>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tcBorders>
              <w:bottom w:val="single" w:sz="8" w:color="0000FF"/>
            </w:tcBorders>
            <w:gridSpan w:val="2"/>
          </w:tcPr>
          <w:p>
            <w:pPr>
              <w:spacing w:after="0"/>
              <w:rPr>
                <w:rFonts w:ascii="Arial" w:cs="Arial" w:eastAsia="Arial" w:hAnsi="Arial"/>
                <w:sz w:val="17"/>
                <w:szCs w:val="17"/>
                <w:color w:val="0000FF"/>
                <w:w w:val="92"/>
              </w:rPr>
            </w:pPr>
            <w:hyperlink w:anchor="page32">
              <w:r>
                <w:rPr>
                  <w:rFonts w:ascii="Arial" w:cs="Arial" w:eastAsia="Arial" w:hAnsi="Arial"/>
                  <w:sz w:val="17"/>
                  <w:szCs w:val="17"/>
                  <w:color w:val="0000FF"/>
                  <w:w w:val="92"/>
                </w:rPr>
                <w:t>15.</w:t>
              </w:r>
            </w:hyperlink>
          </w:p>
        </w:tc>
        <w:tc>
          <w:tcPr>
            <w:tcW w:w="1980" w:type="dxa"/>
            <w:vAlign w:val="bottom"/>
            <w:tcBorders>
              <w:bottom w:val="single" w:sz="8" w:color="0000FF"/>
            </w:tcBorders>
            <w:gridSpan w:val="18"/>
          </w:tcPr>
          <w:p>
            <w:pPr>
              <w:ind w:left="20"/>
              <w:spacing w:after="0"/>
              <w:rPr>
                <w:rFonts w:ascii="Arial" w:cs="Arial" w:eastAsia="Arial" w:hAnsi="Arial"/>
                <w:sz w:val="17"/>
                <w:szCs w:val="17"/>
                <w:color w:val="0000FF"/>
                <w:w w:val="89"/>
              </w:rPr>
            </w:pPr>
            <w:hyperlink w:anchor="page32">
              <w:r>
                <w:rPr>
                  <w:rFonts w:ascii="Arial" w:cs="Arial" w:eastAsia="Arial" w:hAnsi="Arial"/>
                  <w:sz w:val="17"/>
                  <w:szCs w:val="17"/>
                  <w:color w:val="0000FF"/>
                  <w:w w:val="89"/>
                </w:rPr>
                <w:t>Share-Based Compensation</w:t>
              </w:r>
            </w:hyperlink>
          </w:p>
        </w:tc>
        <w:tc>
          <w:tcPr>
            <w:tcW w:w="632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2">
              <w:r>
                <w:rPr>
                  <w:rFonts w:ascii="Arial" w:cs="Arial" w:eastAsia="Arial" w:hAnsi="Arial"/>
                  <w:sz w:val="17"/>
                  <w:szCs w:val="17"/>
                  <w:color w:val="0000FF"/>
                  <w:w w:val="73"/>
                </w:rPr>
                <w:t>30</w:t>
              </w:r>
            </w:hyperlink>
          </w:p>
        </w:tc>
        <w:tc>
          <w:tcPr>
            <w:tcW w:w="46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tcBorders>
              <w:bottom w:val="single" w:sz="8" w:color="0000FF"/>
            </w:tcBorders>
            <w:gridSpan w:val="2"/>
          </w:tcPr>
          <w:p>
            <w:pPr>
              <w:spacing w:after="0"/>
              <w:rPr>
                <w:rFonts w:ascii="Arial" w:cs="Arial" w:eastAsia="Arial" w:hAnsi="Arial"/>
                <w:sz w:val="17"/>
                <w:szCs w:val="17"/>
                <w:color w:val="0000FF"/>
                <w:w w:val="92"/>
              </w:rPr>
            </w:pPr>
            <w:hyperlink w:anchor="page33">
              <w:r>
                <w:rPr>
                  <w:rFonts w:ascii="Arial" w:cs="Arial" w:eastAsia="Arial" w:hAnsi="Arial"/>
                  <w:sz w:val="17"/>
                  <w:szCs w:val="17"/>
                  <w:color w:val="0000FF"/>
                  <w:w w:val="92"/>
                </w:rPr>
                <w:t>16.</w:t>
              </w:r>
            </w:hyperlink>
          </w:p>
        </w:tc>
        <w:tc>
          <w:tcPr>
            <w:tcW w:w="1720" w:type="dxa"/>
            <w:vAlign w:val="bottom"/>
            <w:tcBorders>
              <w:bottom w:val="single" w:sz="8" w:color="0000FF"/>
            </w:tcBorders>
            <w:gridSpan w:val="16"/>
          </w:tcPr>
          <w:p>
            <w:pPr>
              <w:ind w:left="20"/>
              <w:spacing w:after="0"/>
              <w:rPr>
                <w:rFonts w:ascii="Arial" w:cs="Arial" w:eastAsia="Arial" w:hAnsi="Arial"/>
                <w:sz w:val="17"/>
                <w:szCs w:val="17"/>
                <w:color w:val="0000FF"/>
                <w:w w:val="91"/>
              </w:rPr>
            </w:pPr>
            <w:hyperlink w:anchor="page33">
              <w:r>
                <w:rPr>
                  <w:rFonts w:ascii="Arial" w:cs="Arial" w:eastAsia="Arial" w:hAnsi="Arial"/>
                  <w:sz w:val="17"/>
                  <w:szCs w:val="17"/>
                  <w:color w:val="0000FF"/>
                  <w:w w:val="91"/>
                </w:rPr>
                <w:t>Variable Interest Entities</w:t>
              </w:r>
            </w:hyperlink>
          </w:p>
        </w:tc>
        <w:tc>
          <w:tcPr>
            <w:tcW w:w="658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3">
              <w:r>
                <w:rPr>
                  <w:rFonts w:ascii="Arial" w:cs="Arial" w:eastAsia="Arial" w:hAnsi="Arial"/>
                  <w:sz w:val="17"/>
                  <w:szCs w:val="17"/>
                  <w:color w:val="0000FF"/>
                  <w:w w:val="73"/>
                </w:rPr>
                <w:t>31</w:t>
              </w:r>
            </w:hyperlink>
          </w:p>
        </w:tc>
        <w:tc>
          <w:tcPr>
            <w:tcW w:w="46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tcBorders>
              <w:bottom w:val="single" w:sz="8" w:color="0000FF"/>
            </w:tcBorders>
            <w:gridSpan w:val="2"/>
          </w:tcPr>
          <w:p>
            <w:pPr>
              <w:spacing w:after="0"/>
              <w:rPr>
                <w:rFonts w:ascii="Arial" w:cs="Arial" w:eastAsia="Arial" w:hAnsi="Arial"/>
                <w:sz w:val="17"/>
                <w:szCs w:val="17"/>
                <w:color w:val="0000FF"/>
                <w:w w:val="92"/>
              </w:rPr>
            </w:pPr>
            <w:hyperlink w:anchor="page35">
              <w:r>
                <w:rPr>
                  <w:rFonts w:ascii="Arial" w:cs="Arial" w:eastAsia="Arial" w:hAnsi="Arial"/>
                  <w:sz w:val="17"/>
                  <w:szCs w:val="17"/>
                  <w:color w:val="0000FF"/>
                  <w:w w:val="92"/>
                </w:rPr>
                <w:t>17.</w:t>
              </w:r>
            </w:hyperlink>
          </w:p>
        </w:tc>
        <w:tc>
          <w:tcPr>
            <w:tcW w:w="1380" w:type="dxa"/>
            <w:vAlign w:val="bottom"/>
            <w:tcBorders>
              <w:bottom w:val="single" w:sz="8" w:color="0000FF"/>
            </w:tcBorders>
            <w:gridSpan w:val="12"/>
          </w:tcPr>
          <w:p>
            <w:pPr>
              <w:ind w:left="20"/>
              <w:spacing w:after="0"/>
              <w:rPr>
                <w:rFonts w:ascii="Arial" w:cs="Arial" w:eastAsia="Arial" w:hAnsi="Arial"/>
                <w:sz w:val="17"/>
                <w:szCs w:val="17"/>
                <w:color w:val="0000FF"/>
                <w:w w:val="87"/>
              </w:rPr>
            </w:pPr>
            <w:hyperlink w:anchor="page35">
              <w:r>
                <w:rPr>
                  <w:rFonts w:ascii="Arial" w:cs="Arial" w:eastAsia="Arial" w:hAnsi="Arial"/>
                  <w:sz w:val="17"/>
                  <w:szCs w:val="17"/>
                  <w:color w:val="0000FF"/>
                  <w:w w:val="87"/>
                </w:rPr>
                <w:t>Business Segments</w:t>
              </w:r>
            </w:hyperlink>
          </w:p>
        </w:tc>
        <w:tc>
          <w:tcPr>
            <w:tcW w:w="6920" w:type="dxa"/>
            <w:vAlign w:val="bottom"/>
            <w:gridSpan w:val="16"/>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5">
              <w:r>
                <w:rPr>
                  <w:rFonts w:ascii="Arial" w:cs="Arial" w:eastAsia="Arial" w:hAnsi="Arial"/>
                  <w:sz w:val="17"/>
                  <w:szCs w:val="17"/>
                  <w:color w:val="0000FF"/>
                  <w:w w:val="73"/>
                </w:rPr>
                <w:t>33</w:t>
              </w:r>
            </w:hyperlink>
          </w:p>
        </w:tc>
        <w:tc>
          <w:tcPr>
            <w:tcW w:w="460" w:type="dxa"/>
            <w:vAlign w:val="bottom"/>
          </w:tcPr>
          <w:p>
            <w:pPr>
              <w:spacing w:after="0"/>
              <w:rPr>
                <w:sz w:val="17"/>
                <w:szCs w:val="17"/>
                <w:color w:val="auto"/>
              </w:rPr>
            </w:pPr>
          </w:p>
        </w:tc>
      </w:tr>
      <w:tr>
        <w:trPr>
          <w:trHeight w:val="196"/>
        </w:trPr>
        <w:tc>
          <w:tcPr>
            <w:tcW w:w="1180" w:type="dxa"/>
            <w:vAlign w:val="bottom"/>
          </w:tcPr>
          <w:p>
            <w:pPr>
              <w:ind w:left="200"/>
              <w:spacing w:after="0"/>
              <w:rPr>
                <w:sz w:val="20"/>
                <w:szCs w:val="20"/>
                <w:color w:val="auto"/>
              </w:rPr>
            </w:pPr>
            <w:r>
              <w:rPr>
                <w:rFonts w:ascii="Arial" w:cs="Arial" w:eastAsia="Arial" w:hAnsi="Arial"/>
                <w:sz w:val="17"/>
                <w:szCs w:val="17"/>
                <w:color w:val="auto"/>
              </w:rPr>
              <w:t>Item 2.</w:t>
            </w:r>
          </w:p>
        </w:tc>
        <w:tc>
          <w:tcPr>
            <w:tcW w:w="200" w:type="dxa"/>
            <w:vAlign w:val="bottom"/>
          </w:tcPr>
          <w:p>
            <w:pPr>
              <w:spacing w:after="0"/>
              <w:rPr>
                <w:sz w:val="17"/>
                <w:szCs w:val="17"/>
                <w:color w:val="auto"/>
              </w:rPr>
            </w:pPr>
          </w:p>
        </w:tc>
        <w:tc>
          <w:tcPr>
            <w:tcW w:w="6140" w:type="dxa"/>
            <w:vAlign w:val="bottom"/>
            <w:tcBorders>
              <w:bottom w:val="single" w:sz="8" w:color="0000FF"/>
            </w:tcBorders>
            <w:gridSpan w:val="30"/>
          </w:tcPr>
          <w:p>
            <w:pPr>
              <w:spacing w:after="0"/>
              <w:rPr>
                <w:rFonts w:ascii="Arial" w:cs="Arial" w:eastAsia="Arial" w:hAnsi="Arial"/>
                <w:sz w:val="17"/>
                <w:szCs w:val="17"/>
                <w:color w:val="0000FF"/>
                <w:w w:val="91"/>
              </w:rPr>
            </w:pPr>
            <w:hyperlink w:anchor="page36">
              <w:r>
                <w:rPr>
                  <w:rFonts w:ascii="Arial" w:cs="Arial" w:eastAsia="Arial" w:hAnsi="Arial"/>
                  <w:sz w:val="17"/>
                  <w:szCs w:val="17"/>
                  <w:color w:val="0000FF"/>
                  <w:w w:val="91"/>
                </w:rPr>
                <w:t>Management’s Discussion and Analysis of Financial Condition and Results of Operations</w:t>
              </w:r>
            </w:hyperlink>
          </w:p>
        </w:tc>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6">
              <w:r>
                <w:rPr>
                  <w:rFonts w:ascii="Arial" w:cs="Arial" w:eastAsia="Arial" w:hAnsi="Arial"/>
                  <w:sz w:val="17"/>
                  <w:szCs w:val="17"/>
                  <w:color w:val="0000FF"/>
                  <w:w w:val="73"/>
                </w:rPr>
                <w:t>35</w:t>
              </w:r>
            </w:hyperlink>
          </w:p>
        </w:tc>
        <w:tc>
          <w:tcPr>
            <w:tcW w:w="460" w:type="dxa"/>
            <w:vAlign w:val="bottom"/>
          </w:tcPr>
          <w:p>
            <w:pPr>
              <w:spacing w:after="0"/>
              <w:rPr>
                <w:sz w:val="17"/>
                <w:szCs w:val="17"/>
                <w:color w:val="auto"/>
              </w:rPr>
            </w:pPr>
          </w:p>
        </w:tc>
      </w:tr>
      <w:tr>
        <w:trPr>
          <w:trHeight w:val="196"/>
        </w:trPr>
        <w:tc>
          <w:tcPr>
            <w:tcW w:w="1180" w:type="dxa"/>
            <w:vAlign w:val="bottom"/>
          </w:tcPr>
          <w:p>
            <w:pPr>
              <w:ind w:left="200"/>
              <w:spacing w:after="0"/>
              <w:rPr>
                <w:sz w:val="20"/>
                <w:szCs w:val="20"/>
                <w:color w:val="auto"/>
              </w:rPr>
            </w:pPr>
            <w:r>
              <w:rPr>
                <w:rFonts w:ascii="Arial" w:cs="Arial" w:eastAsia="Arial" w:hAnsi="Arial"/>
                <w:sz w:val="17"/>
                <w:szCs w:val="17"/>
                <w:color w:val="auto"/>
              </w:rPr>
              <w:t>Item 3.</w:t>
            </w:r>
          </w:p>
        </w:tc>
        <w:tc>
          <w:tcPr>
            <w:tcW w:w="200" w:type="dxa"/>
            <w:vAlign w:val="bottom"/>
          </w:tcPr>
          <w:p>
            <w:pPr>
              <w:spacing w:after="0"/>
              <w:rPr>
                <w:sz w:val="17"/>
                <w:szCs w:val="17"/>
                <w:color w:val="auto"/>
              </w:rPr>
            </w:pPr>
          </w:p>
        </w:tc>
        <w:tc>
          <w:tcPr>
            <w:tcW w:w="8780" w:type="dxa"/>
            <w:vAlign w:val="bottom"/>
            <w:gridSpan w:val="31"/>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Quantitative and Qualitative Disclosures About Market Risk</w:t>
              </w:r>
            </w:hyperlink>
          </w:p>
        </w:tc>
        <w:tc>
          <w:tcPr>
            <w:tcW w:w="1060" w:type="dxa"/>
            <w:vAlign w:val="bottom"/>
            <w:gridSpan w:val="4"/>
          </w:tcPr>
          <w:p>
            <w:pPr>
              <w:jc w:val="center"/>
              <w:spacing w:after="0"/>
              <w:rPr>
                <w:rFonts w:ascii="Arial" w:cs="Arial" w:eastAsia="Arial" w:hAnsi="Arial"/>
                <w:sz w:val="17"/>
                <w:szCs w:val="17"/>
                <w:color w:val="0000FF"/>
                <w:w w:val="94"/>
              </w:rPr>
            </w:pPr>
            <w:hyperlink w:anchor="page59">
              <w:r>
                <w:rPr>
                  <w:rFonts w:ascii="Arial" w:cs="Arial" w:eastAsia="Arial" w:hAnsi="Arial"/>
                  <w:sz w:val="17"/>
                  <w:szCs w:val="17"/>
                  <w:color w:val="0000FF"/>
                  <w:w w:val="94"/>
                </w:rPr>
                <w:t>58</w:t>
              </w:r>
            </w:hyperlink>
          </w:p>
        </w:tc>
      </w:tr>
      <w:tr>
        <w:trPr>
          <w:trHeight w:val="196"/>
        </w:trPr>
        <w:tc>
          <w:tcPr>
            <w:tcW w:w="1180" w:type="dxa"/>
            <w:vAlign w:val="bottom"/>
          </w:tcPr>
          <w:p>
            <w:pPr>
              <w:ind w:left="200"/>
              <w:spacing w:after="0"/>
              <w:rPr>
                <w:sz w:val="20"/>
                <w:szCs w:val="20"/>
                <w:color w:val="auto"/>
              </w:rPr>
            </w:pPr>
            <w:r>
              <w:rPr>
                <w:rFonts w:ascii="Arial" w:cs="Arial" w:eastAsia="Arial" w:hAnsi="Arial"/>
                <w:sz w:val="17"/>
                <w:szCs w:val="17"/>
                <w:color w:val="auto"/>
              </w:rPr>
              <w:t>Item 4.</w:t>
            </w:r>
          </w:p>
        </w:tc>
        <w:tc>
          <w:tcPr>
            <w:tcW w:w="200" w:type="dxa"/>
            <w:vAlign w:val="bottom"/>
          </w:tcPr>
          <w:p>
            <w:pPr>
              <w:spacing w:after="0"/>
              <w:rPr>
                <w:sz w:val="17"/>
                <w:szCs w:val="17"/>
                <w:color w:val="auto"/>
              </w:rPr>
            </w:pPr>
          </w:p>
        </w:tc>
        <w:tc>
          <w:tcPr>
            <w:tcW w:w="4160" w:type="dxa"/>
            <w:vAlign w:val="bottom"/>
            <w:tcBorders>
              <w:top w:val="single" w:sz="8" w:color="0000FF"/>
            </w:tcBorders>
            <w:gridSpan w:val="27"/>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Controls and Procedures</w:t>
              </w:r>
            </w:hyperlink>
          </w:p>
        </w:tc>
        <w:tc>
          <w:tcPr>
            <w:tcW w:w="462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0000FF"/>
            </w:tcBorders>
            <w:gridSpan w:val="2"/>
          </w:tcPr>
          <w:p>
            <w:pPr>
              <w:jc w:val="center"/>
              <w:spacing w:after="0"/>
              <w:rPr>
                <w:rFonts w:ascii="Arial" w:cs="Arial" w:eastAsia="Arial" w:hAnsi="Arial"/>
                <w:sz w:val="17"/>
                <w:szCs w:val="17"/>
                <w:color w:val="0000FF"/>
                <w:w w:val="73"/>
              </w:rPr>
            </w:pPr>
            <w:hyperlink w:anchor="page60">
              <w:r>
                <w:rPr>
                  <w:rFonts w:ascii="Arial" w:cs="Arial" w:eastAsia="Arial" w:hAnsi="Arial"/>
                  <w:sz w:val="17"/>
                  <w:szCs w:val="17"/>
                  <w:color w:val="0000FF"/>
                  <w:w w:val="73"/>
                </w:rPr>
                <w:t>58</w:t>
              </w:r>
            </w:hyperlink>
          </w:p>
        </w:tc>
        <w:tc>
          <w:tcPr>
            <w:tcW w:w="4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60" w:type="dxa"/>
            <w:vAlign w:val="bottom"/>
            <w:gridSpan w:val="18"/>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196"/>
        </w:trPr>
        <w:tc>
          <w:tcPr>
            <w:tcW w:w="118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1920" w:type="dxa"/>
            <w:vAlign w:val="bottom"/>
            <w:tcBorders>
              <w:bottom w:val="single" w:sz="8" w:color="0000FF"/>
            </w:tcBorders>
            <w:gridSpan w:val="14"/>
          </w:tcPr>
          <w:p>
            <w:pPr>
              <w:spacing w:after="0"/>
              <w:rPr>
                <w:rFonts w:ascii="Arial" w:cs="Arial" w:eastAsia="Arial" w:hAnsi="Arial"/>
                <w:sz w:val="17"/>
                <w:szCs w:val="17"/>
                <w:b w:val="1"/>
                <w:bCs w:val="1"/>
                <w:color w:val="0000FF"/>
              </w:rPr>
            </w:pPr>
            <w:hyperlink w:anchor="page60">
              <w:r>
                <w:rPr>
                  <w:rFonts w:ascii="Arial" w:cs="Arial" w:eastAsia="Arial" w:hAnsi="Arial"/>
                  <w:sz w:val="17"/>
                  <w:szCs w:val="17"/>
                  <w:b w:val="1"/>
                  <w:bCs w:val="1"/>
                  <w:color w:val="0000FF"/>
                </w:rPr>
                <w:t>OTHER INFORMATION</w:t>
              </w:r>
            </w:hyperlink>
          </w:p>
        </w:tc>
        <w:tc>
          <w:tcPr>
            <w:tcW w:w="7060" w:type="dxa"/>
            <w:vAlign w:val="bottom"/>
            <w:gridSpan w:val="18"/>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60">
              <w:r>
                <w:rPr>
                  <w:rFonts w:ascii="Arial" w:cs="Arial" w:eastAsia="Arial" w:hAnsi="Arial"/>
                  <w:sz w:val="17"/>
                  <w:szCs w:val="17"/>
                  <w:color w:val="0000FF"/>
                  <w:w w:val="73"/>
                </w:rPr>
                <w:t>58</w:t>
              </w:r>
            </w:hyperlink>
          </w:p>
        </w:tc>
        <w:tc>
          <w:tcPr>
            <w:tcW w:w="460" w:type="dxa"/>
            <w:vAlign w:val="bottom"/>
          </w:tcPr>
          <w:p>
            <w:pPr>
              <w:spacing w:after="0"/>
              <w:rPr>
                <w:sz w:val="17"/>
                <w:szCs w:val="17"/>
                <w:color w:val="auto"/>
              </w:rPr>
            </w:pPr>
          </w:p>
        </w:tc>
      </w:tr>
      <w:tr>
        <w:trPr>
          <w:trHeight w:val="196"/>
        </w:trPr>
        <w:tc>
          <w:tcPr>
            <w:tcW w:w="1180" w:type="dxa"/>
            <w:vAlign w:val="bottom"/>
          </w:tcPr>
          <w:p>
            <w:pPr>
              <w:ind w:left="200"/>
              <w:spacing w:after="0"/>
              <w:rPr>
                <w:sz w:val="20"/>
                <w:szCs w:val="20"/>
                <w:color w:val="auto"/>
              </w:rPr>
            </w:pPr>
            <w:r>
              <w:rPr>
                <w:rFonts w:ascii="Arial" w:cs="Arial" w:eastAsia="Arial" w:hAnsi="Arial"/>
                <w:sz w:val="17"/>
                <w:szCs w:val="17"/>
                <w:color w:val="auto"/>
              </w:rPr>
              <w:t>Item 1.</w:t>
            </w:r>
          </w:p>
        </w:tc>
        <w:tc>
          <w:tcPr>
            <w:tcW w:w="200" w:type="dxa"/>
            <w:vAlign w:val="bottom"/>
          </w:tcPr>
          <w:p>
            <w:pPr>
              <w:spacing w:after="0"/>
              <w:rPr>
                <w:sz w:val="17"/>
                <w:szCs w:val="17"/>
                <w:color w:val="auto"/>
              </w:rPr>
            </w:pPr>
          </w:p>
        </w:tc>
        <w:tc>
          <w:tcPr>
            <w:tcW w:w="8780" w:type="dxa"/>
            <w:vAlign w:val="bottom"/>
            <w:gridSpan w:val="31"/>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Legal Proceedings</w:t>
              </w:r>
            </w:hyperlink>
          </w:p>
        </w:tc>
        <w:tc>
          <w:tcPr>
            <w:tcW w:w="1060" w:type="dxa"/>
            <w:vAlign w:val="bottom"/>
            <w:gridSpan w:val="4"/>
          </w:tcPr>
          <w:p>
            <w:pPr>
              <w:jc w:val="center"/>
              <w:spacing w:after="0"/>
              <w:rPr>
                <w:rFonts w:ascii="Arial" w:cs="Arial" w:eastAsia="Arial" w:hAnsi="Arial"/>
                <w:sz w:val="17"/>
                <w:szCs w:val="17"/>
                <w:color w:val="0000FF"/>
                <w:w w:val="94"/>
              </w:rPr>
            </w:pPr>
            <w:hyperlink w:anchor="page60">
              <w:r>
                <w:rPr>
                  <w:rFonts w:ascii="Arial" w:cs="Arial" w:eastAsia="Arial" w:hAnsi="Arial"/>
                  <w:sz w:val="17"/>
                  <w:szCs w:val="17"/>
                  <w:color w:val="0000FF"/>
                  <w:w w:val="94"/>
                </w:rPr>
                <w:t>58</w:t>
              </w:r>
            </w:hyperlink>
          </w:p>
        </w:tc>
      </w:tr>
      <w:tr>
        <w:trPr>
          <w:trHeight w:val="196"/>
        </w:trPr>
        <w:tc>
          <w:tcPr>
            <w:tcW w:w="1180" w:type="dxa"/>
            <w:vAlign w:val="bottom"/>
          </w:tcPr>
          <w:p>
            <w:pPr>
              <w:ind w:left="200"/>
              <w:spacing w:after="0"/>
              <w:rPr>
                <w:sz w:val="20"/>
                <w:szCs w:val="20"/>
                <w:color w:val="auto"/>
              </w:rPr>
            </w:pPr>
            <w:r>
              <w:rPr>
                <w:rFonts w:ascii="Arial" w:cs="Arial" w:eastAsia="Arial" w:hAnsi="Arial"/>
                <w:sz w:val="17"/>
                <w:szCs w:val="17"/>
                <w:color w:val="auto"/>
              </w:rPr>
              <w:t>Item 1A.</w:t>
            </w:r>
          </w:p>
        </w:tc>
        <w:tc>
          <w:tcPr>
            <w:tcW w:w="200" w:type="dxa"/>
            <w:vAlign w:val="bottom"/>
          </w:tcPr>
          <w:p>
            <w:pPr>
              <w:spacing w:after="0"/>
              <w:rPr>
                <w:sz w:val="17"/>
                <w:szCs w:val="17"/>
                <w:color w:val="auto"/>
              </w:rPr>
            </w:pPr>
          </w:p>
        </w:tc>
        <w:tc>
          <w:tcPr>
            <w:tcW w:w="1260" w:type="dxa"/>
            <w:vAlign w:val="bottom"/>
            <w:tcBorders>
              <w:top w:val="single" w:sz="8" w:color="0000FF"/>
            </w:tcBorders>
            <w:gridSpan w:val="8"/>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Risk Factors</w:t>
              </w:r>
            </w:hyperlink>
          </w:p>
        </w:tc>
        <w:tc>
          <w:tcPr>
            <w:tcW w:w="7520" w:type="dxa"/>
            <w:vAlign w:val="bottom"/>
            <w:gridSpan w:val="23"/>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0000FF"/>
            </w:tcBorders>
            <w:gridSpan w:val="2"/>
          </w:tcPr>
          <w:p>
            <w:pPr>
              <w:jc w:val="center"/>
              <w:spacing w:after="0"/>
              <w:rPr>
                <w:rFonts w:ascii="Arial" w:cs="Arial" w:eastAsia="Arial" w:hAnsi="Arial"/>
                <w:sz w:val="17"/>
                <w:szCs w:val="17"/>
                <w:color w:val="0000FF"/>
                <w:w w:val="73"/>
              </w:rPr>
            </w:pPr>
            <w:hyperlink w:anchor="page60">
              <w:r>
                <w:rPr>
                  <w:rFonts w:ascii="Arial" w:cs="Arial" w:eastAsia="Arial" w:hAnsi="Arial"/>
                  <w:sz w:val="17"/>
                  <w:szCs w:val="17"/>
                  <w:color w:val="0000FF"/>
                  <w:w w:val="73"/>
                </w:rPr>
                <w:t>59</w:t>
              </w:r>
            </w:hyperlink>
          </w:p>
        </w:tc>
        <w:tc>
          <w:tcPr>
            <w:tcW w:w="460" w:type="dxa"/>
            <w:vAlign w:val="bottom"/>
          </w:tcPr>
          <w:p>
            <w:pPr>
              <w:spacing w:after="0"/>
              <w:rPr>
                <w:sz w:val="17"/>
                <w:szCs w:val="17"/>
                <w:color w:val="auto"/>
              </w:rPr>
            </w:pPr>
          </w:p>
        </w:tc>
      </w:tr>
      <w:tr>
        <w:trPr>
          <w:trHeight w:val="196"/>
        </w:trPr>
        <w:tc>
          <w:tcPr>
            <w:tcW w:w="1180" w:type="dxa"/>
            <w:vAlign w:val="bottom"/>
          </w:tcPr>
          <w:p>
            <w:pPr>
              <w:ind w:left="200"/>
              <w:spacing w:after="0"/>
              <w:rPr>
                <w:sz w:val="20"/>
                <w:szCs w:val="20"/>
                <w:color w:val="auto"/>
              </w:rPr>
            </w:pPr>
            <w:r>
              <w:rPr>
                <w:rFonts w:ascii="Arial" w:cs="Arial" w:eastAsia="Arial" w:hAnsi="Arial"/>
                <w:sz w:val="17"/>
                <w:szCs w:val="17"/>
                <w:color w:val="auto"/>
              </w:rPr>
              <w:t>Item 6.</w:t>
            </w:r>
          </w:p>
        </w:tc>
        <w:tc>
          <w:tcPr>
            <w:tcW w:w="200" w:type="dxa"/>
            <w:vAlign w:val="bottom"/>
          </w:tcPr>
          <w:p>
            <w:pPr>
              <w:spacing w:after="0"/>
              <w:rPr>
                <w:sz w:val="17"/>
                <w:szCs w:val="17"/>
                <w:color w:val="auto"/>
              </w:rPr>
            </w:pPr>
          </w:p>
        </w:tc>
        <w:tc>
          <w:tcPr>
            <w:tcW w:w="580" w:type="dxa"/>
            <w:vAlign w:val="bottom"/>
            <w:tcBorders>
              <w:top w:val="single" w:sz="8" w:color="0000FF"/>
              <w:bottom w:val="single" w:sz="8" w:color="0000FF"/>
            </w:tcBorders>
            <w:gridSpan w:val="4"/>
          </w:tcPr>
          <w:p>
            <w:pPr>
              <w:spacing w:after="0"/>
              <w:rPr>
                <w:rFonts w:ascii="Arial" w:cs="Arial" w:eastAsia="Arial" w:hAnsi="Arial"/>
                <w:sz w:val="17"/>
                <w:szCs w:val="17"/>
                <w:color w:val="0000FF"/>
                <w:w w:val="94"/>
              </w:rPr>
            </w:pPr>
            <w:hyperlink w:anchor="page61">
              <w:r>
                <w:rPr>
                  <w:rFonts w:ascii="Arial" w:cs="Arial" w:eastAsia="Arial" w:hAnsi="Arial"/>
                  <w:sz w:val="17"/>
                  <w:szCs w:val="17"/>
                  <w:color w:val="0000FF"/>
                  <w:w w:val="94"/>
                </w:rPr>
                <w:t>Exhibits</w:t>
              </w:r>
            </w:hyperlink>
          </w:p>
        </w:tc>
        <w:tc>
          <w:tcPr>
            <w:tcW w:w="280" w:type="dxa"/>
            <w:vAlign w:val="bottom"/>
            <w:tcBorders>
              <w:top w:val="single" w:sz="8" w:color="0000FF"/>
            </w:tcBorders>
            <w:gridSpan w:val="2"/>
          </w:tcPr>
          <w:p>
            <w:pPr>
              <w:spacing w:after="0"/>
              <w:rPr>
                <w:sz w:val="17"/>
                <w:szCs w:val="17"/>
                <w:color w:val="auto"/>
              </w:rPr>
            </w:pPr>
          </w:p>
        </w:tc>
        <w:tc>
          <w:tcPr>
            <w:tcW w:w="7920" w:type="dxa"/>
            <w:vAlign w:val="bottom"/>
            <w:gridSpan w:val="25"/>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59</w:t>
              </w:r>
            </w:hyperlink>
          </w:p>
        </w:tc>
        <w:tc>
          <w:tcPr>
            <w:tcW w:w="46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8980" w:type="dxa"/>
            <w:vAlign w:val="bottom"/>
            <w:gridSpan w:val="32"/>
          </w:tcPr>
          <w:p>
            <w:pPr>
              <w:spacing w:after="0"/>
              <w:rPr>
                <w:rFonts w:ascii="Arial" w:cs="Arial" w:eastAsia="Arial" w:hAnsi="Arial"/>
                <w:sz w:val="17"/>
                <w:szCs w:val="17"/>
                <w:color w:val="0000FF"/>
              </w:rPr>
            </w:pPr>
            <w:hyperlink w:anchor="page62">
              <w:r>
                <w:rPr>
                  <w:rFonts w:ascii="Arial" w:cs="Arial" w:eastAsia="Arial" w:hAnsi="Arial"/>
                  <w:sz w:val="17"/>
                  <w:szCs w:val="17"/>
                  <w:color w:val="0000FF"/>
                </w:rPr>
                <w:t>SIGNATURES</w:t>
              </w:r>
            </w:hyperlink>
          </w:p>
        </w:tc>
        <w:tc>
          <w:tcPr>
            <w:tcW w:w="1060" w:type="dxa"/>
            <w:vAlign w:val="bottom"/>
            <w:gridSpan w:val="4"/>
          </w:tcPr>
          <w:p>
            <w:pPr>
              <w:jc w:val="center"/>
              <w:spacing w:after="0"/>
              <w:rPr>
                <w:rFonts w:ascii="Arial" w:cs="Arial" w:eastAsia="Arial" w:hAnsi="Arial"/>
                <w:sz w:val="17"/>
                <w:szCs w:val="17"/>
                <w:color w:val="0000FF"/>
                <w:w w:val="94"/>
              </w:rPr>
            </w:pPr>
            <w:hyperlink w:anchor="page62">
              <w:r>
                <w:rPr>
                  <w:rFonts w:ascii="Arial" w:cs="Arial" w:eastAsia="Arial" w:hAnsi="Arial"/>
                  <w:sz w:val="17"/>
                  <w:szCs w:val="17"/>
                  <w:color w:val="0000FF"/>
                  <w:w w:val="94"/>
                </w:rPr>
                <w:t>61</w:t>
              </w:r>
            </w:hyperlink>
          </w:p>
        </w:tc>
      </w:tr>
      <w:tr>
        <w:trPr>
          <w:trHeight w:val="20"/>
        </w:trPr>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bl>
    <w:p>
      <w:pPr>
        <w:spacing w:after="0" w:line="229"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service marks and trade names cited in this report are the property of their respective owners, including those of other companies and organizations. Solely for convenience, trademarks, trade names and service marks referred to in this report may appear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w:t>
      </w:r>
      <w:r>
        <w:rPr>
          <w:rFonts w:ascii="Arial" w:cs="Arial" w:eastAsia="Arial" w:hAnsi="Arial"/>
          <w:sz w:val="9"/>
          <w:szCs w:val="9"/>
          <w:color w:val="auto"/>
        </w:rPr>
        <w:t>TM</w:t>
      </w:r>
      <w:r>
        <w:rPr>
          <w:rFonts w:ascii="Arial" w:cs="Arial" w:eastAsia="Arial" w:hAnsi="Arial"/>
          <w:sz w:val="18"/>
          <w:szCs w:val="18"/>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9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Capitalized terms used and not specifically defined herein have the same meanings given those terms in our Annual Report on Form 10-K for the year ended December 31, 2020 (the “2020 Annual Report”). When discussing our properties or markets, we refer to the United States, Mexico, Central America and the Caribbean as “North America.”</w:t>
      </w:r>
    </w:p>
    <w:p>
      <w:pPr>
        <w:spacing w:after="0" w:line="76"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COVID-19 has caused significant disruptions in international and U.S. economies and markets, and has also had an unprecedented impact on the travel and hospitality industries, as well as the Company. We discuss the impacts of the COVID-19 pandemic and its potential future implications throughout this report; however, the COVID-19 pandemic is evolving and its potential impact on our business in the future remains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6"/>
                <w:szCs w:val="16"/>
                <w:b w:val="1"/>
                <w:bCs w:val="1"/>
                <w:color w:val="auto"/>
                <w:w w:val="96"/>
              </w:rPr>
              <w:t>March 31, 2020</w:t>
            </w:r>
          </w:p>
        </w:tc>
      </w:tr>
      <w:tr>
        <w:trPr>
          <w:trHeight w:val="212"/>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Rental</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10"/>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Marketing and sales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Rental</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Litigation charges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Royalty fee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r>
      <w:tr>
        <w:trPr>
          <w:trHeight w:val="223"/>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(losses) and other income (expense),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 costs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 AND NONCONTROLLING INTERESTS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9"/>
        </w:trPr>
        <w:tc>
          <w:tcPr>
            <w:tcW w:w="8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LOSS PER SHARE ATTRIBUTABLE TO COMMON SHAREHOLDERS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0"/>
        </w:trPr>
        <w:tc>
          <w:tcPr>
            <w:tcW w:w="8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4"/>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CASH DIVIDENDS DECLARED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373"/>
        </w:trPr>
        <w:tc>
          <w:tcPr>
            <w:tcW w:w="8100" w:type="dxa"/>
            <w:vAlign w:val="bottom"/>
          </w:tcPr>
          <w:p>
            <w:pPr>
              <w:ind w:left="3800"/>
              <w:spacing w:after="0"/>
              <w:rPr>
                <w:sz w:val="20"/>
                <w:szCs w:val="20"/>
                <w:color w:val="auto"/>
              </w:rPr>
            </w:pPr>
            <w:r>
              <w:rPr>
                <w:rFonts w:ascii="Arial" w:cs="Arial" w:eastAsia="Arial" w:hAnsi="Arial"/>
                <w:sz w:val="18"/>
                <w:szCs w:val="18"/>
                <w:b w:val="1"/>
                <w:bCs w:val="1"/>
                <w:color w:val="auto"/>
                <w:w w:val="89"/>
              </w:rPr>
              <w:t>See Notes to Interim Consolidated Financial Statements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8"/>
        </w:trPr>
        <w:tc>
          <w:tcPr>
            <w:tcW w:w="8100" w:type="dxa"/>
            <w:vAlign w:val="bottom"/>
          </w:tcPr>
          <w:p>
            <w:pPr>
              <w:ind w:left="59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66"/>
        </w:trPr>
        <w:tc>
          <w:tcPr>
            <w:tcW w:w="8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Pr>
          <w:p>
            <w:pPr>
              <w:spacing w:after="0"/>
              <w:rPr>
                <w:sz w:val="18"/>
                <w:szCs w:val="18"/>
                <w:color w:val="auto"/>
              </w:rPr>
            </w:pPr>
          </w:p>
        </w:tc>
        <w:tc>
          <w:tcPr>
            <w:tcW w:w="1340" w:type="dxa"/>
            <w:vAlign w:val="bottom"/>
          </w:tcPr>
          <w:p>
            <w:pPr>
              <w:jc w:val="right"/>
              <w:ind w:right="131"/>
              <w:spacing w:after="0"/>
              <w:rPr>
                <w:sz w:val="20"/>
                <w:szCs w:val="20"/>
                <w:color w:val="auto"/>
              </w:rPr>
            </w:pPr>
            <w:r>
              <w:rPr>
                <w:rFonts w:ascii="Arial" w:cs="Arial" w:eastAsia="Arial" w:hAnsi="Arial"/>
                <w:sz w:val="16"/>
                <w:szCs w:val="16"/>
                <w:b w:val="1"/>
                <w:bCs w:val="1"/>
                <w:color w:val="auto"/>
                <w:w w:val="96"/>
              </w:rPr>
              <w:t>March 31, 2020</w:t>
            </w:r>
          </w:p>
        </w:tc>
      </w:tr>
      <w:tr>
        <w:trPr>
          <w:trHeight w:val="226"/>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8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instrument adjustment, net of tax</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GAIN (LOSS), NET OF TAX</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0"/>
        </w:trPr>
        <w:tc>
          <w:tcPr>
            <w:tcW w:w="8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Other comprehensive income attributable to noncontrolling interests</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NONCONTROLLING INTERESTS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8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8280" w:type="dxa"/>
            <w:vAlign w:val="bottom"/>
            <w:gridSpan w:val="2"/>
          </w:tcPr>
          <w:p>
            <w:pPr>
              <w:ind w:left="3660"/>
              <w:spacing w:after="0"/>
              <w:rPr>
                <w:sz w:val="20"/>
                <w:szCs w:val="20"/>
                <w:color w:val="auto"/>
              </w:rPr>
            </w:pPr>
            <w:r>
              <w:rPr>
                <w:rFonts w:ascii="Arial" w:cs="Arial" w:eastAsia="Arial" w:hAnsi="Arial"/>
                <w:sz w:val="18"/>
                <w:szCs w:val="18"/>
                <w:b w:val="1"/>
                <w:bCs w:val="1"/>
                <w:color w:val="auto"/>
                <w:w w:val="90"/>
              </w:rPr>
              <w:t>See Notes to the Interim Consolidated Financial Statements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78"/>
        </w:trPr>
        <w:tc>
          <w:tcPr>
            <w:tcW w:w="8100" w:type="dxa"/>
            <w:vAlign w:val="bottom"/>
          </w:tcPr>
          <w:p>
            <w:pPr>
              <w:ind w:left="59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66"/>
        </w:trPr>
        <w:tc>
          <w:tcPr>
            <w:tcW w:w="8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Unaudited</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March 31, 2021</w:t>
            </w:r>
          </w:p>
        </w:tc>
        <w:tc>
          <w:tcPr>
            <w:tcW w:w="180" w:type="dxa"/>
            <w:vAlign w:val="bottom"/>
          </w:tcPr>
          <w:p>
            <w:pPr>
              <w:spacing w:after="0"/>
              <w:rPr>
                <w:sz w:val="19"/>
                <w:szCs w:val="19"/>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2"/>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(including $73 and $68 from VIEs, respectively)</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Accounts receivable, net (including $10 and $11 from VIEs, respectively)</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Vacation ownership notes receivable, net (including $1,338 and $1,493 from VIEs, respectively)</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$56 and $54 from VIEs, respectively)</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deposits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Accrued liabilities (including $1 and $1 from VIEs, respectively)</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Payroll and benefits liability</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Securitized debt, net (including $1,446 and $1,604 from VIEs, respectively)</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net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and Commitments (Note 11)</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2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Common stock — $0.01 par value; 100,000,000 shares authorized; 75,454,906 and 75,279,061 shares</w:t>
            </w:r>
          </w:p>
        </w:tc>
        <w:tc>
          <w:tcPr>
            <w:tcW w:w="24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respectively</w:t>
            </w:r>
          </w:p>
        </w:tc>
        <w:tc>
          <w:tcPr>
            <w:tcW w:w="24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Treasury stock — at cost; 34,182,278 and 34,184,813 shares, respectively</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7480" w:type="dxa"/>
            <w:vAlign w:val="bottom"/>
          </w:tcPr>
          <w:p>
            <w:pPr>
              <w:ind w:left="480"/>
              <w:spacing w:after="0"/>
              <w:rPr>
                <w:sz w:val="20"/>
                <w:szCs w:val="20"/>
                <w:color w:val="auto"/>
              </w:rPr>
            </w:pPr>
            <w:r>
              <w:rPr>
                <w:rFonts w:ascii="Arial" w:cs="Arial" w:eastAsia="Arial" w:hAnsi="Arial"/>
                <w:sz w:val="18"/>
                <w:szCs w:val="18"/>
                <w:b w:val="1"/>
                <w:bCs w:val="1"/>
                <w:color w:val="auto"/>
              </w:rPr>
              <w:t>TOTAL MVW SHAREHOLDERS' EQUITY</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EQUITY</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6"/>
                <w:szCs w:val="16"/>
                <w:b w:val="1"/>
                <w:bCs w:val="1"/>
                <w:color w:val="auto"/>
                <w:w w:val="96"/>
              </w:rPr>
              <w:t>March 31, 2020</w:t>
            </w:r>
          </w:p>
        </w:tc>
      </w:tr>
      <w:tr>
        <w:trPr>
          <w:trHeight w:val="212"/>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loss to net cash, cash equivalents and restricted cash used by operating activities: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60" w:type="dxa"/>
            <w:vAlign w:val="bottom"/>
          </w:tcPr>
          <w:p>
            <w:pPr>
              <w:ind w:left="200"/>
              <w:spacing w:after="0"/>
              <w:rPr>
                <w:sz w:val="20"/>
                <w:szCs w:val="20"/>
                <w:color w:val="auto"/>
              </w:rPr>
            </w:pPr>
            <w:r>
              <w:rPr>
                <w:rFonts w:ascii="Arial" w:cs="Arial" w:eastAsia="Arial" w:hAnsi="Arial"/>
                <w:sz w:val="18"/>
                <w:szCs w:val="18"/>
                <w:color w:val="auto"/>
              </w:rPr>
              <w:t>Depreciation and amortization of intangibles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discount and issuance costs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Vacation ownership notes receivable reserve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060" w:type="dxa"/>
            <w:vAlign w:val="bottom"/>
          </w:tcPr>
          <w:p>
            <w:pPr>
              <w:ind w:left="200"/>
              <w:spacing w:after="0"/>
              <w:rPr>
                <w:sz w:val="20"/>
                <w:szCs w:val="20"/>
                <w:color w:val="auto"/>
              </w:rPr>
            </w:pPr>
            <w:r>
              <w:rPr>
                <w:rFonts w:ascii="Arial" w:cs="Arial" w:eastAsia="Arial" w:hAnsi="Arial"/>
                <w:sz w:val="18"/>
                <w:szCs w:val="18"/>
                <w:color w:val="auto"/>
              </w:rPr>
              <w:t>Impairment charges</w:t>
            </w: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60" w:type="dxa"/>
            <w:vAlign w:val="bottom"/>
          </w:tcPr>
          <w:p>
            <w:pPr>
              <w:ind w:left="200"/>
              <w:spacing w:after="0"/>
              <w:rPr>
                <w:sz w:val="20"/>
                <w:szCs w:val="20"/>
                <w:color w:val="auto"/>
              </w:rPr>
            </w:pPr>
            <w:r>
              <w:rPr>
                <w:rFonts w:ascii="Arial" w:cs="Arial" w:eastAsia="Arial" w:hAnsi="Arial"/>
                <w:sz w:val="18"/>
                <w:szCs w:val="18"/>
                <w:color w:val="auto"/>
              </w:rPr>
              <w:t>Net change in assets and liabilities: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8060" w:type="dxa"/>
            <w:vAlign w:val="bottom"/>
          </w:tcPr>
          <w:p>
            <w:pPr>
              <w:ind w:left="460"/>
              <w:spacing w:after="0"/>
              <w:rPr>
                <w:sz w:val="20"/>
                <w:szCs w:val="20"/>
                <w:color w:val="auto"/>
              </w:rPr>
            </w:pPr>
            <w:r>
              <w:rPr>
                <w:rFonts w:ascii="Arial" w:cs="Arial" w:eastAsia="Arial" w:hAnsi="Arial"/>
                <w:sz w:val="18"/>
                <w:szCs w:val="18"/>
                <w:color w:val="auto"/>
              </w:rPr>
              <w:t>Vacation ownership notes receivable originations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Vacation ownership notes receivable collections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8060" w:type="dxa"/>
            <w:vAlign w:val="bottom"/>
          </w:tcPr>
          <w:p>
            <w:pPr>
              <w:ind w:left="46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06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advance deposits and accrued liabilities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806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Payroll and benefit liabilities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060" w:type="dxa"/>
            <w:vAlign w:val="bottom"/>
          </w:tcPr>
          <w:p>
            <w:pPr>
              <w:ind w:left="460"/>
              <w:spacing w:after="0"/>
              <w:rPr>
                <w:sz w:val="20"/>
                <w:szCs w:val="20"/>
                <w:color w:val="auto"/>
              </w:rPr>
            </w:pPr>
            <w:r>
              <w:rPr>
                <w:rFonts w:ascii="Arial" w:cs="Arial" w:eastAsia="Arial" w:hAnsi="Arial"/>
                <w:sz w:val="18"/>
                <w:szCs w:val="18"/>
                <w:color w:val="auto"/>
              </w:rPr>
              <w:t>Deferred compensation liability</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060" w:type="dxa"/>
            <w:vAlign w:val="bottom"/>
          </w:tcPr>
          <w:p>
            <w:pPr>
              <w:ind w:left="240"/>
              <w:spacing w:after="0"/>
              <w:rPr>
                <w:sz w:val="20"/>
                <w:szCs w:val="20"/>
                <w:color w:val="auto"/>
              </w:rPr>
            </w:pPr>
            <w:r>
              <w:rPr>
                <w:rFonts w:ascii="Arial" w:cs="Arial" w:eastAsia="Arial" w:hAnsi="Arial"/>
                <w:sz w:val="18"/>
                <w:szCs w:val="18"/>
                <w:color w:val="auto"/>
              </w:rPr>
              <w:t>Deconsolidation of certain Consolidated Property Owners' Associations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cash equivalents and restricted cash used in operating activities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company owned life insurance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060" w:type="dxa"/>
            <w:vAlign w:val="bottom"/>
          </w:tcPr>
          <w:p>
            <w:pPr>
              <w:ind w:left="660"/>
              <w:spacing w:after="0"/>
              <w:rPr>
                <w:sz w:val="20"/>
                <w:szCs w:val="20"/>
                <w:color w:val="auto"/>
              </w:rPr>
            </w:pPr>
            <w:r>
              <w:rPr>
                <w:rFonts w:ascii="Arial" w:cs="Arial" w:eastAsia="Arial" w:hAnsi="Arial"/>
                <w:sz w:val="18"/>
                <w:szCs w:val="18"/>
                <w:color w:val="auto"/>
              </w:rPr>
              <w:t>Net cash, cash equivalents and restricted cash used in investing activities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6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CONSOLIDATED STATEMENTS OF CASH FLOWS (CONTINUED)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6"/>
                <w:szCs w:val="16"/>
                <w:b w:val="1"/>
                <w:bCs w:val="1"/>
                <w:color w:val="auto"/>
                <w:w w:val="96"/>
              </w:rPr>
              <w:t>March 31, 2020</w:t>
            </w:r>
          </w:p>
        </w:tc>
      </w:tr>
      <w:tr>
        <w:trPr>
          <w:trHeight w:val="212"/>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Borrowings from securitization transactions</w:t>
            </w: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debt related to securitization transactions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Proceeds from debt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debt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8060" w:type="dxa"/>
            <w:vAlign w:val="bottom"/>
          </w:tcPr>
          <w:p>
            <w:pPr>
              <w:ind w:left="200"/>
              <w:spacing w:after="0"/>
              <w:rPr>
                <w:sz w:val="20"/>
                <w:szCs w:val="20"/>
                <w:color w:val="auto"/>
              </w:rPr>
            </w:pPr>
            <w:r>
              <w:rPr>
                <w:rFonts w:ascii="Arial" w:cs="Arial" w:eastAsia="Arial" w:hAnsi="Arial"/>
                <w:sz w:val="18"/>
                <w:szCs w:val="18"/>
                <w:color w:val="auto"/>
              </w:rPr>
              <w:t>Purchase of convertible note hedges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warrants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tcPr>
          <w:p>
            <w:pPr>
              <w:ind w:left="200"/>
              <w:spacing w:after="0"/>
              <w:rPr>
                <w:sz w:val="20"/>
                <w:szCs w:val="20"/>
                <w:color w:val="auto"/>
              </w:rPr>
            </w:pPr>
            <w:r>
              <w:rPr>
                <w:rFonts w:ascii="Arial" w:cs="Arial" w:eastAsia="Arial" w:hAnsi="Arial"/>
                <w:sz w:val="18"/>
                <w:szCs w:val="18"/>
                <w:color w:val="auto"/>
              </w:rPr>
              <w:t>Finance lease payment</w:t>
            </w: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cash equivalents and restricted cash provided by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23"/>
        </w:trPr>
        <w:tc>
          <w:tcPr>
            <w:tcW w:w="8060" w:type="dxa"/>
            <w:vAlign w:val="bottom"/>
          </w:tcPr>
          <w:p>
            <w:pPr>
              <w:ind w:left="200"/>
              <w:spacing w:after="0"/>
              <w:rPr>
                <w:sz w:val="20"/>
                <w:szCs w:val="20"/>
                <w:color w:val="auto"/>
              </w:rPr>
            </w:pPr>
            <w:r>
              <w:rPr>
                <w:rFonts w:ascii="Arial" w:cs="Arial" w:eastAsia="Arial" w:hAnsi="Arial"/>
                <w:sz w:val="18"/>
                <w:szCs w:val="18"/>
                <w:color w:val="auto"/>
              </w:rPr>
              <w:t>Effect of changes in exchange rates on cash, cash equivalents and restricted cash</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cash equivalents and restricted cash</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Non-cash transfer from property and equipment to inventory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transfer from inventory to property and equipment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Non-cash issuance of treasury stock for employee stock purchase plan</w:t>
            </w: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 net of amounts capitalized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Income taxes paid, net of refunds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00" w:lineRule="exact"/>
        <w:rPr>
          <w:sz w:val="20"/>
          <w:szCs w:val="20"/>
          <w:color w:val="auto"/>
        </w:rPr>
      </w:pPr>
    </w:p>
    <w:p>
      <w:pPr>
        <w:spacing w:after="0" w:line="36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 w:name="page8"/>
    <w:bookmarkEnd w:id="7"/>
    <w:p>
      <w:pPr>
        <w:jc w:val="center"/>
        <w:ind w:left="6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INTERIM CONSOLIDATED STATEMENTS OF SHAREHOLDERS’ EQUITY</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Total MVW</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0" w:type="dxa"/>
            <w:vAlign w:val="bottom"/>
            <w:vMerge w:val="continue"/>
          </w:tcPr>
          <w:p>
            <w:pPr>
              <w:spacing w:after="0"/>
              <w:rPr>
                <w:sz w:val="11"/>
                <w:szCs w:val="11"/>
                <w:color w:val="auto"/>
              </w:rPr>
            </w:pPr>
          </w:p>
        </w:tc>
        <w:tc>
          <w:tcPr>
            <w:tcW w:w="3360" w:type="dxa"/>
            <w:vAlign w:val="bottom"/>
          </w:tcPr>
          <w:p>
            <w:pPr>
              <w:spacing w:after="0"/>
              <w:rPr>
                <w:sz w:val="11"/>
                <w:szCs w:val="11"/>
                <w:color w:val="auto"/>
              </w:rPr>
            </w:pP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8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3"/>
            <w:vMerge w:val="continue"/>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6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336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Shareholders'</w:t>
            </w:r>
          </w:p>
        </w:tc>
        <w:tc>
          <w:tcPr>
            <w:tcW w:w="10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Issued</w:t>
            </w:r>
          </w:p>
        </w:tc>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(Loss) Gain</w:t>
            </w: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6"/>
                <w:szCs w:val="16"/>
                <w:color w:val="auto"/>
              </w:rPr>
            </w:pPr>
          </w:p>
        </w:tc>
        <w:tc>
          <w:tcPr>
            <w:tcW w:w="62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33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3,760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300"/>
              <w:spacing w:after="0"/>
              <w:rPr>
                <w:sz w:val="20"/>
                <w:szCs w:val="20"/>
                <w:color w:val="auto"/>
              </w:rPr>
            </w:pPr>
            <w:r>
              <w:rPr>
                <w:rFonts w:ascii="Arial" w:cs="Arial" w:eastAsia="Arial" w:hAnsi="Arial"/>
                <w:sz w:val="16"/>
                <w:szCs w:val="16"/>
                <w:color w:val="auto"/>
              </w:rPr>
              <w:t>Net (loss) income</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300"/>
              <w:spacing w:after="0"/>
              <w:rPr>
                <w:sz w:val="20"/>
                <w:szCs w:val="20"/>
                <w:color w:val="auto"/>
              </w:rPr>
            </w:pPr>
            <w:r>
              <w:rPr>
                <w:rFonts w:ascii="Arial" w:cs="Arial" w:eastAsia="Arial" w:hAnsi="Arial"/>
                <w:sz w:val="16"/>
                <w:szCs w:val="16"/>
                <w:color w:val="auto"/>
              </w:rPr>
              <w:t>Derivative instrument adjustment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Share-based compensation plans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300"/>
              <w:spacing w:after="0"/>
              <w:rPr>
                <w:sz w:val="20"/>
                <w:szCs w:val="20"/>
                <w:color w:val="auto"/>
              </w:rPr>
            </w:pPr>
            <w:r>
              <w:rPr>
                <w:rFonts w:ascii="Arial" w:cs="Arial" w:eastAsia="Arial" w:hAnsi="Arial"/>
                <w:sz w:val="16"/>
                <w:szCs w:val="16"/>
                <w:color w:val="auto"/>
              </w:rPr>
              <w:t>Dividends</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300"/>
              <w:spacing w:after="0" w:line="169" w:lineRule="exact"/>
              <w:rPr>
                <w:sz w:val="20"/>
                <w:szCs w:val="20"/>
                <w:color w:val="auto"/>
              </w:rPr>
            </w:pPr>
            <w:r>
              <w:rPr>
                <w:rFonts w:ascii="Arial" w:cs="Arial" w:eastAsia="Arial" w:hAnsi="Arial"/>
                <w:sz w:val="16"/>
                <w:szCs w:val="16"/>
                <w:color w:val="auto"/>
              </w:rPr>
              <w:t>Equity component of convertible notes, net</w:t>
            </w: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2"/>
        </w:trPr>
        <w:tc>
          <w:tcPr>
            <w:tcW w:w="620" w:type="dxa"/>
            <w:vAlign w:val="bottom"/>
            <w:vMerge w:val="continue"/>
            <w:shd w:val="clear" w:color="auto" w:fill="CCEEFF"/>
          </w:tcPr>
          <w:p>
            <w:pPr>
              <w:spacing w:after="0"/>
              <w:rPr>
                <w:sz w:val="18"/>
                <w:szCs w:val="18"/>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of issuance costs</w:t>
            </w: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300"/>
              <w:spacing w:after="0"/>
              <w:rPr>
                <w:sz w:val="20"/>
                <w:szCs w:val="20"/>
                <w:color w:val="auto"/>
              </w:rPr>
            </w:pPr>
            <w:r>
              <w:rPr>
                <w:rFonts w:ascii="Arial" w:cs="Arial" w:eastAsia="Arial" w:hAnsi="Arial"/>
                <w:sz w:val="16"/>
                <w:szCs w:val="16"/>
                <w:color w:val="auto"/>
              </w:rPr>
              <w:t>Purchase of convertible note hedges</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Issuance of warrants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300"/>
              <w:spacing w:after="0"/>
              <w:rPr>
                <w:sz w:val="20"/>
                <w:szCs w:val="20"/>
                <w:color w:val="auto"/>
              </w:rPr>
            </w:pPr>
            <w:r>
              <w:rPr>
                <w:rFonts w:ascii="Arial" w:cs="Arial" w:eastAsia="Arial" w:hAnsi="Arial"/>
                <w:sz w:val="16"/>
                <w:szCs w:val="16"/>
                <w:color w:val="auto"/>
              </w:rPr>
              <w:t>Employee stock plan issuance</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300"/>
              <w:spacing w:after="0" w:line="169" w:lineRule="exact"/>
              <w:rPr>
                <w:sz w:val="20"/>
                <w:szCs w:val="20"/>
                <w:color w:val="auto"/>
              </w:rPr>
            </w:pPr>
            <w:r>
              <w:rPr>
                <w:rFonts w:ascii="Arial" w:cs="Arial" w:eastAsia="Arial" w:hAnsi="Arial"/>
                <w:sz w:val="16"/>
                <w:szCs w:val="16"/>
                <w:color w:val="auto"/>
              </w:rPr>
              <w:t>Deconsolidation of certain Consolidated</w:t>
            </w: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620" w:type="dxa"/>
            <w:vAlign w:val="bottom"/>
            <w:vMerge w:val="continue"/>
            <w:shd w:val="clear" w:color="auto" w:fill="CCEEFF"/>
          </w:tcPr>
          <w:p>
            <w:pPr>
              <w:spacing w:after="0"/>
              <w:rPr>
                <w:sz w:val="18"/>
                <w:szCs w:val="18"/>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Property Owners' Associations</w:t>
            </w: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3360" w:type="dxa"/>
            <w:vAlign w:val="bottom"/>
          </w:tcPr>
          <w:p>
            <w:pPr>
              <w:ind w:left="100"/>
              <w:spacing w:after="0"/>
              <w:rPr>
                <w:sz w:val="20"/>
                <w:szCs w:val="20"/>
                <w:color w:val="auto"/>
              </w:rPr>
            </w:pPr>
            <w:r>
              <w:rPr>
                <w:rFonts w:ascii="Arial" w:cs="Arial" w:eastAsia="Arial" w:hAnsi="Arial"/>
                <w:sz w:val="16"/>
                <w:szCs w:val="16"/>
                <w:b w:val="1"/>
                <w:bCs w:val="1"/>
                <w:color w:val="auto"/>
              </w:rPr>
              <w:t>BALANCE AT MARCH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3,843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2,738</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Total MVW</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20" w:type="dxa"/>
            <w:vAlign w:val="bottom"/>
            <w:vMerge w:val="continue"/>
          </w:tcPr>
          <w:p>
            <w:pPr>
              <w:spacing w:after="0"/>
              <w:rPr>
                <w:sz w:val="11"/>
                <w:szCs w:val="11"/>
                <w:color w:val="auto"/>
              </w:rPr>
            </w:pPr>
          </w:p>
        </w:tc>
        <w:tc>
          <w:tcPr>
            <w:tcW w:w="3360" w:type="dxa"/>
            <w:vAlign w:val="bottom"/>
          </w:tcPr>
          <w:p>
            <w:pPr>
              <w:spacing w:after="0"/>
              <w:rPr>
                <w:sz w:val="11"/>
                <w:szCs w:val="11"/>
                <w:color w:val="auto"/>
              </w:rPr>
            </w:pP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8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3"/>
            <w:vMerge w:val="continue"/>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6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336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Shareholders'</w:t>
            </w:r>
          </w:p>
        </w:tc>
        <w:tc>
          <w:tcPr>
            <w:tcW w:w="10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Issued</w:t>
            </w:r>
          </w:p>
        </w:tc>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6"/>
                <w:szCs w:val="16"/>
                <w:color w:val="auto"/>
              </w:rPr>
            </w:pPr>
          </w:p>
        </w:tc>
        <w:tc>
          <w:tcPr>
            <w:tcW w:w="62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33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300"/>
              <w:spacing w:after="0"/>
              <w:rPr>
                <w:sz w:val="20"/>
                <w:szCs w:val="20"/>
                <w:color w:val="auto"/>
              </w:rPr>
            </w:pPr>
            <w:r>
              <w:rPr>
                <w:rFonts w:ascii="Arial" w:cs="Arial" w:eastAsia="Arial" w:hAnsi="Arial"/>
                <w:sz w:val="16"/>
                <w:szCs w:val="16"/>
                <w:color w:val="auto"/>
              </w:rPr>
              <w:t>Net (loss) income</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300"/>
              <w:spacing w:after="0"/>
              <w:rPr>
                <w:sz w:val="20"/>
                <w:szCs w:val="20"/>
                <w:color w:val="auto"/>
              </w:rPr>
            </w:pPr>
            <w:r>
              <w:rPr>
                <w:rFonts w:ascii="Arial" w:cs="Arial" w:eastAsia="Arial" w:hAnsi="Arial"/>
                <w:sz w:val="16"/>
                <w:szCs w:val="16"/>
                <w:color w:val="auto"/>
              </w:rPr>
              <w:t>Derivative instrument adjustment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Share-based compensation plans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300"/>
              <w:spacing w:after="0"/>
              <w:rPr>
                <w:sz w:val="20"/>
                <w:szCs w:val="20"/>
                <w:color w:val="auto"/>
              </w:rPr>
            </w:pPr>
            <w:r>
              <w:rPr>
                <w:rFonts w:ascii="Arial" w:cs="Arial" w:eastAsia="Arial" w:hAnsi="Arial"/>
                <w:sz w:val="16"/>
                <w:szCs w:val="16"/>
                <w:color w:val="auto"/>
              </w:rPr>
              <w:t>Repurchase of common stock</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Dividends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3360" w:type="dxa"/>
            <w:vAlign w:val="bottom"/>
          </w:tcPr>
          <w:p>
            <w:pPr>
              <w:ind w:left="100"/>
              <w:spacing w:after="0"/>
              <w:rPr>
                <w:sz w:val="20"/>
                <w:szCs w:val="20"/>
                <w:color w:val="auto"/>
              </w:rPr>
            </w:pPr>
            <w:r>
              <w:rPr>
                <w:rFonts w:ascii="Arial" w:cs="Arial" w:eastAsia="Arial" w:hAnsi="Arial"/>
                <w:sz w:val="16"/>
                <w:szCs w:val="16"/>
                <w:b w:val="1"/>
                <w:bCs w:val="1"/>
                <w:color w:val="auto"/>
              </w:rPr>
              <w:t>BALANCE AT MARCH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3,729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293370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7"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88" w:lineRule="exact"/>
        <w:rPr>
          <w:sz w:val="20"/>
          <w:szCs w:val="20"/>
          <w:color w:val="auto"/>
        </w:rPr>
      </w:pPr>
    </w:p>
    <w:p>
      <w:pPr>
        <w:ind w:left="420" w:hanging="394"/>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 Capitalized terms used and not specifically defined herein have the same meanings given those terms in our Annual Report on Form 10-K for the fiscal year ended December 31, 2020 (the “2020 Annual Report”). We use certain other terms that are defined within these Financial Statements.</w:t>
      </w:r>
    </w:p>
    <w:p>
      <w:pPr>
        <w:spacing w:after="0" w:line="5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(loss) income attributable to common shareholders and MVW shareholders’ equity do not include noncontrolling interests, which represent the outside ownership of our consolidated non-wholly owned entities and are reported separately. Intercompany accounts and transactions between consolidated companies have been eliminated in consolidation.</w:t>
      </w:r>
    </w:p>
    <w:p>
      <w:pPr>
        <w:spacing w:after="0" w:line="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Pursuant to a change in control of certain consolidated property owners’ associations, we recorded a non-cash loss of less than $1 million in Gains (losses) and other income (expense), net on our Income Statement for the three months ended March 31, 2021, and deconsolidated $76 million of assets, inclusive of $71 million of restricted cash and $71 million of liabilities, for a decrease in Noncontrolling interests of $5 million during the first quarter of 2021. See our Interim Consolidated Statement of Shareholder’s Equity for the three months ended March 31, 2021 for further information. We continue to act as manager for these property owners’ associations pursuant to existing management contracts and retain membership interests via our ownership of vacation ownership interests.</w:t>
      </w:r>
    </w:p>
    <w:p>
      <w:pPr>
        <w:spacing w:after="0" w:line="8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property and equipment valuation, accounting for acquired vacation ownership notes receivable, vacation ownership notes receivable reserves, income taxes, and loss contingencies. The uncertainty created by the COVID-19 pandemic, and efforts to mitigate it, has made it more challenging to make these estimates. Accordingly, ultimate results could differ from our estimates, and such differences may be material.</w:t>
      </w:r>
    </w:p>
    <w:p>
      <w:pPr>
        <w:spacing w:after="0" w:line="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the impact of the COVID-19 pandemic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2020 Annual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reclassified certain prior year amounts to conform to our current year presentation.</w:t>
      </w:r>
    </w:p>
    <w:p>
      <w:pPr>
        <w:spacing w:after="0" w:line="2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hanging="394"/>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AND RECENT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Accounting Standards Update 2019-12 –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w:t>
      </w:r>
    </w:p>
    <w:p>
      <w:pPr>
        <w:spacing w:after="0" w:line="1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In the first quarter of 2021, we adopted ASU 2019-12, which amends and simplifies existing guidance in an effort to reduce the complexity of accounting for income taxes while maintaining or enhancing the helpfulness of information provided to financial statement users. Our adoption of ASU 2019-12 did not have a material impact on our Financial Statements or disclosures.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Accounting Standards Update 2020-04 –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(“ASU 2020-04”)</w:t>
      </w:r>
    </w:p>
    <w:p>
      <w:pPr>
        <w:spacing w:after="0" w:line="6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March 2020, the FASB issued ASU 2020-04, as amended, which provides optional expedients and exceptions to existing guidance on contract modifications and hedge accounting in an effort to ease the financial reporting burdens related to the expected market transition from the LIBOR and other interbank offered rates to alternative reference rates. This update can be adopted no later than December 1, 2022, with early adoption permitted. We expect to adopt ASU 2020-04 in fiscal year 2022 and continue to evaluate the impact that adoption of this update will have on our financial statements and disclosures.</w:t>
      </w:r>
    </w:p>
    <w:p>
      <w:pPr>
        <w:spacing w:after="0" w:line="80"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Accounting Standards Update 2020-06 – “</w:t>
      </w:r>
      <w:r>
        <w:rPr>
          <w:rFonts w:ascii="Arial" w:cs="Arial" w:eastAsia="Arial" w:hAnsi="Arial"/>
          <w:sz w:val="16"/>
          <w:szCs w:val="16"/>
          <w:i w:val="1"/>
          <w:iCs w:val="1"/>
          <w:color w:val="auto"/>
        </w:rPr>
        <w:t>Debt — 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Accounting for Convertible Instruments and Contracts in an Entity’s Own Equity” </w:t>
      </w:r>
      <w:r>
        <w:rPr>
          <w:rFonts w:ascii="Arial" w:cs="Arial" w:eastAsia="Arial" w:hAnsi="Arial"/>
          <w:sz w:val="16"/>
          <w:szCs w:val="16"/>
          <w:color w:val="auto"/>
        </w:rPr>
        <w:t>(“ASU 2020-06”)</w:t>
      </w:r>
    </w:p>
    <w:p>
      <w:pPr>
        <w:spacing w:after="0" w:line="1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August 2020, the FASB issued ASU 2020-06, which amends and simplifies existing guidance in an effort to reduce the complexity of accounting for convertible instruments and to provide financial statement users with more meaningful information. ASU 2020-06 is effective for fiscal years beginning after December 15, 2021, including interim periods therein, with early adoption permitted for fiscal years beginning after December 15, 2020. This update may be applied retrospectively or on a modified retrospective basis with the cumulative effect recognized as an adjustment to the opening balance of retained earnings on the date of adoption. Additionally, this update provides for a one-time irrevocable election by entities to apply the fair value option in accordance with ASC Topic 825-10, “</w:t>
      </w:r>
      <w:r>
        <w:rPr>
          <w:rFonts w:ascii="Arial" w:cs="Arial" w:eastAsia="Arial" w:hAnsi="Arial"/>
          <w:sz w:val="17"/>
          <w:szCs w:val="17"/>
          <w:i w:val="1"/>
          <w:iCs w:val="1"/>
          <w:color w:val="auto"/>
        </w:rPr>
        <w:t>Financial Instruments - Overall,</w:t>
      </w:r>
      <w:r>
        <w:rPr>
          <w:rFonts w:ascii="Arial" w:cs="Arial" w:eastAsia="Arial" w:hAnsi="Arial"/>
          <w:sz w:val="17"/>
          <w:szCs w:val="17"/>
          <w:color w:val="auto"/>
        </w:rPr>
        <w:t>” for any liability-classified convertible securities, with the difference between the carrying amount and the fair value recorded as a cumulative-effect adjustment to opening retained earnings as of the beginning of the period of adoption. We expect to adopt ASU 2020-06 on January 1, 2022, and continue to evaluate the impact that adoption of this update will have on our financial statements and disclosures. In accordance with ASU 2020-06, we will be required to calculate diluted earnings per share under the “if-converted” method. Under the “if-converted” method, diluted earnings per share would generally be calculated assuming that all of our convertible notes were converted solely into shares of common stock at the beginning of the reporting period, unless the result would be anti-dilutive. The application of the “if-converted” method may reduce our reported diluted earnings per share.</w:t>
      </w:r>
    </w:p>
    <w:p>
      <w:pPr>
        <w:spacing w:after="0" w:line="229" w:lineRule="exact"/>
        <w:rPr>
          <w:sz w:val="20"/>
          <w:szCs w:val="20"/>
          <w:color w:val="auto"/>
        </w:rPr>
      </w:pPr>
    </w:p>
    <w:p>
      <w:pPr>
        <w:ind w:left="420" w:hanging="394"/>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Planned Acquisition</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January 26, 2021, we entered into an Agreement and Plan of Merger (the “Merger Agreement”) under which we agreed to acquire, in a series of transactions, Welk Hospitality Group, Inc. (“Welk”), one of the largest independent timeshare companies in North America, in a cash and stock transaction. On April 1, 2021, subsequent to the end of the first quarter of 2021, we completed the acquisition of Welk for consideration of $485 million, including approximately 1.4 million shares of our common stock. Our Balance Sheet at March 31, 2021 reflects $152 million within Restricted cash for funds held by a third party in advance of the closing of the acquisition of Welk.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Costa Rica</w:t>
      </w:r>
    </w:p>
    <w:p>
      <w:pPr>
        <w:spacing w:after="0" w:line="11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During the first quarter of 2021, we acquired 24 completed vacation ownership units and an operations building located at our Marriott Vacation Club at Los Suenos resort in Costa Rica for $14 million. We accounted for the transaction as an asset acquisition with the purchase price allocated to Inventory ($13 million) and Property and equipment ($1 million).</w:t>
      </w:r>
    </w:p>
    <w:p>
      <w:pPr>
        <w:spacing w:after="0" w:line="1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New York</w:t>
      </w:r>
    </w:p>
    <w:p>
      <w:pPr>
        <w:spacing w:after="0" w:line="11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During the first quarter of 2021, we acquired the remaining 120 completed vacation ownership units located at our Marriott Vacation Club Pulse, New York City property for $98 million. We accounted for the transaction as an asset acquisition with the purchase price allocated to Property and equipment.</w:t>
      </w:r>
    </w:p>
    <w:p>
      <w:pPr>
        <w:spacing w:after="0" w:line="76"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During the first quarter of 2020, we acquired 57 completed vacation ownership units, as well as office and ancillary space, located at our Marriott Vacation Club Pulse, New York City property for $89 million, of which $22 million was a prepayment for future tranches of completed vacation ownership units and $20 million was paid in December 2019. We accounted for the transaction as an asset acquisition with the purchase price allocated to Other assets ($22 million) and Property and equipment ($67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Francisco, California</w:t>
      </w:r>
    </w:p>
    <w:p>
      <w:pPr>
        <w:spacing w:after="0" w:line="11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During the first quarter of 2021, we acquired 44 completed vacation ownership units located at our Marriott Vacation Club Pulse, San Francisco property for $34 million. We accounted for the transaction as an asset acquisition with the purchase price allocated to Inventory ($29 million) and Other assets ($5 million).</w:t>
      </w:r>
    </w:p>
    <w:p>
      <w:pPr>
        <w:spacing w:after="0" w:line="7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During the first quarter of 2020, we acquired 34 completed vacation ownership units located at our Marriott Vacation Club Pulse, San Francisco property for $26 million, of which $5 million was a prepayment for future tranches of completed vacation ownership units. We accounted for the transaction as an asset acquisition with the purchase price allocated to Inventory ($18 million), Other assets ($5 million), and Property and equipment ($3 million).</w:t>
      </w:r>
    </w:p>
    <w:p>
      <w:pPr>
        <w:spacing w:after="0" w:line="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Footnote 16 “Variable Interest Entities” for information on our remaining commitment to purchase future inventory and additional information on our activities relating to the VIE involved in this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made no significant dispositions during either the first quarter of 2021 or the first quarter of 2020.</w:t>
      </w:r>
    </w:p>
    <w:p>
      <w:pPr>
        <w:spacing w:after="0" w:line="289" w:lineRule="exact"/>
        <w:rPr>
          <w:sz w:val="20"/>
          <w:szCs w:val="20"/>
          <w:color w:val="auto"/>
        </w:rPr>
      </w:pPr>
    </w:p>
    <w:p>
      <w:pPr>
        <w:ind w:left="420" w:hanging="394"/>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RECEIVABLES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sources of revenue by segment for the time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Three Months Ended March 31, 2021</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Vacation Ownership</w:t>
            </w:r>
          </w:p>
        </w:tc>
        <w:tc>
          <w:tcPr>
            <w:tcW w:w="140" w:type="dxa"/>
            <w:vAlign w:val="bottom"/>
          </w:tcPr>
          <w:p>
            <w:pPr>
              <w:spacing w:after="0"/>
              <w:rPr>
                <w:sz w:val="13"/>
                <w:szCs w:val="13"/>
                <w:color w:val="auto"/>
              </w:rPr>
            </w:pPr>
          </w:p>
        </w:tc>
        <w:tc>
          <w:tcPr>
            <w:tcW w:w="16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00" w:type="dxa"/>
            <w:vAlign w:val="bottom"/>
          </w:tcPr>
          <w:p>
            <w:pPr>
              <w:spacing w:after="0"/>
              <w:rPr>
                <w:sz w:val="13"/>
                <w:szCs w:val="13"/>
                <w:color w:val="auto"/>
              </w:rPr>
            </w:pPr>
          </w:p>
        </w:tc>
        <w:tc>
          <w:tcPr>
            <w:tcW w:w="1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3"/>
                <w:szCs w:val="13"/>
                <w:color w:val="auto"/>
              </w:rPr>
            </w:pPr>
          </w:p>
        </w:tc>
        <w:tc>
          <w:tcPr>
            <w:tcW w:w="13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Party Management</w:t>
            </w:r>
          </w:p>
        </w:tc>
        <w:tc>
          <w:tcPr>
            <w:tcW w:w="10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Ancillary revenues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9</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Three Months Ended March 31, 2020</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Vacation Ownership</w:t>
            </w:r>
          </w:p>
        </w:tc>
        <w:tc>
          <w:tcPr>
            <w:tcW w:w="140" w:type="dxa"/>
            <w:vAlign w:val="bottom"/>
          </w:tcPr>
          <w:p>
            <w:pPr>
              <w:spacing w:after="0"/>
              <w:rPr>
                <w:sz w:val="13"/>
                <w:szCs w:val="13"/>
                <w:color w:val="auto"/>
              </w:rPr>
            </w:pPr>
          </w:p>
        </w:tc>
        <w:tc>
          <w:tcPr>
            <w:tcW w:w="16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00" w:type="dxa"/>
            <w:vAlign w:val="bottom"/>
          </w:tcPr>
          <w:p>
            <w:pPr>
              <w:spacing w:after="0"/>
              <w:rPr>
                <w:sz w:val="13"/>
                <w:szCs w:val="13"/>
                <w:color w:val="auto"/>
              </w:rPr>
            </w:pPr>
          </w:p>
        </w:tc>
        <w:tc>
          <w:tcPr>
            <w:tcW w:w="1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3"/>
                <w:szCs w:val="13"/>
                <w:color w:val="auto"/>
              </w:rPr>
            </w:pPr>
          </w:p>
        </w:tc>
        <w:tc>
          <w:tcPr>
            <w:tcW w:w="1320" w:type="dxa"/>
            <w:vAlign w:val="bottom"/>
            <w:vMerge w:val="restart"/>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Party Management</w:t>
            </w:r>
          </w:p>
        </w:tc>
        <w:tc>
          <w:tcPr>
            <w:tcW w:w="10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Ancillary revenues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404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Revenue from Contracts with Customers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timing of revenue from contracts with customers by segment for the time periods presented.</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w w:val="94"/>
              </w:rPr>
              <w:t>Three Months Ended March 31, 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560" w:type="dxa"/>
            <w:vAlign w:val="bottom"/>
          </w:tcPr>
          <w:p>
            <w:pPr>
              <w:spacing w:after="0"/>
              <w:rPr>
                <w:sz w:val="13"/>
                <w:szCs w:val="13"/>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13"/>
                <w:szCs w:val="13"/>
                <w:color w:val="auto"/>
              </w:rPr>
            </w:pPr>
          </w:p>
        </w:tc>
        <w:tc>
          <w:tcPr>
            <w:tcW w:w="158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Exchange &amp; Third-</w:t>
            </w:r>
          </w:p>
        </w:tc>
        <w:tc>
          <w:tcPr>
            <w:tcW w:w="16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3"/>
                <w:szCs w:val="13"/>
                <w:color w:val="auto"/>
              </w:rPr>
            </w:pPr>
          </w:p>
        </w:tc>
        <w:tc>
          <w:tcPr>
            <w:tcW w:w="120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Party Management</w:t>
            </w:r>
          </w:p>
        </w:tc>
        <w:tc>
          <w:tcPr>
            <w:tcW w:w="168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 transferred over time</w:t>
            </w:r>
          </w:p>
        </w:tc>
        <w:tc>
          <w:tcPr>
            <w:tcW w:w="660" w:type="dxa"/>
            <w:vAlign w:val="bottom"/>
            <w:tcBorders>
              <w:top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73"/>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9"/>
        </w:trPr>
        <w:tc>
          <w:tcPr>
            <w:tcW w:w="4560" w:type="dxa"/>
            <w:vAlign w:val="bottom"/>
          </w:tcPr>
          <w:p>
            <w:pPr>
              <w:ind w:left="120"/>
              <w:spacing w:after="0"/>
              <w:rPr>
                <w:sz w:val="20"/>
                <w:szCs w:val="20"/>
                <w:color w:val="auto"/>
              </w:rPr>
            </w:pPr>
            <w:r>
              <w:rPr>
                <w:rFonts w:ascii="Arial" w:cs="Arial" w:eastAsia="Arial" w:hAnsi="Arial"/>
                <w:sz w:val="18"/>
                <w:szCs w:val="18"/>
                <w:color w:val="auto"/>
              </w:rPr>
              <w:t>Goods or services transferred at a point in time</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 from contracts with customers</w:t>
            </w:r>
          </w:p>
        </w:tc>
        <w:tc>
          <w:tcPr>
            <w:tcW w:w="660" w:type="dxa"/>
            <w:vAlign w:val="bottom"/>
            <w:tcBorders>
              <w:top w:val="single" w:sz="8" w:color="auto"/>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1073"/>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5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w w:val="94"/>
              </w:rPr>
              <w:t>Three Months Ended March 31, 2020</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13"/>
                <w:szCs w:val="13"/>
                <w:color w:val="auto"/>
              </w:rPr>
            </w:pPr>
          </w:p>
        </w:tc>
        <w:tc>
          <w:tcPr>
            <w:tcW w:w="158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Exchange &amp; Third-</w:t>
            </w:r>
          </w:p>
        </w:tc>
        <w:tc>
          <w:tcPr>
            <w:tcW w:w="16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3"/>
                <w:szCs w:val="13"/>
                <w:color w:val="auto"/>
              </w:rPr>
            </w:pPr>
          </w:p>
        </w:tc>
        <w:tc>
          <w:tcPr>
            <w:tcW w:w="120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Party Management</w:t>
            </w:r>
          </w:p>
        </w:tc>
        <w:tc>
          <w:tcPr>
            <w:tcW w:w="168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 transferred over time</w:t>
            </w:r>
          </w:p>
        </w:tc>
        <w:tc>
          <w:tcPr>
            <w:tcW w:w="660" w:type="dxa"/>
            <w:vAlign w:val="bottom"/>
            <w:tcBorders>
              <w:top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73"/>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color w:val="auto"/>
              </w:rPr>
              <w:t>Goods or services transferred at a point in time</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 from contracts with customers</w:t>
            </w:r>
          </w:p>
        </w:tc>
        <w:tc>
          <w:tcPr>
            <w:tcW w:w="660" w:type="dxa"/>
            <w:vAlign w:val="bottom"/>
            <w:tcBorders>
              <w:top w:val="single" w:sz="8" w:color="auto"/>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1073"/>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Vacation Ownership Products</w:t>
      </w:r>
    </w:p>
    <w:p>
      <w:pPr>
        <w:spacing w:after="0" w:line="11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Revenues were reduced during the first quarter of 2021 by $5 million due to changes in our estimates of variable consideration for performance obligations that were satisfied in prior periods.</w:t>
      </w:r>
    </w:p>
    <w:p>
      <w:pPr>
        <w:spacing w:after="0" w:line="1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 Contracts with Customers, Contract Assets &amp; Contract Liabilities</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shows the composition of our receivables from contracts with customers and contract liabilities. We had no contract assets at either March 31, 2021 or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At March 31, 2021</w:t>
            </w:r>
          </w:p>
        </w:tc>
        <w:tc>
          <w:tcPr>
            <w:tcW w:w="220" w:type="dxa"/>
            <w:vAlign w:val="bottom"/>
          </w:tcPr>
          <w:p>
            <w:pPr>
              <w:spacing w:after="0"/>
              <w:rPr>
                <w:sz w:val="18"/>
                <w:szCs w:val="18"/>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31, 2020</w:t>
            </w:r>
          </w:p>
        </w:tc>
      </w:tr>
      <w:tr>
        <w:trPr>
          <w:trHeight w:val="21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Receivables from Contracts with Customers</w:t>
            </w:r>
          </w:p>
        </w:tc>
        <w:tc>
          <w:tcPr>
            <w:tcW w:w="28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Vacation ownership notes receivable, net</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r>
      <w:tr>
        <w:trPr>
          <w:trHeight w:val="223"/>
        </w:trPr>
        <w:tc>
          <w:tcPr>
            <w:tcW w:w="67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96"/>
        </w:trPr>
        <w:tc>
          <w:tcPr>
            <w:tcW w:w="6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Contract Liabilities</w:t>
            </w: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Advance deposits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23"/>
        </w:trPr>
        <w:tc>
          <w:tcPr>
            <w:tcW w:w="67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recognized during the first quarter of 2021 that was included in our contract liabilities balance at December 31, 2020 was $114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right="780" w:firstLine="648"/>
        <w:spacing w:after="0" w:line="263" w:lineRule="auto"/>
        <w:rPr>
          <w:sz w:val="20"/>
          <w:szCs w:val="20"/>
          <w:color w:val="auto"/>
        </w:rPr>
      </w:pPr>
      <w:r>
        <w:rPr>
          <w:rFonts w:ascii="Arial" w:cs="Arial" w:eastAsia="Arial" w:hAnsi="Arial"/>
          <w:sz w:val="18"/>
          <w:szCs w:val="18"/>
          <w:color w:val="auto"/>
        </w:rPr>
        <w:t>Our remaining performance obligations represent the expected transaction price allocated to our contracts that we expect to recognize as revenue in future periods when we perform under the contracts. At March 31, 2021, approximately 80 percent of this amount is expected to be recognized as revenue over the next two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Accounts receivable is comprised of amounts due from customers, primarily property owners’ associations, resort developers and members, credit card receivables, interest receivables, amounts due from taxing authorities, indemnification assets and other miscellaneous receivables. The following table shows the composition of our accounts receivable balances: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At March 31, 2021</w:t>
            </w:r>
          </w:p>
        </w:tc>
        <w:tc>
          <w:tcPr>
            <w:tcW w:w="220" w:type="dxa"/>
            <w:vAlign w:val="bottom"/>
          </w:tcPr>
          <w:p>
            <w:pPr>
              <w:spacing w:after="0"/>
              <w:rPr>
                <w:sz w:val="18"/>
                <w:szCs w:val="18"/>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31, 2020</w:t>
            </w:r>
          </w:p>
        </w:tc>
      </w:tr>
      <w:tr>
        <w:trPr>
          <w:trHeight w:val="226"/>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from contracts with customers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Indemnification assets</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tax credit receivable</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20" w:hanging="394"/>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provision for income taxes is calculated using an estimated annual effective tax rate, based upon expected annual income, less losses in certain jurisdictions, permanent items, statutory rates and planned tax strategies in the various jurisdictions in which we operate. However, discrete items related to prior year tax items are treated separately.</w:t>
      </w:r>
    </w:p>
    <w:p>
      <w:pPr>
        <w:spacing w:after="0" w:line="7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interim effective tax rate was 29.8 percent and 35.4 percent for the three months ended March 31, 2021 and March 31, 2020, respectively. The decrease in the effective tax rate is predominately attributable to a decrease in pre-tax loss and a release in provisions on uncertain tax benefits included in the three months ended March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Law Update</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considered the income tax accounting and disclosure implications of the relief provided by the Coronavirus Aid, Relief, and Economic Security Act (the “CARES Act”), enacted in March 2020, and the Consolidated Appropriations Act, 2021, enacted in December 2020. As of March 31, 2021, we evaluated the income tax provisions of the above mentioned acts and have determined there to be minimal effect on either the March 31, 2021 tax rate or the computation of the estimated effective tax rate for the year ended December 31, 2021. We will continue to evaluate the income tax provisions of the above mentioned acts and monitor the developments in the jurisdictions where we have significant operations for tax law changes that could have additional income tax accounting and disclosure implications.</w:t>
      </w:r>
    </w:p>
    <w:p>
      <w:pPr>
        <w:spacing w:after="0" w:line="1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right="320" w:firstLine="648"/>
        <w:spacing w:after="0" w:line="274" w:lineRule="auto"/>
        <w:rPr>
          <w:sz w:val="20"/>
          <w:szCs w:val="20"/>
          <w:color w:val="auto"/>
        </w:rPr>
      </w:pPr>
      <w:r>
        <w:rPr>
          <w:rFonts w:ascii="Arial" w:cs="Arial" w:eastAsia="Arial" w:hAnsi="Arial"/>
          <w:sz w:val="18"/>
          <w:szCs w:val="18"/>
          <w:color w:val="auto"/>
        </w:rPr>
        <w:t>The following table summarizes the activity related to our unrecognized tax benefits (excluding interest and penalties) during the three months ended March 31, 2021.</w:t>
      </w:r>
    </w:p>
    <w:tbl>
      <w:tblPr>
        <w:tblLayout w:type="fixed"/>
        <w:tblInd w:w="0" w:type="dxa"/>
        <w:tblCellMar>
          <w:top w:w="0" w:type="dxa"/>
          <w:left w:w="0" w:type="dxa"/>
          <w:bottom w:w="0" w:type="dxa"/>
          <w:right w:w="0" w:type="dxa"/>
        </w:tblCellMar>
      </w:tblPr>
      <w:tr>
        <w:trPr>
          <w:trHeight w:val="213"/>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Unrecognized Tax Benefits</w:t>
            </w:r>
          </w:p>
        </w:tc>
      </w:tr>
      <w:tr>
        <w:trPr>
          <w:trHeight w:val="226"/>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9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Increases related to tax positions taken during the current period</w:t>
            </w:r>
          </w:p>
        </w:tc>
        <w:tc>
          <w:tcPr>
            <w:tcW w:w="9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total unrecognized tax benefits related to uncertain income tax positions, which would affect the effective tax rate if recognized, was $15 million at March 31, 2021 and $14 million at December 31, 2020. The total amount of gross interest and penalties accrued was $28 million at March 31, 2021 and $25 million at December 31, 2020.</w:t>
      </w:r>
    </w:p>
    <w:p>
      <w:pPr>
        <w:spacing w:after="0" w:line="7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anticipate $5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benefits, including accrued interest and penalties, are included in other liabilities on our Balance Sheet.</w:t>
      </w:r>
    </w:p>
    <w:p>
      <w:pPr>
        <w:spacing w:after="0" w:line="7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Our income tax returns are subject to examination by relevant tax authorities. Certain of our returns are being audited in various jurisdictions for tax years 2013 through 2018. The amount of the unrecognized tax benefit may increase or decrease within the next twelve months as a result of audits or audit settlements.</w:t>
      </w:r>
    </w:p>
    <w:p>
      <w:pPr>
        <w:spacing w:after="0" w:line="247" w:lineRule="exact"/>
        <w:rPr>
          <w:sz w:val="20"/>
          <w:szCs w:val="20"/>
          <w:color w:val="auto"/>
        </w:rPr>
      </w:pPr>
    </w:p>
    <w:p>
      <w:pPr>
        <w:ind w:left="420" w:hanging="394"/>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OWNERSHIP NOTES RECEIVABLE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4"/>
              </w:rPr>
              <w:t>March 31, 2021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1"/>
              </w:rPr>
              <w:t>December 31, 2020</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Originated</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Acquired</w:t>
            </w:r>
          </w:p>
        </w:tc>
        <w:tc>
          <w:tcPr>
            <w:tcW w:w="28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6"/>
                <w:szCs w:val="16"/>
                <w:b w:val="1"/>
                <w:bCs w:val="1"/>
                <w:color w:val="auto"/>
                <w:w w:val="99"/>
              </w:rPr>
              <w:t>Originated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Acquired</w:t>
            </w:r>
          </w:p>
        </w:tc>
        <w:tc>
          <w:tcPr>
            <w:tcW w:w="260" w:type="dxa"/>
            <w:vAlign w:val="bottom"/>
          </w:tcPr>
          <w:p>
            <w:pPr>
              <w:spacing w:after="0"/>
              <w:rPr>
                <w:sz w:val="18"/>
                <w:szCs w:val="18"/>
                <w:color w:val="auto"/>
              </w:rPr>
            </w:pPr>
          </w:p>
        </w:tc>
        <w:tc>
          <w:tcPr>
            <w:tcW w:w="98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226"/>
        </w:trPr>
        <w:tc>
          <w:tcPr>
            <w:tcW w:w="31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Securitized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29"/>
        </w:trPr>
        <w:tc>
          <w:tcPr>
            <w:tcW w:w="3100" w:type="dxa"/>
            <w:vAlign w:val="bottom"/>
          </w:tcPr>
          <w:p>
            <w:pPr>
              <w:ind w:left="140"/>
              <w:spacing w:after="0"/>
              <w:rPr>
                <w:sz w:val="20"/>
                <w:szCs w:val="20"/>
                <w:color w:val="auto"/>
              </w:rPr>
            </w:pPr>
            <w:r>
              <w:rPr>
                <w:rFonts w:ascii="Arial" w:cs="Arial" w:eastAsia="Arial" w:hAnsi="Arial"/>
                <w:sz w:val="18"/>
                <w:szCs w:val="18"/>
                <w:color w:val="auto"/>
              </w:rPr>
              <w:t>Non-securitized</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10"/>
                <w:szCs w:val="10"/>
                <w:color w:val="auto"/>
              </w:rPr>
              <w:t>(1)</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10"/>
                <w:szCs w:val="10"/>
                <w:color w:val="auto"/>
              </w:rPr>
              <w:t>(1)</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3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Refer to Footnote 7 “Financial Instruments” for a discussion of eligibility of our vacation ownership notes receivable for securitization.</w:t>
      </w:r>
    </w:p>
    <w:p>
      <w:pPr>
        <w:spacing w:after="0" w:line="202" w:lineRule="exact"/>
        <w:rPr>
          <w:sz w:val="20"/>
          <w:szCs w:val="20"/>
          <w:color w:val="auto"/>
        </w:rPr>
      </w:pPr>
    </w:p>
    <w:p>
      <w:pPr>
        <w:ind w:right="160" w:firstLine="648"/>
        <w:spacing w:after="0" w:line="274" w:lineRule="auto"/>
        <w:rPr>
          <w:sz w:val="20"/>
          <w:szCs w:val="20"/>
          <w:color w:val="auto"/>
        </w:rPr>
      </w:pPr>
      <w:r>
        <w:rPr>
          <w:rFonts w:ascii="Arial" w:cs="Arial" w:eastAsia="Arial" w:hAnsi="Arial"/>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440" w:type="dxa"/>
            <w:vAlign w:val="bottom"/>
          </w:tcPr>
          <w:p>
            <w:pPr>
              <w:jc w:val="right"/>
              <w:ind w:right="192"/>
              <w:spacing w:after="0"/>
              <w:rPr>
                <w:sz w:val="20"/>
                <w:szCs w:val="20"/>
                <w:color w:val="auto"/>
              </w:rPr>
            </w:pPr>
            <w:r>
              <w:rPr>
                <w:rFonts w:ascii="Arial" w:cs="Arial" w:eastAsia="Arial" w:hAnsi="Arial"/>
                <w:sz w:val="16"/>
                <w:szCs w:val="16"/>
                <w:b w:val="1"/>
                <w:bCs w:val="1"/>
                <w:color w:val="auto"/>
              </w:rPr>
              <w:t>March 31, 2020</w:t>
            </w:r>
          </w:p>
        </w:tc>
      </w:tr>
      <w:tr>
        <w:trPr>
          <w:trHeight w:val="226"/>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associated with vacation ownership notes receivable — securitized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associated with vacation ownership notes receivable — non-securitized</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 on Vacation Ownership Notes Receivable Reserves</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increased our vacation ownership notes receivable reserves by $52 million in the first quarter of 2020 as a result of higher actual and projected default activity related predominantly to the COVID-19 pandemic. In the fourth quarter of 2020, we increased our vacation ownership notes receivable reserve by an additional $17 million due to higher than previously expected default activity. During the first quarter of 2021, there were no additional increases to our vacation ownership notes receivable reserves due to the COVID-19 pandemic.</w:t>
      </w: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Vacation Ownership Notes Receivable</w:t>
      </w:r>
    </w:p>
    <w:p>
      <w:pPr>
        <w:spacing w:after="0" w:line="11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Acquired vacation ownership notes receivable represent vacation ownership notes receivable acquired as part of the ILG Acquisition. The following table shows future contractual principal payments and interest rates for our non-securitized and securitized acquired vacation ownership notes receivable at March 31,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60" w:type="dxa"/>
            <w:vAlign w:val="bottom"/>
            <w:gridSpan w:val="12"/>
          </w:tcPr>
          <w:p>
            <w:pPr>
              <w:jc w:val="center"/>
              <w:ind w:right="280"/>
              <w:spacing w:after="0"/>
              <w:rPr>
                <w:sz w:val="20"/>
                <w:szCs w:val="20"/>
                <w:color w:val="auto"/>
              </w:rPr>
            </w:pPr>
            <w:r>
              <w:rPr>
                <w:rFonts w:ascii="Arial" w:cs="Arial" w:eastAsia="Arial" w:hAnsi="Arial"/>
                <w:sz w:val="16"/>
                <w:szCs w:val="16"/>
                <w:b w:val="1"/>
                <w:bCs w:val="1"/>
                <w:color w:val="auto"/>
                <w:w w:val="91"/>
              </w:rPr>
              <w:t>Acquired Vacation Ownership Notes Receivable</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3"/>
          </w:tcPr>
          <w:p>
            <w:pPr>
              <w:jc w:val="center"/>
              <w:ind w:right="380"/>
              <w:spacing w:after="0"/>
              <w:rPr>
                <w:sz w:val="20"/>
                <w:szCs w:val="20"/>
                <w:color w:val="auto"/>
              </w:rPr>
            </w:pPr>
            <w:r>
              <w:rPr>
                <w:rFonts w:ascii="Arial" w:cs="Arial" w:eastAsia="Arial" w:hAnsi="Arial"/>
                <w:sz w:val="16"/>
                <w:szCs w:val="16"/>
                <w:b w:val="1"/>
                <w:bCs w:val="1"/>
                <w:color w:val="auto"/>
                <w:w w:val="91"/>
              </w:rPr>
              <w:t>Non-Securitized</w:t>
            </w: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jc w:val="center"/>
              <w:ind w:right="380"/>
              <w:spacing w:after="0"/>
              <w:rPr>
                <w:sz w:val="20"/>
                <w:szCs w:val="20"/>
                <w:color w:val="auto"/>
              </w:rPr>
            </w:pPr>
            <w:r>
              <w:rPr>
                <w:rFonts w:ascii="Arial" w:cs="Arial" w:eastAsia="Arial" w:hAnsi="Arial"/>
                <w:sz w:val="16"/>
                <w:szCs w:val="16"/>
                <w:b w:val="1"/>
                <w:bCs w:val="1"/>
                <w:color w:val="auto"/>
                <w:w w:val="91"/>
              </w:rPr>
              <w:t>Securitized</w:t>
            </w: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ind w:right="191"/>
              <w:spacing w:after="0"/>
              <w:rPr>
                <w:sz w:val="20"/>
                <w:szCs w:val="20"/>
                <w:color w:val="auto"/>
              </w:rPr>
            </w:pPr>
            <w:r>
              <w:rPr>
                <w:rFonts w:ascii="Arial" w:cs="Arial" w:eastAsia="Arial" w:hAnsi="Arial"/>
                <w:sz w:val="16"/>
                <w:szCs w:val="16"/>
                <w:b w:val="1"/>
                <w:bCs w:val="1"/>
                <w:color w:val="auto"/>
                <w:w w:val="94"/>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stated interest rate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3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center"/>
              <w:ind w:right="172"/>
              <w:spacing w:after="0" w:line="203" w:lineRule="exact"/>
              <w:rPr>
                <w:sz w:val="20"/>
                <w:szCs w:val="20"/>
                <w:color w:val="auto"/>
              </w:rPr>
            </w:pPr>
            <w:r>
              <w:rPr>
                <w:rFonts w:ascii="Arial" w:cs="Arial" w:eastAsia="Arial" w:hAnsi="Arial"/>
                <w:sz w:val="18"/>
                <w:szCs w:val="18"/>
                <w:color w:val="auto"/>
                <w:w w:val="90"/>
              </w:rPr>
              <w:t>13.5%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jc w:val="center"/>
              <w:ind w:right="191"/>
              <w:spacing w:after="0" w:line="203" w:lineRule="exact"/>
              <w:rPr>
                <w:sz w:val="20"/>
                <w:szCs w:val="20"/>
                <w:color w:val="auto"/>
              </w:rPr>
            </w:pPr>
            <w:r>
              <w:rPr>
                <w:rFonts w:ascii="Arial" w:cs="Arial" w:eastAsia="Arial" w:hAnsi="Arial"/>
                <w:sz w:val="18"/>
                <w:szCs w:val="18"/>
                <w:color w:val="auto"/>
                <w:w w:val="90"/>
              </w:rPr>
              <w:t>13.5%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center"/>
              <w:ind w:right="191"/>
              <w:spacing w:after="0" w:line="203" w:lineRule="exact"/>
              <w:rPr>
                <w:sz w:val="20"/>
                <w:szCs w:val="20"/>
                <w:color w:val="auto"/>
              </w:rPr>
            </w:pPr>
            <w:r>
              <w:rPr>
                <w:rFonts w:ascii="Arial" w:cs="Arial" w:eastAsia="Arial" w:hAnsi="Arial"/>
                <w:sz w:val="18"/>
                <w:szCs w:val="18"/>
                <w:color w:val="auto"/>
                <w:w w:val="93"/>
              </w:rPr>
              <w:t>13.5%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Range of stated interest rates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0"/>
              </w:rPr>
              <w:t>3.0% to 17.9%</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0"/>
              </w:rPr>
              <w:t>6.0% to 15.9%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92"/>
              </w:rPr>
              <w:t>3.0% to 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300" w:type="dxa"/>
            <w:vAlign w:val="bottom"/>
            <w:gridSpan w:val="11"/>
          </w:tcPr>
          <w:p>
            <w:pPr>
              <w:ind w:left="620"/>
              <w:spacing w:after="0"/>
              <w:rPr>
                <w:sz w:val="20"/>
                <w:szCs w:val="20"/>
                <w:color w:val="auto"/>
              </w:rPr>
            </w:pPr>
            <w:r>
              <w:rPr>
                <w:rFonts w:ascii="Arial" w:cs="Arial" w:eastAsia="Arial" w:hAnsi="Arial"/>
                <w:sz w:val="18"/>
                <w:szCs w:val="18"/>
                <w:color w:val="auto"/>
              </w:rPr>
              <w:t>The following table summarizes activity related to our acquired vacation ownership notes receivable reserve.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12"/>
          </w:tcPr>
          <w:p>
            <w:pPr>
              <w:jc w:val="center"/>
              <w:ind w:right="220"/>
              <w:spacing w:after="0"/>
              <w:rPr>
                <w:sz w:val="20"/>
                <w:szCs w:val="20"/>
                <w:color w:val="auto"/>
              </w:rPr>
            </w:pPr>
            <w:r>
              <w:rPr>
                <w:rFonts w:ascii="Arial" w:cs="Arial" w:eastAsia="Arial" w:hAnsi="Arial"/>
                <w:sz w:val="16"/>
                <w:szCs w:val="16"/>
                <w:b w:val="1"/>
                <w:bCs w:val="1"/>
                <w:color w:val="auto"/>
                <w:w w:val="90"/>
              </w:rPr>
              <w:t>Acquired Vacation Ownership Notes Receivable Reserve</w:t>
            </w:r>
          </w:p>
        </w:tc>
        <w:tc>
          <w:tcPr>
            <w:tcW w:w="0" w:type="dxa"/>
            <w:vAlign w:val="bottom"/>
          </w:tcPr>
          <w:p>
            <w:pPr>
              <w:spacing w:after="0"/>
              <w:rPr>
                <w:sz w:val="1"/>
                <w:szCs w:val="1"/>
                <w:color w:val="auto"/>
              </w:rPr>
            </w:pPr>
          </w:p>
        </w:tc>
      </w:tr>
      <w:tr>
        <w:trPr>
          <w:trHeight w:val="210"/>
        </w:trPr>
        <w:tc>
          <w:tcPr>
            <w:tcW w:w="54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ind w:left="140"/>
              <w:spacing w:after="0"/>
              <w:rPr>
                <w:sz w:val="20"/>
                <w:szCs w:val="20"/>
                <w:color w:val="auto"/>
              </w:rPr>
            </w:pPr>
            <w:r>
              <w:rPr>
                <w:rFonts w:ascii="Arial" w:cs="Arial" w:eastAsia="Arial" w:hAnsi="Arial"/>
                <w:sz w:val="16"/>
                <w:szCs w:val="16"/>
                <w:b w:val="1"/>
                <w:bCs w:val="1"/>
                <w:color w:val="auto"/>
              </w:rPr>
              <w:t>Non-Securitized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5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Write-offs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w w:val="96"/>
              </w:rPr>
              <w:t>Defaulted vacation ownership notes receivable repurchase activity</w:t>
            </w:r>
            <w:r>
              <w:rPr>
                <w:rFonts w:ascii="Arial" w:cs="Arial" w:eastAsia="Arial" w:hAnsi="Arial"/>
                <w:sz w:val="9"/>
                <w:szCs w:val="9"/>
                <w:color w:val="auto"/>
                <w:w w:val="96"/>
              </w:rPr>
              <w:t>(1)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(Decrease) increase in vacation ownership notes receivable reserve</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Balance at March 31, 2021</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0" w:hanging="652"/>
        <w:spacing w:after="0" w:line="267" w:lineRule="auto"/>
        <w:tabs>
          <w:tab w:leader="none" w:pos="64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are attributable to the transfer of the reserve when we voluntarily repurchased defaulted securitized vacation ownership notes receivable.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Originated Vacation Ownership Notes Receivable</w:t>
      </w:r>
    </w:p>
    <w:p>
      <w:pPr>
        <w:spacing w:after="0" w:line="117"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subsequent to the Acquisition Date and all Legacy-MVW vacation ownership notes receivable. The following table shows future principal payments, net of reserves and interest rates for our originated non-securitized and securitized originated vacation ownership notes receivable at March 31,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1"/>
              </w:rPr>
              <w:t>Originated Vacation Ownership Notes Receivable</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1"/>
              </w:rPr>
              <w:t>Non-Securitized</w:t>
            </w:r>
          </w:p>
        </w:tc>
        <w:tc>
          <w:tcPr>
            <w:tcW w:w="2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1"/>
              </w:rPr>
              <w:t>Securitized</w:t>
            </w: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94"/>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stated interest rate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3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center"/>
              <w:ind w:right="152"/>
              <w:spacing w:after="0" w:line="203" w:lineRule="exact"/>
              <w:rPr>
                <w:sz w:val="20"/>
                <w:szCs w:val="20"/>
                <w:color w:val="auto"/>
              </w:rPr>
            </w:pPr>
            <w:r>
              <w:rPr>
                <w:rFonts w:ascii="Arial" w:cs="Arial" w:eastAsia="Arial" w:hAnsi="Arial"/>
                <w:sz w:val="18"/>
                <w:szCs w:val="18"/>
                <w:color w:val="auto"/>
                <w:w w:val="90"/>
              </w:rPr>
              <w:t>12.7%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center"/>
              <w:ind w:right="171"/>
              <w:spacing w:after="0" w:line="203" w:lineRule="exact"/>
              <w:rPr>
                <w:sz w:val="20"/>
                <w:szCs w:val="20"/>
                <w:color w:val="auto"/>
              </w:rPr>
            </w:pPr>
            <w:r>
              <w:rPr>
                <w:rFonts w:ascii="Arial" w:cs="Arial" w:eastAsia="Arial" w:hAnsi="Arial"/>
                <w:sz w:val="18"/>
                <w:szCs w:val="18"/>
                <w:color w:val="auto"/>
                <w:w w:val="90"/>
              </w:rPr>
              <w:t>12.7%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center"/>
              <w:ind w:right="171"/>
              <w:spacing w:after="0" w:line="203" w:lineRule="exact"/>
              <w:rPr>
                <w:sz w:val="20"/>
                <w:szCs w:val="20"/>
                <w:color w:val="auto"/>
              </w:rPr>
            </w:pPr>
            <w:r>
              <w:rPr>
                <w:rFonts w:ascii="Arial" w:cs="Arial" w:eastAsia="Arial" w:hAnsi="Arial"/>
                <w:sz w:val="18"/>
                <w:szCs w:val="18"/>
                <w:color w:val="auto"/>
                <w:w w:val="93"/>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Range of stated interest rates</w:t>
            </w:r>
          </w:p>
        </w:tc>
        <w:tc>
          <w:tcPr>
            <w:tcW w:w="2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0.0% to 18.0%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0.0% to 17.5%</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92"/>
              </w:rPr>
              <w:t>0.0% to 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right"/>
              <w:ind w:right="115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5240" w:type="dxa"/>
            <w:vAlign w:val="bottom"/>
            <w:tcBorders>
              <w:bottom w:val="single" w:sz="8" w:color="auto"/>
            </w:tcBorders>
            <w:gridSpan w:val="7"/>
          </w:tcPr>
          <w:p>
            <w:pPr>
              <w:jc w:val="right"/>
              <w:ind w:right="253"/>
              <w:spacing w:after="0"/>
              <w:rPr>
                <w:sz w:val="20"/>
                <w:szCs w:val="20"/>
                <w:color w:val="auto"/>
              </w:rPr>
            </w:pPr>
            <w:r>
              <w:rPr>
                <w:rFonts w:ascii="Arial" w:cs="Arial" w:eastAsia="Arial" w:hAnsi="Arial"/>
                <w:sz w:val="16"/>
                <w:szCs w:val="16"/>
                <w:b w:val="1"/>
                <w:bCs w:val="1"/>
                <w:color w:val="auto"/>
              </w:rPr>
              <w:t>Originated Vacation Ownership Notes Receivable Reserve</w:t>
            </w:r>
          </w:p>
        </w:tc>
        <w:tc>
          <w:tcPr>
            <w:tcW w:w="540" w:type="dxa"/>
            <w:vAlign w:val="bottom"/>
            <w:tcBorders>
              <w:bottom w:val="single" w:sz="8" w:color="auto"/>
            </w:tcBorders>
          </w:tcPr>
          <w:p>
            <w:pPr>
              <w:spacing w:after="0"/>
              <w:rPr>
                <w:sz w:val="18"/>
                <w:szCs w:val="18"/>
                <w:color w:val="auto"/>
              </w:rPr>
            </w:pPr>
          </w:p>
        </w:tc>
      </w:tr>
      <w:tr>
        <w:trPr>
          <w:trHeight w:val="21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Securitized</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Total</w:t>
            </w:r>
          </w:p>
        </w:tc>
        <w:tc>
          <w:tcPr>
            <w:tcW w:w="540" w:type="dxa"/>
            <w:vAlign w:val="bottom"/>
            <w:tcBorders>
              <w:bottom w:val="single" w:sz="8" w:color="auto"/>
            </w:tcBorders>
          </w:tcPr>
          <w:p>
            <w:pPr>
              <w:spacing w:after="0"/>
              <w:rPr>
                <w:sz w:val="18"/>
                <w:szCs w:val="18"/>
                <w:color w:val="auto"/>
              </w:rPr>
            </w:pPr>
          </w:p>
        </w:tc>
      </w:tr>
      <w:tr>
        <w:trPr>
          <w:trHeight w:val="22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00" w:type="dxa"/>
            <w:vAlign w:val="bottom"/>
            <w:shd w:val="clear" w:color="auto" w:fill="CCEEFF"/>
          </w:tcPr>
          <w:p>
            <w:pPr>
              <w:jc w:val="right"/>
              <w:ind w:right="131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5400" w:type="dxa"/>
            <w:vAlign w:val="bottom"/>
          </w:tcPr>
          <w:p>
            <w:pPr>
              <w:ind w:left="220"/>
              <w:spacing w:after="0"/>
              <w:rPr>
                <w:sz w:val="20"/>
                <w:szCs w:val="20"/>
                <w:color w:val="auto"/>
              </w:rPr>
            </w:pPr>
            <w:r>
              <w:rPr>
                <w:rFonts w:ascii="Arial" w:cs="Arial" w:eastAsia="Arial" w:hAnsi="Arial"/>
                <w:sz w:val="18"/>
                <w:szCs w:val="18"/>
                <w:color w:val="auto"/>
              </w:rPr>
              <w:t>Increase in vacation ownership notes receivable reserve</w:t>
            </w:r>
          </w:p>
        </w:tc>
        <w:tc>
          <w:tcPr>
            <w:tcW w:w="15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Write-offs</w:t>
            </w: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5"/>
              </w:rPr>
              <w:t>Defaulted vacation ownership notes receivable repurchase activity</w:t>
            </w:r>
            <w:r>
              <w:rPr>
                <w:rFonts w:ascii="Arial" w:cs="Arial" w:eastAsia="Arial" w:hAnsi="Arial"/>
                <w:sz w:val="9"/>
                <w:szCs w:val="9"/>
                <w:color w:val="auto"/>
                <w:w w:val="95"/>
              </w:rPr>
              <w:t>(1)</w:t>
            </w:r>
          </w:p>
        </w:tc>
        <w:tc>
          <w:tcPr>
            <w:tcW w:w="1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500" w:type="dxa"/>
            <w:vAlign w:val="bottom"/>
            <w:tcBorders>
              <w:bottom w:val="single" w:sz="8" w:color="auto"/>
            </w:tcBorders>
            <w:shd w:val="clear" w:color="auto" w:fill="CCEEFF"/>
          </w:tcPr>
          <w:p>
            <w:pPr>
              <w:jc w:val="right"/>
              <w:ind w:right="131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0" w:hanging="652"/>
        <w:spacing w:after="0" w:line="267" w:lineRule="auto"/>
        <w:tabs>
          <w:tab w:leader="none" w:pos="64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are attributable to the transfer of the reserve when we voluntarily repurchased defaulted securitized vacation ownership notes receivable.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of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Legacy-MVW Vacation Ownership Notes Receivable</w:t>
      </w:r>
    </w:p>
    <w:p>
      <w:pPr>
        <w:spacing w:after="0" w:line="117"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For both Legacy-MVW non-securitized and securitized vacation ownership notes receivable, we estimated average remaining default rates of 6.58 percent as of March 31, 2021, and 6.74 percent as of December 31, 2020. A 0.5 percentage point increase in the estimated default rate would have resulted in an increase in the related vacation ownership notes receivable reserve of $6 million as of March 31, 2021, and $6 million as of December 31, 2020.</w:t>
      </w:r>
    </w:p>
    <w:p>
      <w:pPr>
        <w:spacing w:after="0" w:line="41"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We use the aging of the vacation ownership notes receivable as the primary credit quality indicator for our Legacy-MVW vacation ownership notes receivable, as historical performance indicates that there is a relationship between the default behavior of borrowers and the age of the receivable associated with the vacation ownership interest.</w:t>
      </w:r>
    </w:p>
    <w:p>
      <w:pPr>
        <w:spacing w:after="0" w:line="76" w:lineRule="exact"/>
        <w:rPr>
          <w:sz w:val="20"/>
          <w:szCs w:val="20"/>
          <w:color w:val="auto"/>
        </w:rPr>
      </w:pPr>
    </w:p>
    <w:p>
      <w:pPr>
        <w:ind w:right="600" w:firstLine="648"/>
        <w:spacing w:after="0" w:line="274" w:lineRule="auto"/>
        <w:rPr>
          <w:sz w:val="20"/>
          <w:szCs w:val="20"/>
          <w:color w:val="auto"/>
        </w:rPr>
      </w:pPr>
      <w:r>
        <w:rPr>
          <w:rFonts w:ascii="Arial" w:cs="Arial" w:eastAsia="Arial" w:hAnsi="Arial"/>
          <w:sz w:val="18"/>
          <w:szCs w:val="18"/>
          <w:color w:val="auto"/>
        </w:rPr>
        <w:t>The following table shows our recorded investment in non-accrual Legacy-MVW vacation ownership notes receivable, which are vacation ownership notes receivable that are 90 days or more past due.</w:t>
      </w:r>
    </w:p>
    <w:p>
      <w:pPr>
        <w:ind w:left="6460"/>
        <w:spacing w:after="0"/>
        <w:rPr>
          <w:sz w:val="20"/>
          <w:szCs w:val="20"/>
          <w:color w:val="auto"/>
        </w:rPr>
      </w:pPr>
      <w:r>
        <w:rPr>
          <w:rFonts w:ascii="Arial" w:cs="Arial" w:eastAsia="Arial" w:hAnsi="Arial"/>
          <w:sz w:val="16"/>
          <w:szCs w:val="16"/>
          <w:b w:val="1"/>
          <w:bCs w:val="1"/>
          <w:color w:val="auto"/>
        </w:rPr>
        <w:t>Legacy-MVW Vacation Ownership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20320</wp:posOffset>
            </wp:positionV>
            <wp:extent cx="36772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5740" w:val="left"/>
          <w:tab w:leader="none" w:pos="7900" w:val="left"/>
          <w:tab w:leader="none" w:pos="10060" w:val="left"/>
        </w:tabs>
        <w:rPr>
          <w:sz w:val="20"/>
          <w:szCs w:val="20"/>
          <w:color w:val="auto"/>
        </w:rPr>
      </w:pPr>
      <w:r>
        <w:rPr>
          <w:rFonts w:ascii="Arial" w:cs="Arial" w:eastAsia="Arial" w:hAnsi="Arial"/>
          <w:sz w:val="14"/>
          <w:szCs w:val="14"/>
          <w:b w:val="1"/>
          <w:bCs w:val="1"/>
          <w:i w:val="1"/>
          <w:iCs w:val="1"/>
          <w:color w:val="auto"/>
        </w:rPr>
        <w:t>($ in millions)</w:t>
      </w:r>
      <w:r>
        <w:rPr>
          <w:sz w:val="20"/>
          <w:szCs w:val="20"/>
          <w:color w:val="auto"/>
        </w:rPr>
        <w:tab/>
      </w:r>
      <w:r>
        <w:rPr>
          <w:rFonts w:ascii="Arial" w:cs="Arial" w:eastAsia="Arial" w:hAnsi="Arial"/>
          <w:sz w:val="16"/>
          <w:szCs w:val="16"/>
          <w:b w:val="1"/>
          <w:bCs w:val="1"/>
          <w:color w:val="auto"/>
        </w:rPr>
        <w:t>Non-Securitized</w:t>
      </w:r>
      <w:r>
        <w:rPr>
          <w:sz w:val="20"/>
          <w:szCs w:val="20"/>
          <w:color w:val="auto"/>
        </w:rPr>
        <w:tab/>
      </w:r>
      <w:r>
        <w:rPr>
          <w:rFonts w:ascii="Arial" w:cs="Arial" w:eastAsia="Arial" w:hAnsi="Arial"/>
          <w:sz w:val="16"/>
          <w:szCs w:val="16"/>
          <w:b w:val="1"/>
          <w:bCs w:val="1"/>
          <w:color w:val="auto"/>
        </w:rPr>
        <w:t>Securitized</w:t>
      </w:r>
      <w:r>
        <w:rPr>
          <w:sz w:val="20"/>
          <w:szCs w:val="20"/>
          <w:color w:val="auto"/>
        </w:rPr>
        <w:tab/>
      </w:r>
      <w:r>
        <w:rPr>
          <w:rFonts w:ascii="Arial" w:cs="Arial" w:eastAsia="Arial" w:hAnsi="Arial"/>
          <w:sz w:val="15"/>
          <w:szCs w:val="15"/>
          <w:b w:val="1"/>
          <w:bCs w:val="1"/>
          <w:color w:val="auto"/>
        </w:rPr>
        <w:t>Total</w:t>
      </w:r>
    </w:p>
    <w:p>
      <w:pPr>
        <w:sectPr>
          <w:pgSz w:w="11900" w:h="16838" w:orient="portrait"/>
          <w:cols w:equalWidth="0" w:num="1">
            <w:col w:w="11240"/>
          </w:cols>
          <w:pgMar w:left="320" w:top="233" w:right="339" w:bottom="1440" w:gutter="0" w:footer="0" w:header="0"/>
        </w:sectPr>
      </w:pPr>
    </w:p>
    <w:p>
      <w:pPr>
        <w:spacing w:after="0" w:line="32"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Investment in vacation ownership notes receivable on non-accrual status at March 31, 2021</w:t>
      </w:r>
    </w:p>
    <w:p>
      <w:pPr>
        <w:ind w:left="20"/>
        <w:spacing w:after="0" w:line="234" w:lineRule="auto"/>
        <w:rPr>
          <w:sz w:val="20"/>
          <w:szCs w:val="20"/>
          <w:color w:val="auto"/>
        </w:rPr>
      </w:pPr>
      <w:r>
        <w:rPr>
          <w:rFonts w:ascii="Arial" w:cs="Arial" w:eastAsia="Arial" w:hAnsi="Arial"/>
          <w:sz w:val="18"/>
          <w:szCs w:val="18"/>
          <w:color w:val="auto"/>
        </w:rPr>
        <w:t>Investment in vacation ownership notes receivable on non-accrual status at December 31, 2020</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-153670</wp:posOffset>
            </wp:positionV>
            <wp:extent cx="7098030"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100</w:t>
            </w:r>
          </w:p>
        </w:tc>
        <w:tc>
          <w:tcPr>
            <w:tcW w:w="9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8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91"/>
        </w:trPr>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100</w:t>
            </w:r>
          </w:p>
        </w:tc>
        <w:tc>
          <w:tcPr>
            <w:tcW w:w="9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8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293" w:lineRule="exact"/>
        <w:rPr>
          <w:sz w:val="20"/>
          <w:szCs w:val="20"/>
          <w:color w:val="auto"/>
        </w:rPr>
      </w:pPr>
    </w:p>
    <w:p>
      <w:pPr>
        <w:sectPr>
          <w:pgSz w:w="11900" w:h="16838" w:orient="portrait"/>
          <w:cols w:equalWidth="0" w:num="3">
            <w:col w:w="5240" w:space="180"/>
            <w:col w:w="780" w:space="720"/>
            <w:col w:w="4320"/>
          </w:cols>
          <w:pgMar w:left="320" w:top="233" w:right="339" w:bottom="1440" w:gutter="0" w:footer="0" w:header="0"/>
          <w:type w:val="continuous"/>
        </w:sectPr>
      </w:pPr>
    </w:p>
    <w:p>
      <w:pPr>
        <w:spacing w:after="0" w:line="3" w:lineRule="exact"/>
        <w:rPr>
          <w:sz w:val="20"/>
          <w:szCs w:val="20"/>
          <w:color w:val="auto"/>
        </w:rPr>
      </w:pPr>
    </w:p>
    <w:p>
      <w:pPr>
        <w:ind w:right="740" w:firstLine="648"/>
        <w:spacing w:after="0" w:line="274"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March 31, 2021 and December 31, 2020.</w:t>
      </w:r>
    </w:p>
    <w:tbl>
      <w:tblPr>
        <w:tblLayout w:type="fixed"/>
        <w:tblInd w:w="0" w:type="dxa"/>
        <w:tblCellMar>
          <w:top w:w="0" w:type="dxa"/>
          <w:left w:w="0" w:type="dxa"/>
          <w:bottom w:w="0" w:type="dxa"/>
          <w:right w:w="0" w:type="dxa"/>
        </w:tblCellMar>
      </w:tblPr>
      <w:tr>
        <w:trPr>
          <w:trHeight w:val="213"/>
        </w:trPr>
        <w:tc>
          <w:tcPr>
            <w:tcW w:w="30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320" w:type="dxa"/>
            <w:vAlign w:val="bottom"/>
            <w:tcBorders>
              <w:bottom w:val="single" w:sz="8" w:color="auto"/>
            </w:tcBorders>
            <w:gridSpan w:val="11"/>
          </w:tcPr>
          <w:p>
            <w:pPr>
              <w:ind w:left="680"/>
              <w:spacing w:after="0"/>
              <w:rPr>
                <w:sz w:val="20"/>
                <w:szCs w:val="20"/>
                <w:color w:val="auto"/>
              </w:rPr>
            </w:pPr>
            <w:r>
              <w:rPr>
                <w:rFonts w:ascii="Arial" w:cs="Arial" w:eastAsia="Arial" w:hAnsi="Arial"/>
                <w:sz w:val="16"/>
                <w:szCs w:val="16"/>
                <w:b w:val="1"/>
                <w:bCs w:val="1"/>
                <w:color w:val="auto"/>
              </w:rPr>
              <w:t>Legacy-MVW Vacation Ownership Notes Receivable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3"/>
              </w:rPr>
              <w:t>As of March 31, 2021</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ind w:left="391"/>
              <w:spacing w:after="0"/>
              <w:rPr>
                <w:sz w:val="20"/>
                <w:szCs w:val="20"/>
                <w:color w:val="auto"/>
              </w:rPr>
            </w:pPr>
            <w:r>
              <w:rPr>
                <w:rFonts w:ascii="Arial" w:cs="Arial" w:eastAsia="Arial" w:hAnsi="Arial"/>
                <w:sz w:val="16"/>
                <w:szCs w:val="16"/>
                <w:b w:val="1"/>
                <w:bCs w:val="1"/>
                <w:color w:val="auto"/>
                <w:w w:val="91"/>
              </w:rPr>
              <w:t>As of December 31, 2020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Non-Securitized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32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Non-Securitized</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Securitized</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 90 days past due</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91 – 150 days past due</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150 days past due</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3060" w:type="dxa"/>
            <w:vAlign w:val="bottom"/>
          </w:tcPr>
          <w:p>
            <w:pPr>
              <w:ind w:left="240"/>
              <w:spacing w:after="0"/>
              <w:rPr>
                <w:sz w:val="20"/>
                <w:szCs w:val="20"/>
                <w:color w:val="auto"/>
              </w:rPr>
            </w:pPr>
            <w:r>
              <w:rPr>
                <w:rFonts w:ascii="Arial" w:cs="Arial" w:eastAsia="Arial" w:hAnsi="Arial"/>
                <w:sz w:val="18"/>
                <w:szCs w:val="18"/>
                <w:color w:val="auto"/>
              </w:rPr>
              <w:t>Total past due</w:t>
            </w: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155"/>
        </w:trPr>
        <w:tc>
          <w:tcPr>
            <w:tcW w:w="3060" w:type="dxa"/>
            <w:vAlign w:val="bottom"/>
          </w:tcPr>
          <w:p>
            <w:pPr>
              <w:ind w:left="240"/>
              <w:spacing w:after="0" w:line="156" w:lineRule="exact"/>
              <w:rPr>
                <w:sz w:val="20"/>
                <w:szCs w:val="20"/>
                <w:color w:val="auto"/>
              </w:rPr>
            </w:pPr>
            <w:r>
              <w:rPr>
                <w:rFonts w:ascii="Arial" w:cs="Arial" w:eastAsia="Arial" w:hAnsi="Arial"/>
                <w:sz w:val="18"/>
                <w:szCs w:val="18"/>
                <w:color w:val="auto"/>
              </w:rPr>
              <w:t>Total vacation ownership notes</w:t>
            </w:r>
          </w:p>
        </w:tc>
        <w:tc>
          <w:tcPr>
            <w:tcW w:w="520" w:type="dxa"/>
            <w:vAlign w:val="bottom"/>
            <w:vMerge w:val="restart"/>
          </w:tcPr>
          <w:p>
            <w:pPr>
              <w:jc w:val="right"/>
              <w:ind w:right="333"/>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392</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3"/>
                <w:szCs w:val="13"/>
                <w:color w:val="auto"/>
              </w:rPr>
            </w:pPr>
          </w:p>
        </w:tc>
        <w:tc>
          <w:tcPr>
            <w:tcW w:w="520" w:type="dxa"/>
            <w:vAlign w:val="bottom"/>
            <w:vMerge w:val="restart"/>
          </w:tcPr>
          <w:p>
            <w:pPr>
              <w:jc w:val="right"/>
              <w:ind w:right="313"/>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3"/>
        </w:trPr>
        <w:tc>
          <w:tcPr>
            <w:tcW w:w="3060" w:type="dxa"/>
            <w:vAlign w:val="bottom"/>
          </w:tcPr>
          <w:p>
            <w:pPr>
              <w:ind w:left="240"/>
              <w:spacing w:after="0" w:line="202" w:lineRule="exact"/>
              <w:rPr>
                <w:sz w:val="20"/>
                <w:szCs w:val="20"/>
                <w:color w:val="auto"/>
              </w:rPr>
            </w:pPr>
            <w:r>
              <w:rPr>
                <w:rFonts w:ascii="Arial" w:cs="Arial" w:eastAsia="Arial" w:hAnsi="Arial"/>
                <w:sz w:val="18"/>
                <w:szCs w:val="18"/>
                <w:color w:val="auto"/>
              </w:rPr>
              <w:t>receivable</w:t>
            </w:r>
          </w:p>
        </w:tc>
        <w:tc>
          <w:tcPr>
            <w:tcW w:w="5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3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14</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origination year of our Legacy-MVW vacation ownership notes receivable as of March 31,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6"/>
          </w:tcPr>
          <w:p>
            <w:pPr>
              <w:jc w:val="right"/>
              <w:ind w:right="373"/>
              <w:spacing w:after="0"/>
              <w:rPr>
                <w:sz w:val="20"/>
                <w:szCs w:val="20"/>
                <w:color w:val="auto"/>
              </w:rPr>
            </w:pPr>
            <w:r>
              <w:rPr>
                <w:rFonts w:ascii="Arial" w:cs="Arial" w:eastAsia="Arial" w:hAnsi="Arial"/>
                <w:sz w:val="16"/>
                <w:szCs w:val="16"/>
                <w:b w:val="1"/>
                <w:bCs w:val="1"/>
                <w:color w:val="auto"/>
              </w:rPr>
              <w:t>Legacy-MVW Vacation Ownership Notes Receivable</w:t>
            </w:r>
          </w:p>
        </w:tc>
        <w:tc>
          <w:tcPr>
            <w:tcW w:w="620" w:type="dxa"/>
            <w:vAlign w:val="bottom"/>
            <w:tcBorders>
              <w:bottom w:val="single" w:sz="8" w:color="auto"/>
            </w:tcBorders>
          </w:tcPr>
          <w:p>
            <w:pPr>
              <w:spacing w:after="0"/>
              <w:rPr>
                <w:sz w:val="18"/>
                <w:szCs w:val="18"/>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Non-Securitized</w:t>
            </w:r>
          </w:p>
        </w:tc>
        <w:tc>
          <w:tcPr>
            <w:tcW w:w="1420" w:type="dxa"/>
            <w:vAlign w:val="bottom"/>
          </w:tcPr>
          <w:p>
            <w:pPr>
              <w:jc w:val="right"/>
              <w:ind w:right="13"/>
              <w:spacing w:after="0"/>
              <w:rPr>
                <w:sz w:val="20"/>
                <w:szCs w:val="20"/>
                <w:color w:val="auto"/>
              </w:rPr>
            </w:pPr>
            <w:r>
              <w:rPr>
                <w:rFonts w:ascii="Arial" w:cs="Arial" w:eastAsia="Arial" w:hAnsi="Arial"/>
                <w:sz w:val="16"/>
                <w:szCs w:val="16"/>
                <w:b w:val="1"/>
                <w:bCs w:val="1"/>
                <w:color w:val="auto"/>
              </w:rPr>
              <w:t>Securitized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6"/>
                <w:szCs w:val="16"/>
                <w:b w:val="1"/>
                <w:bCs w:val="1"/>
                <w:color w:val="auto"/>
              </w:rPr>
              <w:t>Total</w:t>
            </w:r>
          </w:p>
        </w:tc>
        <w:tc>
          <w:tcPr>
            <w:tcW w:w="620" w:type="dxa"/>
            <w:vAlign w:val="bottom"/>
          </w:tcPr>
          <w:p>
            <w:pPr>
              <w:spacing w:after="0"/>
              <w:rPr>
                <w:sz w:val="18"/>
                <w:szCs w:val="18"/>
                <w:color w:val="auto"/>
              </w:rPr>
            </w:pPr>
          </w:p>
        </w:tc>
      </w:tr>
      <w:tr>
        <w:trPr>
          <w:trHeight w:val="212"/>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of Origination</w:t>
            </w:r>
          </w:p>
        </w:tc>
        <w:tc>
          <w:tcPr>
            <w:tcW w:w="2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2021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420" w:type="dxa"/>
            <w:vAlign w:val="bottom"/>
          </w:tcPr>
          <w:p>
            <w:pPr>
              <w:jc w:val="right"/>
              <w:ind w:right="1233"/>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2016 and Prior</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53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12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r>
      <w:tr>
        <w:trPr>
          <w:trHeight w:val="21"/>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Legacy-ILG Vacation Ownership Notes Receivable</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March 31, 2021 and December 31, 2020, the weighted average FICO score within our consolidated Legacy-ILG vacation ownership notes receivable pools was 708 and 708, respectively, based upon the outstanding vacation ownership notes receivable balance at time of origination. The average estimated rate for all future defaults for our Legacy-ILG consolidated outstanding pool of vacation ownership notes receivable was 14.62 percent as of March 31, 2021 and 14.63 percent as of December 31, 2020. A 0.5 percentage point increase in the estimated default rate on the Legacy-ILG vacation ownership notes receivable would have resulted in an increase in the related vacation ownership notes receivable reserve of $3 million as of March 31, 2021, and $3 million as of December 31, 2020.</w:t>
      </w:r>
    </w:p>
    <w:p>
      <w:pPr>
        <w:spacing w:after="0" w:line="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use the origination of the vacation ownership notes receivable by brand (Westin, Sheraton, Hyatt) and the FICO scores of the customer as the primary credit quality indicators for our Legacy-ILG vacation ownership notes receivable, as historical performance indicates that there is a relationship between the default behavior of borrowers and the brand associated with the vacation ownership interest they have acquired, supplemented by the FICO scores of the customers.</w:t>
      </w:r>
    </w:p>
    <w:p>
      <w:pPr>
        <w:spacing w:after="0" w:line="7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Legacy-ILG vacation ownership notes receivable, which are vacation ownership notes receivable that are 90 days or more past due.</w:t>
      </w:r>
    </w:p>
    <w:p>
      <w:pPr>
        <w:sectPr>
          <w:pgSz w:w="11900" w:h="16838" w:orient="portrait"/>
          <w:cols w:equalWidth="0" w:num="1">
            <w:col w:w="11240"/>
          </w:cols>
          <w:pgMar w:left="320" w:top="233" w:right="339" w:bottom="1440" w:gutter="0" w:footer="0" w:header="0"/>
        </w:sect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32"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Investment in vacation ownership notes receivable on non-accrual status at March 31, 2021</w:t>
      </w:r>
    </w:p>
    <w:p>
      <w:pPr>
        <w:ind w:left="20"/>
        <w:spacing w:after="0" w:line="234" w:lineRule="auto"/>
        <w:rPr>
          <w:sz w:val="20"/>
          <w:szCs w:val="20"/>
          <w:color w:val="auto"/>
        </w:rPr>
      </w:pPr>
      <w:r>
        <w:rPr>
          <w:rFonts w:ascii="Arial" w:cs="Arial" w:eastAsia="Arial" w:hAnsi="Arial"/>
          <w:sz w:val="18"/>
          <w:szCs w:val="18"/>
          <w:color w:val="auto"/>
        </w:rPr>
        <w:t>Investment in vacation ownership notes receivable on non-accrual status at December 31, 2020</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Legacy-ILG Vacation Ownership Notes Receivable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Securitized</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Total</w:t>
            </w:r>
          </w:p>
        </w:tc>
      </w:tr>
      <w:tr>
        <w:trPr>
          <w:trHeight w:val="307"/>
        </w:trPr>
        <w:tc>
          <w:tcPr>
            <w:tcW w:w="1500" w:type="dxa"/>
            <w:vAlign w:val="bottom"/>
          </w:tcPr>
          <w:p>
            <w:pPr>
              <w:jc w:val="right"/>
              <w:ind w:right="131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118</w:t>
            </w:r>
          </w:p>
        </w:tc>
        <w:tc>
          <w:tcPr>
            <w:tcW w:w="100" w:type="dxa"/>
            <w:vAlign w:val="bottom"/>
          </w:tcPr>
          <w:p>
            <w:pPr>
              <w:spacing w:after="0"/>
              <w:rPr>
                <w:sz w:val="24"/>
                <w:szCs w:val="24"/>
                <w:color w:val="auto"/>
              </w:rPr>
            </w:pPr>
          </w:p>
        </w:tc>
        <w:tc>
          <w:tcPr>
            <w:tcW w:w="1480" w:type="dxa"/>
            <w:vAlign w:val="bottom"/>
          </w:tcPr>
          <w:p>
            <w:pPr>
              <w:jc w:val="right"/>
              <w:ind w:right="1273"/>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92"/>
        </w:trPr>
        <w:tc>
          <w:tcPr>
            <w:tcW w:w="1500" w:type="dxa"/>
            <w:vAlign w:val="bottom"/>
          </w:tcPr>
          <w:p>
            <w:pPr>
              <w:jc w:val="right"/>
              <w:ind w:right="131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109</w:t>
            </w:r>
          </w:p>
        </w:tc>
        <w:tc>
          <w:tcPr>
            <w:tcW w:w="100" w:type="dxa"/>
            <w:vAlign w:val="bottom"/>
          </w:tcPr>
          <w:p>
            <w:pPr>
              <w:spacing w:after="0"/>
              <w:rPr>
                <w:sz w:val="24"/>
                <w:szCs w:val="24"/>
                <w:color w:val="auto"/>
              </w:rPr>
            </w:pPr>
          </w:p>
        </w:tc>
        <w:tc>
          <w:tcPr>
            <w:tcW w:w="1480" w:type="dxa"/>
            <w:vAlign w:val="bottom"/>
          </w:tcPr>
          <w:p>
            <w:pPr>
              <w:jc w:val="right"/>
              <w:ind w:right="1273"/>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-454025</wp:posOffset>
            </wp:positionV>
            <wp:extent cx="709803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5240" w:space="160"/>
            <w:col w:w="5840"/>
          </w:cols>
          <w:pgMar w:left="320" w:top="233" w:right="339" w:bottom="1440" w:gutter="0" w:footer="0" w:header="0"/>
          <w:type w:val="continuous"/>
        </w:sectPr>
      </w:pPr>
    </w:p>
    <w:p>
      <w:pPr>
        <w:spacing w:after="0" w:line="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Legacy-ILG vacation ownership notes receivable as of March 31, 2021 and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340" w:type="dxa"/>
            <w:vAlign w:val="bottom"/>
            <w:tcBorders>
              <w:bottom w:val="single" w:sz="8" w:color="auto"/>
            </w:tcBorders>
            <w:gridSpan w:val="11"/>
          </w:tcPr>
          <w:p>
            <w:pPr>
              <w:ind w:left="760"/>
              <w:spacing w:after="0"/>
              <w:rPr>
                <w:sz w:val="20"/>
                <w:szCs w:val="20"/>
                <w:color w:val="auto"/>
              </w:rPr>
            </w:pPr>
            <w:r>
              <w:rPr>
                <w:rFonts w:ascii="Arial" w:cs="Arial" w:eastAsia="Arial" w:hAnsi="Arial"/>
                <w:sz w:val="16"/>
                <w:szCs w:val="16"/>
                <w:b w:val="1"/>
                <w:bCs w:val="1"/>
                <w:color w:val="auto"/>
              </w:rPr>
              <w:t>Legacy-ILG Vacation Ownership Notes Receivable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3"/>
              </w:rPr>
              <w:t>As of March 31, 2021</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As of December 31, 2020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Non-Securitized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Securitized</w:t>
            </w:r>
          </w:p>
        </w:tc>
        <w:tc>
          <w:tcPr>
            <w:tcW w:w="320" w:type="dxa"/>
            <w:vAlign w:val="bottom"/>
          </w:tcPr>
          <w:p>
            <w:pPr>
              <w:spacing w:after="0"/>
              <w:rPr>
                <w:sz w:val="18"/>
                <w:szCs w:val="18"/>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Non-Securitized</w:t>
            </w:r>
          </w:p>
        </w:tc>
        <w:tc>
          <w:tcPr>
            <w:tcW w:w="1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Securitized</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 90 days past due</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91 – 120 days past due</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120 days past due</w:t>
            </w: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Arial" w:cs="Arial" w:eastAsia="Arial" w:hAnsi="Arial"/>
                <w:sz w:val="18"/>
                <w:szCs w:val="18"/>
                <w:color w:val="auto"/>
              </w:rPr>
              <w:t>Total past due</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155"/>
        </w:trPr>
        <w:tc>
          <w:tcPr>
            <w:tcW w:w="3080" w:type="dxa"/>
            <w:vAlign w:val="bottom"/>
          </w:tcPr>
          <w:p>
            <w:pPr>
              <w:ind w:left="240"/>
              <w:spacing w:after="0" w:line="156" w:lineRule="exact"/>
              <w:rPr>
                <w:sz w:val="20"/>
                <w:szCs w:val="20"/>
                <w:color w:val="auto"/>
              </w:rPr>
            </w:pPr>
            <w:r>
              <w:rPr>
                <w:rFonts w:ascii="Arial" w:cs="Arial" w:eastAsia="Arial" w:hAnsi="Arial"/>
                <w:sz w:val="18"/>
                <w:szCs w:val="18"/>
                <w:color w:val="auto"/>
              </w:rPr>
              <w:t>Total vacation ownership notes</w:t>
            </w:r>
          </w:p>
        </w:tc>
        <w:tc>
          <w:tcPr>
            <w:tcW w:w="520" w:type="dxa"/>
            <w:vAlign w:val="bottom"/>
            <w:vMerge w:val="restart"/>
          </w:tcPr>
          <w:p>
            <w:pPr>
              <w:jc w:val="right"/>
              <w:ind w:right="333"/>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281</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3"/>
                <w:szCs w:val="13"/>
                <w:color w:val="auto"/>
              </w:rPr>
            </w:pPr>
          </w:p>
        </w:tc>
        <w:tc>
          <w:tcPr>
            <w:tcW w:w="520" w:type="dxa"/>
            <w:vAlign w:val="bottom"/>
            <w:vMerge w:val="restart"/>
          </w:tcPr>
          <w:p>
            <w:pPr>
              <w:jc w:val="right"/>
              <w:ind w:right="333"/>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03"/>
        </w:trPr>
        <w:tc>
          <w:tcPr>
            <w:tcW w:w="3080" w:type="dxa"/>
            <w:vAlign w:val="bottom"/>
          </w:tcPr>
          <w:p>
            <w:pPr>
              <w:ind w:left="240"/>
              <w:spacing w:after="0" w:line="202" w:lineRule="exact"/>
              <w:rPr>
                <w:sz w:val="20"/>
                <w:szCs w:val="20"/>
                <w:color w:val="auto"/>
              </w:rPr>
            </w:pPr>
            <w:r>
              <w:rPr>
                <w:rFonts w:ascii="Arial" w:cs="Arial" w:eastAsia="Arial" w:hAnsi="Arial"/>
                <w:sz w:val="18"/>
                <w:szCs w:val="18"/>
                <w:color w:val="auto"/>
              </w:rPr>
              <w:t>receivable</w:t>
            </w:r>
          </w:p>
        </w:tc>
        <w:tc>
          <w:tcPr>
            <w:tcW w:w="5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0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firstLine="648"/>
        <w:spacing w:after="0" w:line="274" w:lineRule="auto"/>
        <w:rPr>
          <w:sz w:val="20"/>
          <w:szCs w:val="20"/>
          <w:color w:val="auto"/>
        </w:rPr>
      </w:pPr>
      <w:r>
        <w:rPr>
          <w:rFonts w:ascii="Arial" w:cs="Arial" w:eastAsia="Arial" w:hAnsi="Arial"/>
          <w:sz w:val="18"/>
          <w:szCs w:val="18"/>
          <w:color w:val="auto"/>
        </w:rPr>
        <w:t>The following tables show the Legacy-ILG acquired vacation ownership notes receivable by brand and FICO score, before reserves. Vacation ownership notes receivable with no FICO score primarily relate to non-U.S. resident borrowers.</w:t>
      </w:r>
    </w:p>
    <w:tbl>
      <w:tblPr>
        <w:tblLayout w:type="fixed"/>
        <w:tblInd w:w="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920" w:type="dxa"/>
            <w:vAlign w:val="bottom"/>
            <w:tcBorders>
              <w:bottom w:val="single" w:sz="8" w:color="auto"/>
            </w:tcBorders>
            <w:gridSpan w:val="12"/>
          </w:tcPr>
          <w:p>
            <w:pPr>
              <w:jc w:val="center"/>
              <w:ind w:left="573"/>
              <w:spacing w:after="0"/>
              <w:rPr>
                <w:sz w:val="20"/>
                <w:szCs w:val="20"/>
                <w:color w:val="auto"/>
              </w:rPr>
            </w:pPr>
            <w:r>
              <w:rPr>
                <w:rFonts w:ascii="Arial" w:cs="Arial" w:eastAsia="Arial" w:hAnsi="Arial"/>
                <w:sz w:val="16"/>
                <w:szCs w:val="16"/>
                <w:b w:val="1"/>
                <w:bCs w:val="1"/>
                <w:color w:val="auto"/>
                <w:w w:val="91"/>
              </w:rPr>
              <w:t>Acquired Vacation Ownership Notes Receivable as of March 31, 2021</w:t>
            </w:r>
          </w:p>
        </w:tc>
        <w:tc>
          <w:tcPr>
            <w:tcW w:w="980" w:type="dxa"/>
            <w:vAlign w:val="bottom"/>
            <w:tcBorders>
              <w:bottom w:val="single" w:sz="8" w:color="auto"/>
            </w:tcBorders>
          </w:tcPr>
          <w:p>
            <w:pPr>
              <w:spacing w:after="0"/>
              <w:rPr>
                <w:sz w:val="18"/>
                <w:szCs w:val="18"/>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8"/>
                <w:szCs w:val="18"/>
                <w:color w:val="auto"/>
              </w:rPr>
            </w:pPr>
          </w:p>
        </w:tc>
        <w:tc>
          <w:tcPr>
            <w:tcW w:w="1040" w:type="dxa"/>
            <w:vAlign w:val="bottom"/>
          </w:tcPr>
          <w:p>
            <w:pPr>
              <w:jc w:val="right"/>
              <w:ind w:right="39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72"/>
              <w:spacing w:after="0"/>
              <w:rPr>
                <w:sz w:val="20"/>
                <w:szCs w:val="20"/>
                <w:color w:val="auto"/>
              </w:rPr>
            </w:pPr>
            <w:r>
              <w:rPr>
                <w:rFonts w:ascii="Arial" w:cs="Arial" w:eastAsia="Arial" w:hAnsi="Arial"/>
                <w:sz w:val="16"/>
                <w:szCs w:val="16"/>
                <w:b w:val="1"/>
                <w:bCs w:val="1"/>
                <w:color w:val="auto"/>
              </w:rPr>
              <w:t>600 - 699</w:t>
            </w:r>
          </w:p>
        </w:tc>
        <w:tc>
          <w:tcPr>
            <w:tcW w:w="120" w:type="dxa"/>
            <w:vAlign w:val="bottom"/>
          </w:tcPr>
          <w:p>
            <w:pPr>
              <w:spacing w:after="0"/>
              <w:rPr>
                <w:sz w:val="18"/>
                <w:szCs w:val="18"/>
                <w:color w:val="auto"/>
              </w:rPr>
            </w:pPr>
          </w:p>
        </w:tc>
        <w:tc>
          <w:tcPr>
            <w:tcW w:w="980" w:type="dxa"/>
            <w:vAlign w:val="bottom"/>
          </w:tcPr>
          <w:p>
            <w:pPr>
              <w:jc w:val="center"/>
              <w:ind w:left="273"/>
              <w:spacing w:after="0"/>
              <w:rPr>
                <w:sz w:val="20"/>
                <w:szCs w:val="20"/>
                <w:color w:val="auto"/>
              </w:rPr>
            </w:pPr>
            <w:r>
              <w:rPr>
                <w:rFonts w:ascii="Arial" w:cs="Arial" w:eastAsia="Arial" w:hAnsi="Arial"/>
                <w:sz w:val="16"/>
                <w:szCs w:val="16"/>
                <w:b w:val="1"/>
                <w:bCs w:val="1"/>
                <w:color w:val="auto"/>
                <w:w w:val="93"/>
              </w:rPr>
              <w:t>&lt; 600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380" w:type="dxa"/>
            <w:vAlign w:val="bottom"/>
          </w:tcPr>
          <w:p>
            <w:pPr>
              <w:spacing w:after="0"/>
              <w:rPr>
                <w:sz w:val="18"/>
                <w:szCs w:val="18"/>
                <w:color w:val="auto"/>
              </w:rPr>
            </w:pPr>
          </w:p>
        </w:tc>
        <w:tc>
          <w:tcPr>
            <w:tcW w:w="98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Sheraton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40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30"/>
        </w:trPr>
        <w:tc>
          <w:tcPr>
            <w:tcW w:w="4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12"/>
          </w:tcPr>
          <w:p>
            <w:pPr>
              <w:jc w:val="center"/>
              <w:ind w:left="573"/>
              <w:spacing w:after="0"/>
              <w:rPr>
                <w:sz w:val="20"/>
                <w:szCs w:val="20"/>
                <w:color w:val="auto"/>
              </w:rPr>
            </w:pPr>
            <w:r>
              <w:rPr>
                <w:rFonts w:ascii="Arial" w:cs="Arial" w:eastAsia="Arial" w:hAnsi="Arial"/>
                <w:sz w:val="16"/>
                <w:szCs w:val="16"/>
                <w:b w:val="1"/>
                <w:bCs w:val="1"/>
                <w:color w:val="auto"/>
                <w:w w:val="90"/>
              </w:rPr>
              <w:t>Acquired Vacation Ownership Notes Receivable as of December 31, 2020</w:t>
            </w:r>
          </w:p>
        </w:tc>
        <w:tc>
          <w:tcPr>
            <w:tcW w:w="980" w:type="dxa"/>
            <w:vAlign w:val="bottom"/>
            <w:tcBorders>
              <w:bottom w:val="single" w:sz="8" w:color="auto"/>
            </w:tcBorders>
          </w:tcPr>
          <w:p>
            <w:pPr>
              <w:spacing w:after="0"/>
              <w:rPr>
                <w:sz w:val="24"/>
                <w:szCs w:val="24"/>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8"/>
                <w:szCs w:val="18"/>
                <w:color w:val="auto"/>
              </w:rPr>
            </w:pPr>
          </w:p>
        </w:tc>
        <w:tc>
          <w:tcPr>
            <w:tcW w:w="1040" w:type="dxa"/>
            <w:vAlign w:val="bottom"/>
          </w:tcPr>
          <w:p>
            <w:pPr>
              <w:jc w:val="right"/>
              <w:ind w:right="39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72"/>
              <w:spacing w:after="0"/>
              <w:rPr>
                <w:sz w:val="20"/>
                <w:szCs w:val="20"/>
                <w:color w:val="auto"/>
              </w:rPr>
            </w:pPr>
            <w:r>
              <w:rPr>
                <w:rFonts w:ascii="Arial" w:cs="Arial" w:eastAsia="Arial" w:hAnsi="Arial"/>
                <w:sz w:val="16"/>
                <w:szCs w:val="16"/>
                <w:b w:val="1"/>
                <w:bCs w:val="1"/>
                <w:color w:val="auto"/>
              </w:rPr>
              <w:t>600 - 699</w:t>
            </w:r>
          </w:p>
        </w:tc>
        <w:tc>
          <w:tcPr>
            <w:tcW w:w="120" w:type="dxa"/>
            <w:vAlign w:val="bottom"/>
          </w:tcPr>
          <w:p>
            <w:pPr>
              <w:spacing w:after="0"/>
              <w:rPr>
                <w:sz w:val="18"/>
                <w:szCs w:val="18"/>
                <w:color w:val="auto"/>
              </w:rPr>
            </w:pPr>
          </w:p>
        </w:tc>
        <w:tc>
          <w:tcPr>
            <w:tcW w:w="980" w:type="dxa"/>
            <w:vAlign w:val="bottom"/>
          </w:tcPr>
          <w:p>
            <w:pPr>
              <w:jc w:val="center"/>
              <w:ind w:left="273"/>
              <w:spacing w:after="0"/>
              <w:rPr>
                <w:sz w:val="20"/>
                <w:szCs w:val="20"/>
                <w:color w:val="auto"/>
              </w:rPr>
            </w:pPr>
            <w:r>
              <w:rPr>
                <w:rFonts w:ascii="Arial" w:cs="Arial" w:eastAsia="Arial" w:hAnsi="Arial"/>
                <w:sz w:val="16"/>
                <w:szCs w:val="16"/>
                <w:b w:val="1"/>
                <w:bCs w:val="1"/>
                <w:color w:val="auto"/>
                <w:w w:val="93"/>
              </w:rPr>
              <w:t>&lt; 600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380" w:type="dxa"/>
            <w:vAlign w:val="bottom"/>
          </w:tcPr>
          <w:p>
            <w:pPr>
              <w:spacing w:after="0"/>
              <w:rPr>
                <w:sz w:val="18"/>
                <w:szCs w:val="18"/>
                <w:color w:val="auto"/>
              </w:rPr>
            </w:pPr>
          </w:p>
        </w:tc>
        <w:tc>
          <w:tcPr>
            <w:tcW w:w="98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Sheraton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40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90" w:lineRule="auto"/>
        <w:rPr>
          <w:sz w:val="20"/>
          <w:szCs w:val="20"/>
          <w:color w:val="auto"/>
        </w:rPr>
      </w:pPr>
      <w:r>
        <w:rPr>
          <w:rFonts w:ascii="Arial" w:cs="Arial" w:eastAsia="Arial" w:hAnsi="Arial"/>
          <w:sz w:val="17"/>
          <w:szCs w:val="17"/>
          <w:color w:val="auto"/>
        </w:rPr>
        <w:t>The following table details the origination year of our Legacy-ILG acquired vacation ownership notes receivable by brand and FICO score as of March 31, 2021. Vacation ownership notes receivable with no FICO score primarily relate to non-U.S. resident borrowers.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10"/>
          </w:tcPr>
          <w:p>
            <w:pPr>
              <w:jc w:val="center"/>
              <w:ind w:right="220"/>
              <w:spacing w:after="0"/>
              <w:rPr>
                <w:sz w:val="20"/>
                <w:szCs w:val="20"/>
                <w:color w:val="auto"/>
              </w:rPr>
            </w:pPr>
            <w:r>
              <w:rPr>
                <w:rFonts w:ascii="Arial" w:cs="Arial" w:eastAsia="Arial" w:hAnsi="Arial"/>
                <w:sz w:val="16"/>
                <w:szCs w:val="16"/>
                <w:b w:val="1"/>
                <w:bCs w:val="1"/>
                <w:color w:val="auto"/>
                <w:w w:val="91"/>
              </w:rPr>
              <w:t>Acquired Vacation Ownership Notes Receivable - Westin</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8"/>
                <w:szCs w:val="18"/>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ind w:left="36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right="15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2016 &amp; Prior</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r>
      <w:tr>
        <w:trPr>
          <w:trHeight w:val="230"/>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880" w:type="dxa"/>
            <w:vAlign w:val="bottom"/>
          </w:tcPr>
          <w:p>
            <w:pPr>
              <w:ind w:left="20"/>
              <w:spacing w:after="0"/>
              <w:rPr>
                <w:sz w:val="20"/>
                <w:szCs w:val="20"/>
                <w:color w:val="auto"/>
              </w:rPr>
            </w:pPr>
            <w:r>
              <w:rPr>
                <w:rFonts w:ascii="Arial" w:cs="Arial" w:eastAsia="Arial" w:hAnsi="Arial"/>
                <w:sz w:val="16"/>
                <w:szCs w:val="16"/>
                <w:color w:val="auto"/>
              </w:rPr>
              <w:t>- 699</w:t>
            </w:r>
          </w:p>
        </w:tc>
        <w:tc>
          <w:tcPr>
            <w:tcW w:w="320" w:type="dxa"/>
            <w:vAlign w:val="bottom"/>
          </w:tcPr>
          <w:p>
            <w:pPr>
              <w:spacing w:after="0"/>
              <w:rPr>
                <w:sz w:val="19"/>
                <w:szCs w:val="19"/>
                <w:color w:val="auto"/>
              </w:rPr>
            </w:pPr>
          </w:p>
        </w:tc>
        <w:tc>
          <w:tcPr>
            <w:tcW w:w="114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4"/>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r>
      <w:tr>
        <w:trPr>
          <w:trHeight w:val="229"/>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3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320" w:type="dxa"/>
            <w:vAlign w:val="bottom"/>
          </w:tcPr>
          <w:p>
            <w:pPr>
              <w:spacing w:after="0"/>
              <w:rPr>
                <w:sz w:val="19"/>
                <w:szCs w:val="19"/>
                <w:color w:val="auto"/>
              </w:rPr>
            </w:pPr>
          </w:p>
        </w:tc>
        <w:tc>
          <w:tcPr>
            <w:tcW w:w="114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4"/>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1"/>
                <w:szCs w:val="2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0"/>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11"/>
          </w:tcPr>
          <w:p>
            <w:pPr>
              <w:jc w:val="center"/>
              <w:ind w:right="80"/>
              <w:spacing w:after="0"/>
              <w:rPr>
                <w:sz w:val="20"/>
                <w:szCs w:val="20"/>
                <w:color w:val="auto"/>
              </w:rPr>
            </w:pPr>
            <w:r>
              <w:rPr>
                <w:rFonts w:ascii="Arial" w:cs="Arial" w:eastAsia="Arial" w:hAnsi="Arial"/>
                <w:sz w:val="16"/>
                <w:szCs w:val="16"/>
                <w:b w:val="1"/>
                <w:bCs w:val="1"/>
                <w:color w:val="auto"/>
                <w:w w:val="90"/>
              </w:rPr>
              <w:t>Acquired Vacation Ownership Notes Receivable - Sheraton</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8"/>
                <w:szCs w:val="18"/>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ind w:left="36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right="15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2016 &amp; Prior</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r>
      <w:tr>
        <w:trPr>
          <w:trHeight w:val="230"/>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880" w:type="dxa"/>
            <w:vAlign w:val="bottom"/>
          </w:tcPr>
          <w:p>
            <w:pPr>
              <w:ind w:left="20"/>
              <w:spacing w:after="0"/>
              <w:rPr>
                <w:sz w:val="20"/>
                <w:szCs w:val="20"/>
                <w:color w:val="auto"/>
              </w:rPr>
            </w:pPr>
            <w:r>
              <w:rPr>
                <w:rFonts w:ascii="Arial" w:cs="Arial" w:eastAsia="Arial" w:hAnsi="Arial"/>
                <w:sz w:val="16"/>
                <w:szCs w:val="16"/>
                <w:color w:val="auto"/>
              </w:rPr>
              <w:t>- 699</w:t>
            </w:r>
          </w:p>
        </w:tc>
        <w:tc>
          <w:tcPr>
            <w:tcW w:w="320" w:type="dxa"/>
            <w:vAlign w:val="bottom"/>
          </w:tcPr>
          <w:p>
            <w:pPr>
              <w:spacing w:after="0"/>
              <w:rPr>
                <w:sz w:val="19"/>
                <w:szCs w:val="19"/>
                <w:color w:val="auto"/>
              </w:rPr>
            </w:pPr>
          </w:p>
        </w:tc>
        <w:tc>
          <w:tcPr>
            <w:tcW w:w="114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4"/>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r>
      <w:tr>
        <w:trPr>
          <w:trHeight w:val="230"/>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3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320" w:type="dxa"/>
            <w:vAlign w:val="bottom"/>
          </w:tcPr>
          <w:p>
            <w:pPr>
              <w:spacing w:after="0"/>
              <w:rPr>
                <w:sz w:val="19"/>
                <w:szCs w:val="19"/>
                <w:color w:val="auto"/>
              </w:rPr>
            </w:pPr>
          </w:p>
        </w:tc>
        <w:tc>
          <w:tcPr>
            <w:tcW w:w="114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4"/>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1"/>
                <w:szCs w:val="2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6"/>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16"/>
          </w:tcPr>
          <w:p>
            <w:pPr>
              <w:jc w:val="center"/>
              <w:spacing w:after="0"/>
              <w:rPr>
                <w:sz w:val="20"/>
                <w:szCs w:val="20"/>
                <w:color w:val="auto"/>
              </w:rPr>
            </w:pPr>
            <w:r>
              <w:rPr>
                <w:rFonts w:ascii="Arial" w:cs="Arial" w:eastAsia="Arial" w:hAnsi="Arial"/>
                <w:sz w:val="16"/>
                <w:szCs w:val="16"/>
                <w:b w:val="1"/>
                <w:bCs w:val="1"/>
                <w:color w:val="auto"/>
                <w:w w:val="92"/>
              </w:rPr>
              <w:t>Acquired Vacation Ownership Notes Receivable - Hyatt and Other</w:t>
            </w: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ind w:left="180"/>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ind w:left="36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2016 &amp; Prior</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30"/>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880" w:type="dxa"/>
            <w:vAlign w:val="bottom"/>
          </w:tcPr>
          <w:p>
            <w:pPr>
              <w:ind w:left="20"/>
              <w:spacing w:after="0"/>
              <w:rPr>
                <w:sz w:val="20"/>
                <w:szCs w:val="20"/>
                <w:color w:val="auto"/>
              </w:rPr>
            </w:pPr>
            <w:r>
              <w:rPr>
                <w:rFonts w:ascii="Arial" w:cs="Arial" w:eastAsia="Arial" w:hAnsi="Arial"/>
                <w:sz w:val="16"/>
                <w:szCs w:val="16"/>
                <w:color w:val="auto"/>
              </w:rPr>
              <w:t>- 699</w:t>
            </w:r>
          </w:p>
        </w:tc>
        <w:tc>
          <w:tcPr>
            <w:tcW w:w="320" w:type="dxa"/>
            <w:vAlign w:val="bottom"/>
          </w:tcPr>
          <w:p>
            <w:pPr>
              <w:spacing w:after="0"/>
              <w:rPr>
                <w:sz w:val="19"/>
                <w:szCs w:val="19"/>
                <w:color w:val="auto"/>
              </w:rPr>
            </w:pPr>
          </w:p>
        </w:tc>
        <w:tc>
          <w:tcPr>
            <w:tcW w:w="1140" w:type="dxa"/>
            <w:vAlign w:val="bottom"/>
            <w:gridSpan w:val="4"/>
          </w:tcPr>
          <w:p>
            <w:pPr>
              <w:ind w:left="7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4"/>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30"/>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3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320" w:type="dxa"/>
            <w:vAlign w:val="bottom"/>
          </w:tcPr>
          <w:p>
            <w:pPr>
              <w:spacing w:after="0"/>
              <w:rPr>
                <w:sz w:val="19"/>
                <w:szCs w:val="19"/>
                <w:color w:val="auto"/>
              </w:rPr>
            </w:pPr>
          </w:p>
        </w:tc>
        <w:tc>
          <w:tcPr>
            <w:tcW w:w="1140" w:type="dxa"/>
            <w:vAlign w:val="bottom"/>
            <w:gridSpan w:val="4"/>
          </w:tcPr>
          <w:p>
            <w:pPr>
              <w:ind w:left="7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4"/>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3"/>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7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tables show the Legacy-ILG originated vacation ownership notes receivable by brand and FICO score, before reserves. Vacation ownership notes receivable with no FICO score primarily relate to non-U.S. resident borrowers.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960" w:type="dxa"/>
            <w:vAlign w:val="bottom"/>
            <w:tcBorders>
              <w:bottom w:val="single" w:sz="8" w:color="auto"/>
            </w:tcBorders>
            <w:gridSpan w:val="12"/>
          </w:tcPr>
          <w:p>
            <w:pPr>
              <w:jc w:val="center"/>
              <w:ind w:left="533"/>
              <w:spacing w:after="0"/>
              <w:rPr>
                <w:sz w:val="20"/>
                <w:szCs w:val="20"/>
                <w:color w:val="auto"/>
              </w:rPr>
            </w:pPr>
            <w:r>
              <w:rPr>
                <w:rFonts w:ascii="Arial" w:cs="Arial" w:eastAsia="Arial" w:hAnsi="Arial"/>
                <w:sz w:val="16"/>
                <w:szCs w:val="16"/>
                <w:b w:val="1"/>
                <w:bCs w:val="1"/>
                <w:color w:val="auto"/>
                <w:w w:val="91"/>
              </w:rPr>
              <w:t>Originated Vacation Ownership Notes Receivable as of March 31, 2021</w:t>
            </w:r>
          </w:p>
        </w:tc>
        <w:tc>
          <w:tcPr>
            <w:tcW w:w="940" w:type="dxa"/>
            <w:vAlign w:val="bottom"/>
            <w:tcBorders>
              <w:bottom w:val="single" w:sz="8" w:color="auto"/>
            </w:tcBorders>
          </w:tcPr>
          <w:p>
            <w:pPr>
              <w:spacing w:after="0"/>
              <w:rPr>
                <w:sz w:val="18"/>
                <w:szCs w:val="18"/>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8"/>
                <w:szCs w:val="18"/>
                <w:color w:val="auto"/>
              </w:rPr>
            </w:pPr>
          </w:p>
        </w:tc>
        <w:tc>
          <w:tcPr>
            <w:tcW w:w="1040" w:type="dxa"/>
            <w:vAlign w:val="bottom"/>
          </w:tcPr>
          <w:p>
            <w:pPr>
              <w:jc w:val="right"/>
              <w:ind w:right="39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72"/>
              <w:spacing w:after="0"/>
              <w:rPr>
                <w:sz w:val="20"/>
                <w:szCs w:val="20"/>
                <w:color w:val="auto"/>
              </w:rPr>
            </w:pPr>
            <w:r>
              <w:rPr>
                <w:rFonts w:ascii="Arial" w:cs="Arial" w:eastAsia="Arial" w:hAnsi="Arial"/>
                <w:sz w:val="16"/>
                <w:szCs w:val="16"/>
                <w:b w:val="1"/>
                <w:bCs w:val="1"/>
                <w:color w:val="auto"/>
              </w:rPr>
              <w:t>600 - 699</w:t>
            </w:r>
          </w:p>
        </w:tc>
        <w:tc>
          <w:tcPr>
            <w:tcW w:w="120" w:type="dxa"/>
            <w:vAlign w:val="bottom"/>
          </w:tcPr>
          <w:p>
            <w:pPr>
              <w:spacing w:after="0"/>
              <w:rPr>
                <w:sz w:val="18"/>
                <w:szCs w:val="18"/>
                <w:color w:val="auto"/>
              </w:rPr>
            </w:pPr>
          </w:p>
        </w:tc>
        <w:tc>
          <w:tcPr>
            <w:tcW w:w="980" w:type="dxa"/>
            <w:vAlign w:val="bottom"/>
          </w:tcPr>
          <w:p>
            <w:pPr>
              <w:jc w:val="center"/>
              <w:ind w:left="273"/>
              <w:spacing w:after="0"/>
              <w:rPr>
                <w:sz w:val="20"/>
                <w:szCs w:val="20"/>
                <w:color w:val="auto"/>
              </w:rPr>
            </w:pPr>
            <w:r>
              <w:rPr>
                <w:rFonts w:ascii="Arial" w:cs="Arial" w:eastAsia="Arial" w:hAnsi="Arial"/>
                <w:sz w:val="16"/>
                <w:szCs w:val="16"/>
                <w:b w:val="1"/>
                <w:bCs w:val="1"/>
                <w:color w:val="auto"/>
                <w:w w:val="93"/>
              </w:rPr>
              <w:t>&lt; 600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420" w:type="dxa"/>
            <w:vAlign w:val="bottom"/>
          </w:tcPr>
          <w:p>
            <w:pPr>
              <w:spacing w:after="0"/>
              <w:rPr>
                <w:sz w:val="18"/>
                <w:szCs w:val="18"/>
                <w:color w:val="auto"/>
              </w:rPr>
            </w:pPr>
          </w:p>
        </w:tc>
        <w:tc>
          <w:tcPr>
            <w:tcW w:w="9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Sheraton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40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1"/>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23"/>
        </w:trPr>
        <w:tc>
          <w:tcPr>
            <w:tcW w:w="4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12"/>
          </w:tcPr>
          <w:p>
            <w:pPr>
              <w:jc w:val="center"/>
              <w:ind w:left="533"/>
              <w:spacing w:after="0"/>
              <w:rPr>
                <w:sz w:val="20"/>
                <w:szCs w:val="20"/>
                <w:color w:val="auto"/>
              </w:rPr>
            </w:pPr>
            <w:r>
              <w:rPr>
                <w:rFonts w:ascii="Arial" w:cs="Arial" w:eastAsia="Arial" w:hAnsi="Arial"/>
                <w:sz w:val="16"/>
                <w:szCs w:val="16"/>
                <w:b w:val="1"/>
                <w:bCs w:val="1"/>
                <w:color w:val="auto"/>
                <w:w w:val="90"/>
              </w:rPr>
              <w:t>Originated Vacation Ownership Notes Receivable as of December 31, 2020</w:t>
            </w:r>
          </w:p>
        </w:tc>
        <w:tc>
          <w:tcPr>
            <w:tcW w:w="940" w:type="dxa"/>
            <w:vAlign w:val="bottom"/>
            <w:tcBorders>
              <w:bottom w:val="single" w:sz="8" w:color="auto"/>
            </w:tcBorders>
          </w:tcPr>
          <w:p>
            <w:pPr>
              <w:spacing w:after="0"/>
              <w:rPr>
                <w:sz w:val="24"/>
                <w:szCs w:val="24"/>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8"/>
                <w:szCs w:val="18"/>
                <w:color w:val="auto"/>
              </w:rPr>
            </w:pPr>
          </w:p>
        </w:tc>
        <w:tc>
          <w:tcPr>
            <w:tcW w:w="1040" w:type="dxa"/>
            <w:vAlign w:val="bottom"/>
          </w:tcPr>
          <w:p>
            <w:pPr>
              <w:jc w:val="right"/>
              <w:ind w:right="39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72"/>
              <w:spacing w:after="0"/>
              <w:rPr>
                <w:sz w:val="20"/>
                <w:szCs w:val="20"/>
                <w:color w:val="auto"/>
              </w:rPr>
            </w:pPr>
            <w:r>
              <w:rPr>
                <w:rFonts w:ascii="Arial" w:cs="Arial" w:eastAsia="Arial" w:hAnsi="Arial"/>
                <w:sz w:val="16"/>
                <w:szCs w:val="16"/>
                <w:b w:val="1"/>
                <w:bCs w:val="1"/>
                <w:color w:val="auto"/>
              </w:rPr>
              <w:t>600 - 699</w:t>
            </w:r>
          </w:p>
        </w:tc>
        <w:tc>
          <w:tcPr>
            <w:tcW w:w="120" w:type="dxa"/>
            <w:vAlign w:val="bottom"/>
          </w:tcPr>
          <w:p>
            <w:pPr>
              <w:spacing w:after="0"/>
              <w:rPr>
                <w:sz w:val="18"/>
                <w:szCs w:val="18"/>
                <w:color w:val="auto"/>
              </w:rPr>
            </w:pPr>
          </w:p>
        </w:tc>
        <w:tc>
          <w:tcPr>
            <w:tcW w:w="980" w:type="dxa"/>
            <w:vAlign w:val="bottom"/>
          </w:tcPr>
          <w:p>
            <w:pPr>
              <w:jc w:val="center"/>
              <w:ind w:left="273"/>
              <w:spacing w:after="0"/>
              <w:rPr>
                <w:sz w:val="20"/>
                <w:szCs w:val="20"/>
                <w:color w:val="auto"/>
              </w:rPr>
            </w:pPr>
            <w:r>
              <w:rPr>
                <w:rFonts w:ascii="Arial" w:cs="Arial" w:eastAsia="Arial" w:hAnsi="Arial"/>
                <w:sz w:val="16"/>
                <w:szCs w:val="16"/>
                <w:b w:val="1"/>
                <w:bCs w:val="1"/>
                <w:color w:val="auto"/>
                <w:w w:val="93"/>
              </w:rPr>
              <w:t>&lt; 600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420" w:type="dxa"/>
            <w:vAlign w:val="bottom"/>
          </w:tcPr>
          <w:p>
            <w:pPr>
              <w:spacing w:after="0"/>
              <w:rPr>
                <w:sz w:val="18"/>
                <w:szCs w:val="18"/>
                <w:color w:val="auto"/>
              </w:rPr>
            </w:pPr>
          </w:p>
        </w:tc>
        <w:tc>
          <w:tcPr>
            <w:tcW w:w="9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Sheraton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40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1"/>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00" w:firstLine="648"/>
        <w:spacing w:after="0" w:line="274" w:lineRule="auto"/>
        <w:rPr>
          <w:sz w:val="20"/>
          <w:szCs w:val="20"/>
          <w:color w:val="auto"/>
        </w:rPr>
      </w:pPr>
      <w:r>
        <w:rPr>
          <w:rFonts w:ascii="Arial" w:cs="Arial" w:eastAsia="Arial" w:hAnsi="Arial"/>
          <w:sz w:val="18"/>
          <w:szCs w:val="18"/>
          <w:color w:val="auto"/>
        </w:rPr>
        <w:t>The following tables detail the origination year of our Legacy-ILG originated vacation ownership notes receivable by brand and FICO score as of March 31, 2021. Vacation ownership notes receivable with no FICO score primarily relate to non-U.S. resident borrowers.</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14"/>
          </w:tcPr>
          <w:p>
            <w:pPr>
              <w:jc w:val="center"/>
              <w:ind w:right="100"/>
              <w:spacing w:after="0"/>
              <w:rPr>
                <w:sz w:val="20"/>
                <w:szCs w:val="20"/>
                <w:color w:val="auto"/>
              </w:rPr>
            </w:pPr>
            <w:r>
              <w:rPr>
                <w:rFonts w:ascii="Arial" w:cs="Arial" w:eastAsia="Arial" w:hAnsi="Arial"/>
                <w:sz w:val="16"/>
                <w:szCs w:val="16"/>
                <w:b w:val="1"/>
                <w:bCs w:val="1"/>
                <w:color w:val="auto"/>
                <w:w w:val="90"/>
              </w:rPr>
              <w:t>Originated Vacation Ownership Notes Receivable - Westin</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51"/>
              <w:spacing w:after="0"/>
              <w:rPr>
                <w:sz w:val="20"/>
                <w:szCs w:val="20"/>
                <w:color w:val="auto"/>
              </w:rPr>
            </w:pPr>
            <w:r>
              <w:rPr>
                <w:rFonts w:ascii="Arial" w:cs="Arial" w:eastAsia="Arial" w:hAnsi="Arial"/>
                <w:sz w:val="16"/>
                <w:szCs w:val="16"/>
                <w:b w:val="1"/>
                <w:bCs w:val="1"/>
                <w:color w:val="auto"/>
                <w:w w:val="95"/>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2016 &amp; Prior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226"/>
        </w:trPr>
        <w:tc>
          <w:tcPr>
            <w:tcW w:w="1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700 +</w:t>
            </w: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9"/>
                <w:szCs w:val="19"/>
                <w:color w:val="auto"/>
              </w:rPr>
            </w:pPr>
          </w:p>
        </w:tc>
      </w:tr>
      <w:tr>
        <w:trPr>
          <w:trHeight w:val="229"/>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600 - 699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r>
      <w:tr>
        <w:trPr>
          <w:trHeight w:val="230"/>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14"/>
          </w:tcPr>
          <w:p>
            <w:pPr>
              <w:jc w:val="center"/>
              <w:ind w:right="60"/>
              <w:spacing w:after="0"/>
              <w:rPr>
                <w:sz w:val="20"/>
                <w:szCs w:val="20"/>
                <w:color w:val="auto"/>
              </w:rPr>
            </w:pPr>
            <w:r>
              <w:rPr>
                <w:rFonts w:ascii="Arial" w:cs="Arial" w:eastAsia="Arial" w:hAnsi="Arial"/>
                <w:sz w:val="16"/>
                <w:szCs w:val="16"/>
                <w:b w:val="1"/>
                <w:bCs w:val="1"/>
                <w:color w:val="auto"/>
                <w:w w:val="91"/>
              </w:rPr>
              <w:t>Originated Vacation Ownership Notes Receivable - Sheraton</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31"/>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2016 &amp; Prior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1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700 +</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 w:type="dxa"/>
            <w:vAlign w:val="bottom"/>
            <w:tcBorders>
              <w:left w:val="single" w:sz="8" w:color="CCEEFF"/>
            </w:tcBorders>
          </w:tcPr>
          <w:p>
            <w:pPr>
              <w:spacing w:after="0"/>
              <w:rPr>
                <w:sz w:val="19"/>
                <w:szCs w:val="19"/>
                <w:color w:val="auto"/>
              </w:rPr>
            </w:pPr>
          </w:p>
        </w:tc>
      </w:tr>
      <w:tr>
        <w:trPr>
          <w:trHeight w:val="229"/>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600 - 699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left w:val="single" w:sz="8" w:color="CCEEFF"/>
            </w:tcBorders>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0" w:type="dxa"/>
            <w:vAlign w:val="bottom"/>
            <w:tcBorders>
              <w:left w:val="single" w:sz="8" w:color="CCEEFF"/>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3"/>
          </w:tcPr>
          <w:p>
            <w:pPr>
              <w:jc w:val="center"/>
              <w:ind w:right="200"/>
              <w:spacing w:after="0"/>
              <w:rPr>
                <w:sz w:val="20"/>
                <w:szCs w:val="20"/>
                <w:color w:val="auto"/>
              </w:rPr>
            </w:pPr>
            <w:r>
              <w:rPr>
                <w:rFonts w:ascii="Arial" w:cs="Arial" w:eastAsia="Arial" w:hAnsi="Arial"/>
                <w:sz w:val="16"/>
                <w:szCs w:val="16"/>
                <w:b w:val="1"/>
                <w:bCs w:val="1"/>
                <w:color w:val="auto"/>
                <w:w w:val="92"/>
              </w:rPr>
              <w:t>Originated Vacation Ownership Notes Receivable - Hyatt</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2016 &amp; Prior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1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700 +</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left w:val="single" w:sz="8" w:color="CCEEFF"/>
            </w:tcBorders>
          </w:tcPr>
          <w:p>
            <w:pPr>
              <w:spacing w:after="0"/>
              <w:rPr>
                <w:sz w:val="19"/>
                <w:szCs w:val="19"/>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600 - 699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left w:val="single" w:sz="8" w:color="CCEEFF"/>
            </w:tcBorders>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left w:val="single" w:sz="8" w:color="CCEEFF"/>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711"/>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hanging="394"/>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deposits included in Other assets, Accounts payable, Advance deposits and Accrued liabilities, all of which had fair values approximating their carrying amounts due to the short maturities and liquidity of these instruments.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6"/>
          </w:tcPr>
          <w:p>
            <w:pPr>
              <w:ind w:left="580"/>
              <w:spacing w:after="0"/>
              <w:rPr>
                <w:sz w:val="20"/>
                <w:szCs w:val="20"/>
                <w:color w:val="auto"/>
              </w:rPr>
            </w:pPr>
            <w:r>
              <w:rPr>
                <w:rFonts w:ascii="Arial" w:cs="Arial" w:eastAsia="Arial" w:hAnsi="Arial"/>
                <w:sz w:val="16"/>
                <w:szCs w:val="16"/>
                <w:b w:val="1"/>
                <w:bCs w:val="1"/>
                <w:color w:val="auto"/>
              </w:rPr>
              <w:t>At March 31, 2021</w:t>
            </w:r>
          </w:p>
        </w:tc>
        <w:tc>
          <w:tcPr>
            <w:tcW w:w="260" w:type="dxa"/>
            <w:vAlign w:val="bottom"/>
          </w:tcPr>
          <w:p>
            <w:pPr>
              <w:spacing w:after="0"/>
              <w:rPr>
                <w:sz w:val="18"/>
                <w:szCs w:val="18"/>
                <w:color w:val="auto"/>
              </w:rPr>
            </w:pPr>
          </w:p>
        </w:tc>
        <w:tc>
          <w:tcPr>
            <w:tcW w:w="272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At December 31, 2020</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32"/>
              <w:spacing w:after="0" w:line="158" w:lineRule="exact"/>
              <w:rPr>
                <w:sz w:val="20"/>
                <w:szCs w:val="20"/>
                <w:color w:val="auto"/>
              </w:rPr>
            </w:pPr>
            <w:r>
              <w:rPr>
                <w:rFonts w:ascii="Arial" w:cs="Arial" w:eastAsia="Arial" w:hAnsi="Arial"/>
                <w:sz w:val="16"/>
                <w:szCs w:val="16"/>
                <w:b w:val="1"/>
                <w:bCs w:val="1"/>
                <w:color w:val="auto"/>
                <w:w w:val="95"/>
              </w:rPr>
              <w:t>Fair</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Carrying</w:t>
            </w: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52"/>
              <w:spacing w:after="0" w:line="158"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Value</w:t>
            </w: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320" w:type="dxa"/>
            <w:vAlign w:val="bottom"/>
          </w:tcPr>
          <w:p>
            <w:pPr>
              <w:spacing w:after="0"/>
              <w:rPr>
                <w:sz w:val="18"/>
                <w:szCs w:val="18"/>
                <w:color w:val="auto"/>
              </w:rPr>
            </w:pPr>
          </w:p>
        </w:tc>
        <w:tc>
          <w:tcPr>
            <w:tcW w:w="112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26"/>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financial assets</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2025</w:t>
            </w:r>
          </w:p>
        </w:tc>
        <w:tc>
          <w:tcPr>
            <w:tcW w:w="4760" w:type="dxa"/>
            <w:vAlign w:val="bottom"/>
          </w:tcPr>
          <w:p>
            <w:pPr>
              <w:ind w:left="40"/>
              <w:spacing w:after="0"/>
              <w:rPr>
                <w:sz w:val="20"/>
                <w:szCs w:val="20"/>
                <w:color w:val="auto"/>
              </w:rPr>
            </w:pPr>
            <w:r>
              <w:rPr>
                <w:rFonts w:ascii="Arial" w:cs="Arial" w:eastAsia="Arial" w:hAnsi="Arial"/>
                <w:sz w:val="18"/>
                <w:szCs w:val="18"/>
                <w:color w:val="auto"/>
              </w:rPr>
              <w:t>Notes,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2028</w:t>
            </w:r>
          </w:p>
        </w:tc>
        <w:tc>
          <w:tcPr>
            <w:tcW w:w="4760" w:type="dxa"/>
            <w:vAlign w:val="bottom"/>
          </w:tcPr>
          <w:p>
            <w:pPr>
              <w:ind w:left="40"/>
              <w:spacing w:after="0"/>
              <w:rPr>
                <w:sz w:val="20"/>
                <w:szCs w:val="20"/>
                <w:color w:val="auto"/>
              </w:rPr>
            </w:pPr>
            <w:r>
              <w:rPr>
                <w:rFonts w:ascii="Arial" w:cs="Arial" w:eastAsia="Arial" w:hAnsi="Arial"/>
                <w:sz w:val="18"/>
                <w:szCs w:val="18"/>
                <w:color w:val="auto"/>
              </w:rPr>
              <w:t>Notes,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net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2022</w:t>
            </w:r>
          </w:p>
        </w:tc>
        <w:tc>
          <w:tcPr>
            <w:tcW w:w="476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gridSpan w:val="2"/>
          </w:tcPr>
          <w:p>
            <w:pPr>
              <w:ind w:left="220"/>
              <w:spacing w:after="0"/>
              <w:rPr>
                <w:sz w:val="20"/>
                <w:szCs w:val="20"/>
                <w:color w:val="auto"/>
              </w:rPr>
            </w:pPr>
            <w:r>
              <w:rPr>
                <w:rFonts w:ascii="Arial" w:cs="Arial" w:eastAsia="Arial" w:hAnsi="Arial"/>
                <w:sz w:val="18"/>
                <w:szCs w:val="18"/>
                <w:color w:val="auto"/>
              </w:rPr>
              <w:t>Total financial liabilities</w:t>
            </w: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
        </w:trPr>
        <w:tc>
          <w:tcPr>
            <w:tcW w:w="51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Vacation Ownership Notes Receivable</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6"/>
          </w:tcPr>
          <w:p>
            <w:pPr>
              <w:ind w:left="600"/>
              <w:spacing w:after="0"/>
              <w:rPr>
                <w:sz w:val="20"/>
                <w:szCs w:val="20"/>
                <w:color w:val="auto"/>
              </w:rPr>
            </w:pPr>
            <w:r>
              <w:rPr>
                <w:rFonts w:ascii="Arial" w:cs="Arial" w:eastAsia="Arial" w:hAnsi="Arial"/>
                <w:sz w:val="16"/>
                <w:szCs w:val="16"/>
                <w:b w:val="1"/>
                <w:bCs w:val="1"/>
                <w:color w:val="auto"/>
              </w:rPr>
              <w:t>At March 31, 2021</w:t>
            </w:r>
          </w:p>
        </w:tc>
        <w:tc>
          <w:tcPr>
            <w:tcW w:w="260" w:type="dxa"/>
            <w:vAlign w:val="bottom"/>
          </w:tcPr>
          <w:p>
            <w:pPr>
              <w:spacing w:after="0"/>
              <w:rPr>
                <w:sz w:val="20"/>
                <w:szCs w:val="20"/>
                <w:color w:val="auto"/>
              </w:rPr>
            </w:pPr>
          </w:p>
        </w:tc>
        <w:tc>
          <w:tcPr>
            <w:tcW w:w="272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At December 31, 2020</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12"/>
              <w:spacing w:after="0" w:line="158" w:lineRule="exact"/>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Carrying</w:t>
            </w: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52"/>
              <w:spacing w:after="0" w:line="158"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Value</w:t>
            </w: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320" w:type="dxa"/>
            <w:vAlign w:val="bottom"/>
          </w:tcPr>
          <w:p>
            <w:pPr>
              <w:spacing w:after="0"/>
              <w:rPr>
                <w:sz w:val="18"/>
                <w:szCs w:val="18"/>
                <w:color w:val="auto"/>
              </w:rPr>
            </w:pPr>
          </w:p>
        </w:tc>
        <w:tc>
          <w:tcPr>
            <w:tcW w:w="112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20"/>
              <w:spacing w:after="0"/>
              <w:rPr>
                <w:sz w:val="20"/>
                <w:szCs w:val="20"/>
                <w:color w:val="auto"/>
              </w:rPr>
            </w:pPr>
            <w:r>
              <w:rPr>
                <w:rFonts w:ascii="Arial" w:cs="Arial" w:eastAsia="Arial" w:hAnsi="Arial"/>
                <w:sz w:val="18"/>
                <w:szCs w:val="18"/>
                <w:color w:val="auto"/>
              </w:rPr>
              <w:t>Securitized</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70"/>
        </w:trPr>
        <w:tc>
          <w:tcPr>
            <w:tcW w:w="400" w:type="dxa"/>
            <w:vAlign w:val="bottom"/>
            <w:shd w:val="clear" w:color="auto" w:fill="CCEEFF"/>
          </w:tcPr>
          <w:p>
            <w:pPr>
              <w:spacing w:after="0"/>
              <w:rPr>
                <w:sz w:val="23"/>
                <w:szCs w:val="23"/>
                <w:color w:val="auto"/>
              </w:rPr>
            </w:pPr>
          </w:p>
        </w:tc>
        <w:tc>
          <w:tcPr>
            <w:tcW w:w="4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4760" w:type="dxa"/>
            <w:vAlign w:val="bottom"/>
          </w:tcPr>
          <w:p>
            <w:pPr>
              <w:ind w:left="80"/>
              <w:spacing w:after="0"/>
              <w:rPr>
                <w:sz w:val="20"/>
                <w:szCs w:val="20"/>
                <w:color w:val="auto"/>
              </w:rPr>
            </w:pPr>
            <w:r>
              <w:rPr>
                <w:rFonts w:ascii="Arial" w:cs="Arial" w:eastAsia="Arial" w:hAnsi="Arial"/>
                <w:sz w:val="18"/>
                <w:szCs w:val="18"/>
                <w:color w:val="auto"/>
              </w:rPr>
              <w:t>Eligible for securitization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spacing w:after="0"/>
              <w:rPr>
                <w:sz w:val="19"/>
                <w:szCs w:val="19"/>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 eligible for securitization</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Non-securitized</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8"/>
        </w:trPr>
        <w:tc>
          <w:tcPr>
            <w:tcW w:w="40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4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18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Other assets include $56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 In addition, we have investments in marketable securities of $6 million that are marked to market as trading securities using quoted market prices (Level 1 inputs).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Securitized Debt</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estimate the fair value of our 2025 Notes, 2026 Notes, and 2028 Notes (each as defined in Footnote 13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17"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We estimate the fair value of our Term Loan (as defined in Footnote 13 “Debt”) using quotes from securities dealers as of the last trading day for the quarter; however these notes have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estimate the fair value of our 2022 Convertible Notes and 2026 Convertible Notes (each as defined in Footnote 13 “Debt” and referred to collectively as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256" w:lineRule="exact"/>
        <w:rPr>
          <w:sz w:val="20"/>
          <w:szCs w:val="20"/>
          <w:color w:val="auto"/>
        </w:rPr>
      </w:pPr>
    </w:p>
    <w:p>
      <w:pPr>
        <w:ind w:left="420" w:hanging="394"/>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Basic earnings or loss per common share attributable to common shareholders is calculated by dividing net income or loss attributable to common shareholders by the weighted average number of shares of common stock outstanding during the reporting period. Treasury stock is excluded from the weighted average number of shares of common stock outstanding. Diluted earnings or loss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common share applicable to common shareholders by application of the treasury stock method using average market prices during the period.</w:t>
      </w:r>
    </w:p>
    <w:p>
      <w:pPr>
        <w:spacing w:after="0" w:line="16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calculation of diluted earnings or loss per share attributable to common shareholders reflects our intent to settle conversions of our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based upon an average price per share for the quarter.</w:t>
      </w:r>
    </w:p>
    <w:p>
      <w:pPr>
        <w:spacing w:after="0" w:line="8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March 31, 2021, a conversion premium existed for our 2022 Convertible Notes (as defined in Footnote 13 “Debt”). As no conversion premium existed as of March 31, 2020, there was no potential dilutive impact from our 2022 Convertible Notes for the first quarter of 2020. Additionally, as no conversion premium existed for our 2026 Convertible Notes (as defined in Footnote 13 “Debt”) as of March 31, 2021, there was no potential dilutive impact from our 2026 Convertible Notes for the first quarter of 2021.</w:t>
      </w:r>
    </w:p>
    <w:p>
      <w:pPr>
        <w:spacing w:after="0" w:line="79"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The shares issuable on exercise of the warrants sold in connection with the issuance of our convertible notes will not impact the total dilutive weighted average shares outstanding unless and until the price of our common stock exceeds the respective strike price. If and when the price of our common stock exceeds the respective strike price of either of the warrants, we will include the dilutive effect of the additional shares that may be issued upon exercise of the warrants in total dilutive weighted average shares outstanding, which we calculate using the treasury stock method. The convertible note hedges purchased in connection with each issuance of convertible notes are considered to be anti-dilutive and do not impact our calculation of diluted earnings per share attributable to common shareholders for any periods presented herein. See Footnote 13 “Debt” for further information on our convertible notes.</w:t>
      </w:r>
    </w:p>
    <w:p>
      <w:pPr>
        <w:spacing w:after="0" w:line="87" w:lineRule="exact"/>
        <w:rPr>
          <w:sz w:val="20"/>
          <w:szCs w:val="20"/>
          <w:color w:val="auto"/>
        </w:rPr>
      </w:pPr>
    </w:p>
    <w:p>
      <w:pPr>
        <w:ind w:right="520" w:firstLine="648"/>
        <w:spacing w:after="0" w:line="274" w:lineRule="auto"/>
        <w:rPr>
          <w:sz w:val="20"/>
          <w:szCs w:val="20"/>
          <w:color w:val="auto"/>
        </w:rPr>
      </w:pPr>
      <w:r>
        <w:rPr>
          <w:rFonts w:ascii="Arial" w:cs="Arial" w:eastAsia="Arial" w:hAnsi="Arial"/>
          <w:sz w:val="18"/>
          <w:szCs w:val="18"/>
          <w:color w:val="auto"/>
        </w:rPr>
        <w:t>The table below illustrates the reconciliation of the earnings and number of shares used in our calculation of basic and diluted loss per share attributable to common shareholders.</w:t>
      </w:r>
    </w:p>
    <w:p>
      <w:pPr>
        <w:ind w:left="89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8"/>
              </w:rPr>
              <w:t>March 31, 2020</w:t>
            </w:r>
          </w:p>
        </w:tc>
      </w:tr>
      <w:tr>
        <w:trPr>
          <w:trHeight w:val="199"/>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Computation of Basic Loss Per Share Attributable to Common Shareholders</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Net loss attributable to common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for basic loss per share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23"/>
        </w:trPr>
        <w:tc>
          <w:tcPr>
            <w:tcW w:w="8080" w:type="dxa"/>
            <w:vAlign w:val="bottom"/>
          </w:tcPr>
          <w:p>
            <w:pPr>
              <w:ind w:left="220"/>
              <w:spacing w:after="0"/>
              <w:rPr>
                <w:sz w:val="20"/>
                <w:szCs w:val="20"/>
                <w:color w:val="auto"/>
              </w:rPr>
            </w:pPr>
            <w:r>
              <w:rPr>
                <w:rFonts w:ascii="Arial" w:cs="Arial" w:eastAsia="Arial" w:hAnsi="Arial"/>
                <w:sz w:val="18"/>
                <w:szCs w:val="18"/>
                <w:color w:val="auto"/>
              </w:rPr>
              <w:t>Basic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Computation of Diluted Loss Per Share Attributable to Common Shareholders</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Net loss attributable to common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for basic loss per share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 xml:space="preserve">Effect of dilutive shares outstanding </w:t>
            </w:r>
            <w:r>
              <w:rPr>
                <w:rFonts w:ascii="Arial" w:cs="Arial" w:eastAsia="Arial" w:hAnsi="Arial"/>
                <w:sz w:val="9"/>
                <w:szCs w:val="9"/>
                <w:color w:val="auto"/>
              </w:rPr>
              <w:t>(1)</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Shares for diluted loss per share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23"/>
        </w:trPr>
        <w:tc>
          <w:tcPr>
            <w:tcW w:w="8080" w:type="dxa"/>
            <w:vAlign w:val="bottom"/>
          </w:tcPr>
          <w:p>
            <w:pPr>
              <w:ind w:left="220"/>
              <w:spacing w:after="0"/>
              <w:rPr>
                <w:sz w:val="20"/>
                <w:szCs w:val="20"/>
                <w:color w:val="auto"/>
              </w:rPr>
            </w:pPr>
            <w:r>
              <w:rPr>
                <w:rFonts w:ascii="Arial" w:cs="Arial" w:eastAsia="Arial" w:hAnsi="Arial"/>
                <w:sz w:val="18"/>
                <w:szCs w:val="18"/>
                <w:color w:val="auto"/>
              </w:rPr>
              <w:t>Diluted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right="180" w:hanging="652"/>
        <w:spacing w:after="0" w:line="234" w:lineRule="auto"/>
        <w:tabs>
          <w:tab w:leader="none" w:pos="64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The following potentially dilutive securities were excluded from the above calculation of diluted net loss per share attributable to common shareholders during the periods presented, as there was a net loss attributable to common shareholders and as such, the effects of including these securities would have been anti-dilutive.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720" w:type="dxa"/>
            <w:vAlign w:val="bottom"/>
            <w:gridSpan w:val="4"/>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0" w:type="dxa"/>
            <w:vAlign w:val="bottom"/>
          </w:tcPr>
          <w:p>
            <w:pPr>
              <w:spacing w:after="0"/>
              <w:rPr>
                <w:sz w:val="18"/>
                <w:szCs w:val="18"/>
                <w:color w:val="auto"/>
              </w:rPr>
            </w:pPr>
          </w:p>
        </w:tc>
        <w:tc>
          <w:tcPr>
            <w:tcW w:w="156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March 31, 2021</w:t>
            </w:r>
          </w:p>
        </w:tc>
        <w:tc>
          <w:tcPr>
            <w:tcW w:w="1440" w:type="dxa"/>
            <w:vAlign w:val="bottom"/>
            <w:tcBorders>
              <w:top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March 31, 2020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0" w:type="dxa"/>
            <w:vAlign w:val="bottom"/>
          </w:tcPr>
          <w:p>
            <w:pPr>
              <w:spacing w:after="0"/>
              <w:rPr>
                <w:sz w:val="19"/>
                <w:szCs w:val="19"/>
                <w:color w:val="auto"/>
              </w:rPr>
            </w:pPr>
          </w:p>
        </w:tc>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options and SARs</w:t>
            </w:r>
          </w:p>
        </w:tc>
        <w:tc>
          <w:tcPr>
            <w:tcW w:w="30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Convertible Notes</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00" w:type="dxa"/>
            <w:vAlign w:val="bottom"/>
            <w:vMerge w:val="restart"/>
          </w:tcPr>
          <w:p>
            <w:pPr>
              <w:jc w:val="right"/>
              <w:ind w:right="1390"/>
              <w:spacing w:after="0"/>
              <w:rPr>
                <w:sz w:val="20"/>
                <w:szCs w:val="20"/>
                <w:color w:val="auto"/>
              </w:rPr>
            </w:pPr>
            <w:r>
              <w:rPr>
                <w:rFonts w:ascii="Arial" w:cs="Arial" w:eastAsia="Arial" w:hAnsi="Arial"/>
                <w:sz w:val="18"/>
                <w:szCs w:val="18"/>
                <w:color w:val="auto"/>
              </w:rPr>
              <w:t>20</w:t>
            </w: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b w:val="1"/>
          <w:bCs w:val="1"/>
          <w:color w:val="auto"/>
        </w:rPr>
        <w:t>9.</w:t>
        <w:tab/>
        <w:t>INVENTORY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At March 31, 2021</w:t>
            </w:r>
          </w:p>
        </w:tc>
        <w:tc>
          <w:tcPr>
            <w:tcW w:w="220" w:type="dxa"/>
            <w:vAlign w:val="bottom"/>
          </w:tcPr>
          <w:p>
            <w:pPr>
              <w:spacing w:after="0"/>
              <w:rPr>
                <w:sz w:val="18"/>
                <w:szCs w:val="18"/>
                <w:color w:val="auto"/>
              </w:rPr>
            </w:pPr>
          </w:p>
        </w:tc>
        <w:tc>
          <w:tcPr>
            <w:tcW w:w="1960" w:type="dxa"/>
            <w:vAlign w:val="bottom"/>
          </w:tcPr>
          <w:p>
            <w:pPr>
              <w:jc w:val="right"/>
              <w:ind w:right="252"/>
              <w:spacing w:after="0"/>
              <w:rPr>
                <w:sz w:val="20"/>
                <w:szCs w:val="20"/>
                <w:color w:val="auto"/>
              </w:rPr>
            </w:pPr>
            <w:r>
              <w:rPr>
                <w:rFonts w:ascii="Arial" w:cs="Arial" w:eastAsia="Arial" w:hAnsi="Arial"/>
                <w:sz w:val="16"/>
                <w:szCs w:val="16"/>
                <w:b w:val="1"/>
                <w:bCs w:val="1"/>
                <w:color w:val="auto"/>
                <w:w w:val="96"/>
              </w:rPr>
              <w:t>At December 31, 2020</w:t>
            </w:r>
          </w:p>
        </w:tc>
      </w:tr>
      <w:tr>
        <w:trPr>
          <w:trHeight w:val="226"/>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r>
              <w:rPr>
                <w:rFonts w:ascii="Arial" w:cs="Arial" w:eastAsia="Arial" w:hAnsi="Arial"/>
                <w:sz w:val="9"/>
                <w:szCs w:val="9"/>
                <w:color w:val="auto"/>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Work-in-progress</w:t>
            </w:r>
          </w:p>
        </w:tc>
        <w:tc>
          <w:tcPr>
            <w:tcW w:w="28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Real estate inventory</w:t>
            </w:r>
          </w:p>
        </w:tc>
        <w:tc>
          <w:tcPr>
            <w:tcW w:w="28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2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6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520" w:hanging="652"/>
        <w:spacing w:after="0" w:line="227"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completed inventory that is registered for sale as vacation ownership interests and inventory expected to be acquired pursuant to estimated future foreclosures.</w:t>
      </w:r>
    </w:p>
    <w:p>
      <w:pPr>
        <w:spacing w:after="0" w:line="94"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w:t>
      </w:r>
    </w:p>
    <w:p>
      <w:pPr>
        <w:spacing w:after="0" w:line="3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Product cost true-up activity relating to vacation ownership products increased carrying values of inventory by $1 million during the first quarter of 2021 and by $8 million during the first quarter of 2020.</w:t>
      </w:r>
    </w:p>
    <w:p>
      <w:pPr>
        <w:spacing w:after="0" w:line="6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addition to the above, at March 31, 2021 and December 31, 2020, we had $291 million and $162 million, respectively, of completed vacation ownership units which are classified as a component of Property and equipment until the time at which they are legally registered for sale as vacation ownership products. We also have $24 million and $43 million of deposits on future purchases of inventory at March 31, 2021 and December 31, 2020, respectively, which are included in the Other assets line on our Balance Sheets.</w:t>
      </w:r>
    </w:p>
    <w:p>
      <w:pPr>
        <w:spacing w:after="0" w:line="250" w:lineRule="exact"/>
        <w:rPr>
          <w:sz w:val="20"/>
          <w:szCs w:val="20"/>
          <w:color w:val="auto"/>
        </w:rPr>
      </w:pPr>
    </w:p>
    <w:p>
      <w:pPr>
        <w:ind w:left="500" w:hanging="474"/>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following table details the carrying amount of our goodwill at March 31, 2021 and December 31, 2020, and reflects goodwill attributed to the ILG Acquisition, which was allocated to our Vacation Ownership and our Exchange &amp; Third-party Management reporting units.</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3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w w:val="97"/>
              </w:rPr>
              <w:t>Vacation Ownership Segment</w:t>
            </w:r>
          </w:p>
        </w:tc>
        <w:tc>
          <w:tcPr>
            <w:tcW w:w="160" w:type="dxa"/>
            <w:vAlign w:val="bottom"/>
          </w:tcPr>
          <w:p>
            <w:pPr>
              <w:spacing w:after="0"/>
              <w:rPr>
                <w:sz w:val="16"/>
                <w:szCs w:val="16"/>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Exchange &amp; Third-Party</w:t>
            </w:r>
          </w:p>
        </w:tc>
        <w:tc>
          <w:tcPr>
            <w:tcW w:w="280" w:type="dxa"/>
            <w:vAlign w:val="bottom"/>
          </w:tcPr>
          <w:p>
            <w:pPr>
              <w:spacing w:after="0"/>
              <w:rPr>
                <w:sz w:val="16"/>
                <w:szCs w:val="16"/>
                <w:color w:val="auto"/>
              </w:rPr>
            </w:pPr>
          </w:p>
        </w:tc>
        <w:tc>
          <w:tcPr>
            <w:tcW w:w="192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Total Consolidated</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3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Management Segment</w:t>
            </w:r>
          </w:p>
        </w:tc>
        <w:tc>
          <w:tcPr>
            <w:tcW w:w="28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920" w:type="dxa"/>
            <w:vAlign w:val="bottom"/>
            <w:tcBorders>
              <w:top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9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adjustments</w:t>
            </w:r>
          </w:p>
        </w:tc>
        <w:tc>
          <w:tcPr>
            <w:tcW w:w="9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92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Q1 2021</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performed a qualitative analysis of the impact of recent events, including business and industry specific considerations, on the fair value of our reporting units as of the end of the first quarter of 2021 and determined that an interim quantitative impairment test was not required for either of our reporting units.</w:t>
      </w:r>
    </w:p>
    <w:p>
      <w:pPr>
        <w:spacing w:after="0" w:line="7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While the goodwill of our reporting units was not impaired as of the first quarter of 2021, we cannot assure you that goodwill will not be impaired in future periods. We will continue to monitor the operating results, cash flow forecasts and impact from changes in market conditions, as well as impacts of COVID-19, for these reporting units.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Q1 2020</w:t>
      </w:r>
    </w:p>
    <w:p>
      <w:pPr>
        <w:spacing w:after="0" w:line="11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During the first quarter of 2020, we recognized a non-cash impairment charge of $73 million in the Impairment line on our Income Statement for the three months ended March 31, 2020, related to the Exchange &amp; Third-Party Management reporting unit, which was primarily driven by the change in expected future operating results as a result of the impact of the COVID-19 pandemic.</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composition of our intangible asset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8"/>
                <w:szCs w:val="18"/>
                <w:color w:val="auto"/>
              </w:rPr>
            </w:pPr>
          </w:p>
        </w:tc>
        <w:tc>
          <w:tcPr>
            <w:tcW w:w="2000" w:type="dxa"/>
            <w:vAlign w:val="bottom"/>
            <w:gridSpan w:val="2"/>
          </w:tcPr>
          <w:p>
            <w:pPr>
              <w:ind w:left="160"/>
              <w:spacing w:after="0"/>
              <w:rPr>
                <w:sz w:val="20"/>
                <w:szCs w:val="20"/>
                <w:color w:val="auto"/>
              </w:rPr>
            </w:pPr>
            <w:r>
              <w:rPr>
                <w:rFonts w:ascii="Arial" w:cs="Arial" w:eastAsia="Arial" w:hAnsi="Arial"/>
                <w:sz w:val="16"/>
                <w:szCs w:val="16"/>
                <w:b w:val="1"/>
                <w:bCs w:val="1"/>
                <w:color w:val="auto"/>
              </w:rPr>
              <w:t>At March 31, 2021</w:t>
            </w:r>
          </w:p>
        </w:tc>
        <w:tc>
          <w:tcPr>
            <w:tcW w:w="220" w:type="dxa"/>
            <w:vAlign w:val="bottom"/>
          </w:tcPr>
          <w:p>
            <w:pPr>
              <w:spacing w:after="0"/>
              <w:rPr>
                <w:sz w:val="18"/>
                <w:szCs w:val="18"/>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31, 2020</w:t>
            </w:r>
          </w:p>
        </w:tc>
      </w:tr>
      <w:tr>
        <w:trPr>
          <w:trHeight w:val="213"/>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28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r>
      <w:tr>
        <w:trPr>
          <w:trHeight w:val="229"/>
        </w:trPr>
        <w:tc>
          <w:tcPr>
            <w:tcW w:w="6780" w:type="dxa"/>
            <w:vAlign w:val="bottom"/>
          </w:tcPr>
          <w:p>
            <w:pPr>
              <w:ind w:left="240"/>
              <w:spacing w:after="0"/>
              <w:rPr>
                <w:sz w:val="20"/>
                <w:szCs w:val="20"/>
                <w:color w:val="auto"/>
              </w:rPr>
            </w:pPr>
            <w:r>
              <w:rPr>
                <w:rFonts w:ascii="Arial" w:cs="Arial" w:eastAsia="Arial" w:hAnsi="Arial"/>
                <w:sz w:val="18"/>
                <w:szCs w:val="18"/>
                <w:color w:val="auto"/>
              </w:rPr>
              <w:t>Member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Management contracts</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23"/>
        </w:trPr>
        <w:tc>
          <w:tcPr>
            <w:tcW w:w="6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6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48"/>
        </w:trPr>
        <w:tc>
          <w:tcPr>
            <w:tcW w:w="6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Q1 2020</w:t>
      </w:r>
    </w:p>
    <w:p>
      <w:pPr>
        <w:spacing w:after="0" w:line="11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During the first quarter of 2020, we recognized a non-cash impairment charge of $18 million in the Impairment line on our Income Statement for the three months ended March 31, 2020, related to the indefinite-lived intangible assets in our Exchange &amp; Third-Party Management reporting unit. The impairment charge was primarily attributed to the impact of the COVID-19 pandemic.</w:t>
      </w:r>
    </w:p>
    <w:p>
      <w:pPr>
        <w:spacing w:after="0" w:line="247" w:lineRule="exact"/>
        <w:rPr>
          <w:sz w:val="20"/>
          <w:szCs w:val="20"/>
          <w:color w:val="auto"/>
        </w:rPr>
      </w:pPr>
    </w:p>
    <w:p>
      <w:pPr>
        <w:ind w:left="500" w:hanging="474"/>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we had the following commitments outstanding:</w:t>
      </w:r>
    </w:p>
    <w:p>
      <w:pPr>
        <w:spacing w:after="0" w:line="117" w:lineRule="exact"/>
        <w:rPr>
          <w:sz w:val="20"/>
          <w:szCs w:val="20"/>
          <w:color w:val="auto"/>
        </w:rPr>
      </w:pPr>
    </w:p>
    <w:p>
      <w:pPr>
        <w:ind w:left="980" w:right="60" w:hanging="324"/>
        <w:spacing w:after="0" w:line="263"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$92 million, of which we expect $28 million, $35 million, $20 million, $6 million, and $3 million will be paid in the remainder of 2021, 2022, 2023, 2024, and 2025 and thereafter, respectively.</w:t>
      </w:r>
    </w:p>
    <w:p>
      <w:pPr>
        <w:spacing w:after="0" w:line="75" w:lineRule="exact"/>
        <w:rPr>
          <w:rFonts w:ascii="Arial" w:cs="Arial" w:eastAsia="Arial" w:hAnsi="Arial"/>
          <w:sz w:val="18"/>
          <w:szCs w:val="18"/>
          <w:color w:val="auto"/>
        </w:rPr>
      </w:pPr>
    </w:p>
    <w:p>
      <w:pPr>
        <w:ind w:left="980" w:right="400" w:hanging="324"/>
        <w:spacing w:after="0" w:line="342"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various commitments to acquire real estate for use in our Vacation Ownership segment via our involvement with VIEs. Refer to Footnote 16 “Variable Interest Entities” for additional information and our activities relating to the VIEs involved in these transactions.</w:t>
      </w:r>
    </w:p>
    <w:p>
      <w:pPr>
        <w:spacing w:after="0" w:line="15" w:lineRule="exact"/>
        <w:rPr>
          <w:rFonts w:ascii="Arial" w:cs="Arial" w:eastAsia="Arial" w:hAnsi="Arial"/>
          <w:sz w:val="16"/>
          <w:szCs w:val="16"/>
          <w:color w:val="auto"/>
        </w:rPr>
      </w:pPr>
    </w:p>
    <w:p>
      <w:pPr>
        <w:ind w:left="980" w:right="120" w:hanging="324"/>
        <w:spacing w:after="0" w:line="259"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a remaining commitment to purchase 88 vacation ownership units located in Bali, Indonesia for use in our Vacation Ownership segment, contingent upon completion of construction to agreed-upon standards. We expect to complete the acquisition in 2021 and to make the remaining payments with respect to these units when specific construction milestones are completed, as follows: $21 million in late 2021 and $2 million in 2022.</w:t>
      </w:r>
    </w:p>
    <w:p>
      <w:pPr>
        <w:spacing w:after="0" w:line="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Surety bonds issued as of March 31, 2021 totaled $85 million, the majority of which were requested by federal, state, or local governments in connection with our operations.</w:t>
      </w:r>
    </w:p>
    <w:p>
      <w:pPr>
        <w:spacing w:after="0" w:line="6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March 31, 2021, we had $2 million of letters of credit outstanding under our Revolving Corporate Credit Facility (as defined in Footnote 13 “Debt”). In addition, as of March 31, 2021, we had $2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Corporate Credit Facility.</w:t>
      </w:r>
    </w:p>
    <w:p>
      <w:pPr>
        <w:spacing w:after="0" w:line="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estimate the cash outflow associated with completing the phases of our existing portfolio of vacation ownership projects currently under development will be approximately $3 million, of which $1 million is included within liabilities on our Balance Sheet at March 31, 2021. This estimate is based on our current development plans, which remain subject to change, and we expect the phases currently under development will be completed by the end of 2021.</w:t>
      </w: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Certain of our rental management agreements in our Exchange &amp; Third-Party Management segment provide for owners of properties we manage to receive specified percentages or guaranteed amounts of the rental revenue generated under our management. In these cases, the operating expenses for the rental operations are paid from the revenue generated by the rentals, the owners are then paid their contractual percentages or guaranteed amounts, and our vacation rental business either retains the balance (if any) as its fee or makes up the deficit. At March 31, 2021, our maximum exposure under fixed dollar guarantees was $15 million, of which $4 million, $4 million, $2 million, $2 million, $1 million and $2 million relate to the remainder of 2021, 2022, 2023, 2024, 2025 and thereafter, respectively. Based on the impact of the COVID-19 pandemic on our rental operations, we declared the occurrence of a force majeure event under many of these agreements, generally effective as of April 1, 2020. As a result, owner distributions made under such agreements will be paid on a net operating income basis, rather than as guaranteed amounts, until such time as force majeure event conditions abate.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March 2017, RCHFU, L.L.C. and other owners at The Ritz-Carlton Club, Aspen Highlands (“RCC Aspen Highlands”) filed a complaint in an action pending in the U.S. District Court for the District of Colorado against us and certain third parties, alleging that their fractional interests were devalued by the affiliation of the RCC Aspen Highlands and other Ritz-Carlton Clubs with our points-based Marriott Vacation Club Destinations (“MVCD”) program. The plaintiffs are seeking compensatory damages, disgorgement, punitive damages, fees and costs. A trial is scheduled to begin in January 2022.</w:t>
      </w:r>
    </w:p>
    <w:p>
      <w:pPr>
        <w:spacing w:after="0" w:line="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May 2016, a purported class-action lawsuit was filed in the U.S. District Court for the Middle District of Florida by Anthony and Beth Lennen against us and certain third parties. The complaint challenged the characterization of the beneficial interests in the MVCD trust that are sold to customers as real estate interests under Florida law, the structure of the trust, and associated operational aspects of the trust. The plaintiffs sought declaratory relief, an unwinding of the MVCD product, and punitive damages. In August 2019, the District Court granted our motion for judgment on the pleadings and dismissed the case. The plaintiffs have appealed the ruling.</w:t>
      </w:r>
    </w:p>
    <w:p>
      <w:pPr>
        <w:spacing w:after="0" w:line="80"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February 2019, the owners’ association for the St. Regis, New York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was unjustly enriched, and engaged in anticompetitive conduct. The plaintiff is seeking unspecified damages, punitive damages and disgorgement of payments under the management and purchase agreements.</w:t>
      </w:r>
    </w:p>
    <w:p>
      <w:pPr>
        <w:spacing w:after="0" w:line="5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April 2019, a purported class-action lawsuit was filed by Alan and Marjorie Helman and others against us in the Superior Court of the Virgin Islands, Division of St. Thomas alleging that their fractional interests were devalued by the affiliation of The Ritz-Carlton Club, St. Thomas and other Ritz-Carlton Clubs with our MVCD program. The lawsuit was subsequently removed to the U.S. District Court for the District of the Virgin Islands. The plaintiffs are seeking unspecified damages, disgorgement of profits, fees and costs.</w:t>
      </w:r>
    </w:p>
    <w:p>
      <w:pPr>
        <w:spacing w:after="0" w:line="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May 2019, the G.A. Resort Condominium Association Inc., the owners’ association for the fractional owners at the Hyatt Residence Club Grand Aspen resort (“HRC Grand Aspen”) filed a lawsuit against us in the District Court for the County of Pitkin, Colorado relating to the transfer of ownership of developer-owned fractional interests at HRC Grand Aspen to the HPC Trust Club for sale and use as a part of the Hyatt Residence Club Portfolio Program. The lawsuit was subsequently removed to the U.S. District Court for the District of Colorado. The plaintiff is seeking termination of the management agreement with the owners’ association, the annulment of certain amendments to governing documents at HRC Grand Aspen, the removal of fractional interests at HRC Grand Aspen from the HPC Trust Club, unspecified damages, disgorgement of profits, fees and costs. In November 2020, the District Court granted our motion to dismiss and dismissed the case. The plaintiffs have appealed the ruling.</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meritorious defenses to the claims in each of the above matters and intend to vigorously defend each matter.</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16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have not accrued for any of the pending matters described above and we cannot estimate a range of the potential liability associated with these pending matters, if any, at this time. We have accrued for other claims and lawsuits, but the amount accrued is not material individually or in the aggregate. For matters not requiring accrual, we do not believe that the ultimate outcome of such matters, individually and in the aggregate, will materially harm our financial position, cash flows, or overall trends in results of operations based on information currently available. However, legal proceedings are inherently uncertain, and while we believe that our accruals are adequate and that we have valid defenses to the claims asserted, unfavorable rulings could occur that could, individually or in the aggregate, have a material adverse effect on our business, financial condition, or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That Have Not Yet Commenced</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During the first quarter of 2020, we entered into a finance lease arrangement for our new global headquarters in Orlando, Florida. The new office building is currently expected to be completed in 2023, at which time the lease term will commence and a right-of-use asset and corresponding liability will be recorded on our balance sheet. The initial lease term is approximately 16 years with total lease payments of $129 million for the aforementioned period. During 2020, in response to the COVID-19 pandemic and our ongoing evaluation of future space needs, we entered into a standstill arrangement with the developer/lessor, which expires in June 2021. The agreement provides for a standstill on certain project spending, extends certain deliverable dates pertaining to the development and lease, and grants us a limited termination option in exchange for reimbursement of certain developer soft costs.</w:t>
      </w:r>
    </w:p>
    <w:p>
      <w:pPr>
        <w:spacing w:after="0" w:line="228" w:lineRule="exact"/>
        <w:rPr>
          <w:sz w:val="20"/>
          <w:szCs w:val="20"/>
          <w:color w:val="auto"/>
        </w:rPr>
      </w:pPr>
    </w:p>
    <w:p>
      <w:pPr>
        <w:ind w:left="500" w:hanging="474"/>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SECURITIZED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securitized debt, net of unamortized debt discount and issuance costs.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8"/>
                <w:szCs w:val="18"/>
                <w:color w:val="auto"/>
              </w:rPr>
            </w:pPr>
          </w:p>
        </w:tc>
        <w:tc>
          <w:tcPr>
            <w:tcW w:w="2000" w:type="dxa"/>
            <w:vAlign w:val="bottom"/>
            <w:gridSpan w:val="2"/>
          </w:tcPr>
          <w:p>
            <w:pPr>
              <w:ind w:left="160"/>
              <w:spacing w:after="0"/>
              <w:rPr>
                <w:sz w:val="20"/>
                <w:szCs w:val="20"/>
                <w:color w:val="auto"/>
              </w:rPr>
            </w:pPr>
            <w:r>
              <w:rPr>
                <w:rFonts w:ascii="Arial" w:cs="Arial" w:eastAsia="Arial" w:hAnsi="Arial"/>
                <w:sz w:val="16"/>
                <w:szCs w:val="16"/>
                <w:b w:val="1"/>
                <w:bCs w:val="1"/>
                <w:color w:val="auto"/>
              </w:rPr>
              <w:t>At March 31, 2021</w:t>
            </w:r>
          </w:p>
        </w:tc>
        <w:tc>
          <w:tcPr>
            <w:tcW w:w="220" w:type="dxa"/>
            <w:vAlign w:val="bottom"/>
          </w:tcPr>
          <w:p>
            <w:pPr>
              <w:spacing w:after="0"/>
              <w:rPr>
                <w:sz w:val="18"/>
                <w:szCs w:val="18"/>
                <w:color w:val="auto"/>
              </w:rPr>
            </w:pPr>
          </w:p>
        </w:tc>
        <w:tc>
          <w:tcPr>
            <w:tcW w:w="19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At December 31, 2020</w:t>
            </w:r>
          </w:p>
        </w:tc>
      </w:tr>
      <w:tr>
        <w:trPr>
          <w:trHeight w:val="22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9"/>
                <w:szCs w:val="9"/>
                <w:color w:val="auto"/>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6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Interest rates as of March 31, 2021 range from 2.3% to 4.4%, with a weighted average interest rate of 2.8%</w:t>
      </w:r>
    </w:p>
    <w:p>
      <w:pPr>
        <w:spacing w:after="0" w:line="9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of our securitized debt is non-recourse to us. See Footnote 16 “Variable Interest Entities” for a discussion of the collateral for the non-recourse debt associated with our securitized debt.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securitized debt as of March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jc w:val="right"/>
              <w:ind w:right="712"/>
              <w:spacing w:after="0"/>
              <w:rPr>
                <w:sz w:val="20"/>
                <w:szCs w:val="20"/>
                <w:color w:val="auto"/>
              </w:rPr>
            </w:pPr>
            <w:r>
              <w:rPr>
                <w:rFonts w:ascii="Arial" w:cs="Arial" w:eastAsia="Arial" w:hAnsi="Arial"/>
                <w:sz w:val="16"/>
                <w:szCs w:val="16"/>
                <w:b w:val="1"/>
                <w:bCs w:val="1"/>
                <w:color w:val="auto"/>
              </w:rPr>
              <w:t>Vacation Ownership</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94"/>
              </w:rPr>
              <w:t>Notes Receivable Securitizations</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Payments Year</w:t>
            </w:r>
          </w:p>
        </w:tc>
        <w:tc>
          <w:tcPr>
            <w:tcW w:w="26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2021, remaining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7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23"/>
        </w:trPr>
        <w:tc>
          <w:tcPr>
            <w:tcW w:w="8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 Securitizations</w:t>
      </w:r>
    </w:p>
    <w:p>
      <w:pPr>
        <w:spacing w:after="0" w:line="11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first quarter of 2021, and as of March 31, 2021, no securitized vacation ownership notes receivable pools were out of compliance with their respective established parameters. As of March 31, 2021, we had 12 securitized vacation ownership notes receivable pools outstanding.</w:t>
      </w:r>
    </w:p>
    <w:p>
      <w:pPr>
        <w:spacing w:after="0" w:line="69"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1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Our warehouse credit facility (the “Warehouse Credit Facility”), which has a borrowing capacity of $350 million, allows for the securitization of vacation ownership notes receivable on a revolving non-recourse basis. Subsequent to the end of the first quarter of 2021, we amended certain agreements associated with this facility, and as a result, the revolving period was extended from December 20, 2021 to April 21, 2023 and the interest rate increased from primarily LIBOR plus 1.1% to primarily LIBOR plus 1.35%. Our borrowing capacity was not modified by these amendments. The amended facility expands our ability to monetize vacation ownership notes receivable loans originated by Welk, which was acquired subsequent to the end of the first quarter of 2021. The other terms are substantially similar to those in effect prior to the execution of the amendments.</w:t>
      </w:r>
    </w:p>
    <w:p>
      <w:pPr>
        <w:spacing w:after="0" w:line="228" w:lineRule="exact"/>
        <w:rPr>
          <w:sz w:val="20"/>
          <w:szCs w:val="20"/>
          <w:color w:val="auto"/>
        </w:rPr>
      </w:pPr>
    </w:p>
    <w:p>
      <w:pPr>
        <w:ind w:left="500" w:hanging="474"/>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ind w:left="140"/>
              <w:spacing w:after="0"/>
              <w:rPr>
                <w:sz w:val="20"/>
                <w:szCs w:val="20"/>
                <w:color w:val="auto"/>
              </w:rPr>
            </w:pPr>
            <w:r>
              <w:rPr>
                <w:rFonts w:ascii="Arial" w:cs="Arial" w:eastAsia="Arial" w:hAnsi="Arial"/>
                <w:sz w:val="16"/>
                <w:szCs w:val="16"/>
                <w:b w:val="1"/>
                <w:bCs w:val="1"/>
                <w:color w:val="auto"/>
              </w:rPr>
              <w:t>At March 31, 2021</w:t>
            </w:r>
          </w:p>
        </w:tc>
        <w:tc>
          <w:tcPr>
            <w:tcW w:w="1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6"/>
                <w:szCs w:val="16"/>
                <w:b w:val="1"/>
                <w:bCs w:val="1"/>
                <w:color w:val="auto"/>
              </w:rPr>
              <w:t>At December 31, 2020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Senior Secured Notes</w:t>
            </w:r>
          </w:p>
        </w:tc>
        <w:tc>
          <w:tcPr>
            <w:tcW w:w="2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2025 Notes</w:t>
            </w:r>
          </w:p>
        </w:tc>
        <w:tc>
          <w:tcPr>
            <w:tcW w:w="2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Unamortized debt discount and issuance costs</w:t>
            </w:r>
          </w:p>
        </w:tc>
        <w:tc>
          <w:tcPr>
            <w:tcW w:w="2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 Unsecured Notes</w:t>
            </w:r>
          </w:p>
        </w:tc>
        <w:tc>
          <w:tcPr>
            <w:tcW w:w="2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2026 Notes</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Unamortized debt discount and issuance costs</w:t>
            </w:r>
          </w:p>
        </w:tc>
        <w:tc>
          <w:tcPr>
            <w:tcW w:w="2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6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2028 Notes</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Unamortized debt discount and issuance costs</w:t>
            </w:r>
          </w:p>
        </w:tc>
        <w:tc>
          <w:tcPr>
            <w:tcW w:w="2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Credit Facility</w:t>
            </w:r>
          </w:p>
        </w:tc>
        <w:tc>
          <w:tcPr>
            <w:tcW w:w="2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Term Loan</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Unamortized debt discount and issuance costs</w:t>
            </w:r>
          </w:p>
        </w:tc>
        <w:tc>
          <w:tcPr>
            <w:tcW w:w="2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w:t>
            </w:r>
          </w:p>
        </w:tc>
        <w:tc>
          <w:tcPr>
            <w:tcW w:w="2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2022 Convertible Notes</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Unamortized debt discount and issuance costs</w:t>
            </w:r>
          </w:p>
        </w:tc>
        <w:tc>
          <w:tcPr>
            <w:tcW w:w="2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6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tcPr>
          <w:p>
            <w:pPr>
              <w:ind w:left="400"/>
              <w:spacing w:after="0"/>
              <w:rPr>
                <w:sz w:val="20"/>
                <w:szCs w:val="20"/>
                <w:color w:val="auto"/>
              </w:rPr>
            </w:pPr>
            <w:r>
              <w:rPr>
                <w:rFonts w:ascii="Arial" w:cs="Arial" w:eastAsia="Arial" w:hAnsi="Arial"/>
                <w:sz w:val="18"/>
                <w:szCs w:val="18"/>
                <w:color w:val="auto"/>
              </w:rPr>
              <w:t>2026 Convertible Notes</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Unamortized debt discount and issuance costs</w:t>
            </w:r>
          </w:p>
        </w:tc>
        <w:tc>
          <w:tcPr>
            <w:tcW w:w="2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76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Finance Leases</w:t>
            </w:r>
          </w:p>
        </w:tc>
        <w:tc>
          <w:tcPr>
            <w:tcW w:w="2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910"/>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debt, excluding finance leases, as of March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2025</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2028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Term</w:t>
            </w:r>
          </w:p>
        </w:tc>
        <w:tc>
          <w:tcPr>
            <w:tcW w:w="140" w:type="dxa"/>
            <w:vAlign w:val="bottom"/>
          </w:tcPr>
          <w:p>
            <w:pPr>
              <w:spacing w:after="0"/>
              <w:rPr>
                <w:sz w:val="16"/>
                <w:szCs w:val="16"/>
                <w:color w:val="auto"/>
              </w:rPr>
            </w:pPr>
          </w:p>
        </w:tc>
        <w:tc>
          <w:tcPr>
            <w:tcW w:w="98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Convertible</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Convertible</w:t>
            </w:r>
          </w:p>
        </w:tc>
        <w:tc>
          <w:tcPr>
            <w:tcW w:w="240" w:type="dxa"/>
            <w:vAlign w:val="bottom"/>
          </w:tcPr>
          <w:p>
            <w:pPr>
              <w:spacing w:after="0"/>
              <w:rPr>
                <w:sz w:val="14"/>
                <w:szCs w:val="14"/>
                <w:color w:val="auto"/>
              </w:rPr>
            </w:pPr>
          </w:p>
        </w:tc>
        <w:tc>
          <w:tcPr>
            <w:tcW w:w="86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Notes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Notes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Notes</w:t>
            </w: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Loan</w:t>
            </w: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Notes</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Notes</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Payments Year</w:t>
            </w: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2021, remaining</w:t>
            </w:r>
          </w:p>
        </w:tc>
        <w:tc>
          <w:tcPr>
            <w:tcW w:w="740" w:type="dxa"/>
            <w:vAlign w:val="bottom"/>
          </w:tcPr>
          <w:p>
            <w:pPr>
              <w:jc w:val="right"/>
              <w:ind w:right="535"/>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5"/>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2023</w:t>
            </w:r>
          </w:p>
        </w:tc>
        <w:tc>
          <w:tcPr>
            <w:tcW w:w="7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2025</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500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500</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senior notes include:</w:t>
      </w:r>
    </w:p>
    <w:p>
      <w:pPr>
        <w:spacing w:after="0" w:line="117" w:lineRule="exact"/>
        <w:rPr>
          <w:rFonts w:ascii="Arial" w:cs="Arial" w:eastAsia="Arial" w:hAnsi="Arial"/>
          <w:sz w:val="18"/>
          <w:szCs w:val="18"/>
          <w:color w:val="auto"/>
        </w:rPr>
      </w:pPr>
    </w:p>
    <w:p>
      <w:pPr>
        <w:ind w:left="1300" w:right="100" w:hanging="320"/>
        <w:spacing w:after="0" w:line="277" w:lineRule="auto"/>
        <w:tabs>
          <w:tab w:leader="none" w:pos="12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$500 million aggregate principal amount of 6.125% Senior Secured Notes due 2025 issued in the second quarter of 2020 with a maturity date of September 15, 2025 (the “2025 Notes”).</w:t>
      </w:r>
    </w:p>
    <w:p>
      <w:pPr>
        <w:spacing w:after="0" w:line="8" w:lineRule="exact"/>
        <w:rPr>
          <w:rFonts w:ascii="Arial" w:cs="Arial" w:eastAsia="Arial" w:hAnsi="Arial"/>
          <w:sz w:val="18"/>
          <w:szCs w:val="18"/>
          <w:color w:val="auto"/>
        </w:rPr>
      </w:pPr>
    </w:p>
    <w:p>
      <w:pPr>
        <w:ind w:left="1300" w:right="80" w:hanging="320"/>
        <w:spacing w:after="0" w:line="277" w:lineRule="auto"/>
        <w:tabs>
          <w:tab w:leader="none" w:pos="12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$750 million aggregate principal amount of 6.500% Senior Unsecured Notes due 2026 issued in the third quarter of 2018 with a maturity date of September 15, 2026 (the “2026 Notes”); and</w:t>
      </w:r>
    </w:p>
    <w:p>
      <w:pPr>
        <w:spacing w:after="0" w:line="8" w:lineRule="exact"/>
        <w:rPr>
          <w:rFonts w:ascii="Arial" w:cs="Arial" w:eastAsia="Arial" w:hAnsi="Arial"/>
          <w:sz w:val="18"/>
          <w:szCs w:val="18"/>
          <w:color w:val="auto"/>
        </w:rPr>
      </w:pPr>
    </w:p>
    <w:p>
      <w:pPr>
        <w:ind w:left="1300" w:right="640" w:hanging="320"/>
        <w:spacing w:after="0" w:line="277" w:lineRule="auto"/>
        <w:tabs>
          <w:tab w:leader="none" w:pos="12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$350 million aggregate principal amount of 4.750% Senior Unsecured Notes due 2028 issued in the fourth quarter of 2019 with a maturity date of January 15, 2028 (the “2028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Credit Facility</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corporate credit facility (“Corporate Credit Facility”), which provides support for our business, including ongoing liquidity and letters of credit, includes a $900 million term loan facility (the “Term Loan”), which matures on August 31, 2025, and a revolving credit facility with a borrowing capacity of $600 million (the “Revolving Corporate Credit Facility”), including a letter of credit sub-facility of $75 million, that terminates on August 31, 2023.</w:t>
      </w:r>
    </w:p>
    <w:p>
      <w:pPr>
        <w:spacing w:after="0" w:line="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Term Loan bears interest at LIBOR plus 1.75 percent. Borrowings under the Revolving Corporate Credit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to 40 basis points per annum, also depending on our credit rating.</w:t>
      </w:r>
    </w:p>
    <w:p>
      <w:pPr>
        <w:spacing w:after="0" w:line="7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2020, we entered into a waiver (the “Waiver”) to the agreement that governs our Corporate Credit Facility, which, among other things, suspended the requirement to comply with the leverage covenant in the Revolving Corporate Credit Facility, commencing with the fiscal quarter ending June 30, 2020. The initial suspension period included in the Waiver was up to four quarters, however in February 2021, we further amended the agreement governing our Corporate Credit Facility to extend the suspension period included in the Waiver through the end of 2021. We are required to maintain monthly minimum liquidity of at least $300 million until the later of December 31, 2021, or the end of the suspension period. In addition, for the duration of the period during which the waiver of the leverage covenant remains in effect, we are prohibited from making certain restricted payments, including share repurchases and dividends. If we are not in compliance with the leverage covenant at the end of the suspension period, we will seek to negotiate with our lenders to amend such covenant, as needed.</w:t>
      </w:r>
    </w:p>
    <w:p>
      <w:pPr>
        <w:spacing w:after="0" w:line="8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Prior to 2020, we entered into $250 million of interest rate swaps under which we pay a fixed rate of 2.9625 percent and receive a floating interest rate through September 2023 and $200 million of interest rate swaps under which we pay a fixed rate of 2.2480 percent and receive a floating interest rate through April 2024, in each case to hedge a portion of our interest rate risk on the Term Loan. We also entered into a $100 million interest rate collar with a cap strike rate of 2.5000 percent and a floor strike rate of 1.8810 percent through April 2024 to further hedge our interest rate risk on the Term Loan. Both the interest rate swaps and the interest rate collar have been designated and qualify as cash flow hedges of interest rate risk and recorded in Other liabilities on our Balance Sheet as of March 31, 2021 and December 31, 2020. We characterize payments we make in connection with these derivative instruments as interest expense and a reclassification of accumulated other comprehensive income for presentation purposes.</w:t>
      </w:r>
    </w:p>
    <w:p>
      <w:pPr>
        <w:spacing w:after="0" w:line="15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reflects the activity in accumulated other comprehensive loss related to our derivative instruments during the first quarters of 2021 and 2020:</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2"/>
              <w:spacing w:after="0"/>
              <w:rPr>
                <w:sz w:val="20"/>
                <w:szCs w:val="20"/>
                <w:color w:val="auto"/>
              </w:rPr>
            </w:pPr>
            <w:r>
              <w:rPr>
                <w:rFonts w:ascii="Arial" w:cs="Arial" w:eastAsia="Arial" w:hAnsi="Arial"/>
                <w:sz w:val="16"/>
                <w:szCs w:val="16"/>
                <w:b w:val="1"/>
                <w:bCs w:val="1"/>
                <w:color w:val="auto"/>
              </w:rPr>
              <w:t>2020</w:t>
            </w:r>
          </w:p>
        </w:tc>
      </w:tr>
      <w:tr>
        <w:trPr>
          <w:trHeight w:val="22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 adjustment balance, January 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center"/>
              <w:ind w:left="1172"/>
              <w:spacing w:after="0"/>
              <w:rPr>
                <w:sz w:val="20"/>
                <w:szCs w:val="20"/>
                <w:color w:val="auto"/>
              </w:rPr>
            </w:pPr>
            <w:r>
              <w:rPr>
                <w:rFonts w:ascii="Arial" w:cs="Arial" w:eastAsia="Arial" w:hAnsi="Arial"/>
                <w:sz w:val="18"/>
                <w:szCs w:val="18"/>
                <w:color w:val="auto"/>
                <w:w w:val="93"/>
              </w:rPr>
              <w:t>(21)</w:t>
            </w:r>
          </w:p>
        </w:tc>
      </w:tr>
      <w:tr>
        <w:trPr>
          <w:trHeight w:val="229"/>
        </w:trPr>
        <w:tc>
          <w:tcPr>
            <w:tcW w:w="6940" w:type="dxa"/>
            <w:vAlign w:val="bottom"/>
          </w:tcPr>
          <w:p>
            <w:pPr>
              <w:ind w:left="200"/>
              <w:spacing w:after="0"/>
              <w:rPr>
                <w:sz w:val="20"/>
                <w:szCs w:val="20"/>
                <w:color w:val="auto"/>
              </w:rPr>
            </w:pPr>
            <w:r>
              <w:rPr>
                <w:rFonts w:ascii="Arial" w:cs="Arial" w:eastAsia="Arial" w:hAnsi="Arial"/>
                <w:sz w:val="18"/>
                <w:szCs w:val="18"/>
                <w:color w:val="auto"/>
              </w:rPr>
              <w:t>Other comprehensive gain (loss) before reclassifications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center"/>
              <w:ind w:left="1172"/>
              <w:spacing w:after="0"/>
              <w:rPr>
                <w:sz w:val="20"/>
                <w:szCs w:val="20"/>
                <w:color w:val="auto"/>
              </w:rPr>
            </w:pPr>
            <w:r>
              <w:rPr>
                <w:rFonts w:ascii="Arial" w:cs="Arial" w:eastAsia="Arial" w:hAnsi="Arial"/>
                <w:sz w:val="18"/>
                <w:szCs w:val="18"/>
                <w:color w:val="auto"/>
                <w:w w:val="93"/>
              </w:rPr>
              <w:t>(24)</w:t>
            </w:r>
          </w:p>
        </w:tc>
      </w:tr>
      <w:tr>
        <w:trPr>
          <w:trHeight w:val="230"/>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to Income Statement</w:t>
            </w: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1172"/>
              <w:spacing w:after="0"/>
              <w:rPr>
                <w:sz w:val="20"/>
                <w:szCs w:val="20"/>
                <w:color w:val="auto"/>
              </w:rPr>
            </w:pPr>
            <w:r>
              <w:rPr>
                <w:rFonts w:ascii="Arial" w:cs="Arial" w:eastAsia="Arial" w:hAnsi="Arial"/>
                <w:sz w:val="18"/>
                <w:szCs w:val="18"/>
                <w:color w:val="auto"/>
                <w:w w:val="99"/>
              </w:rPr>
              <w:t>—</w:t>
            </w:r>
          </w:p>
        </w:tc>
      </w:tr>
      <w:tr>
        <w:trPr>
          <w:trHeight w:val="223"/>
        </w:trPr>
        <w:tc>
          <w:tcPr>
            <w:tcW w:w="69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other comprehensive income (loss)</w:t>
            </w:r>
          </w:p>
        </w:tc>
        <w:tc>
          <w:tcPr>
            <w:tcW w:w="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center"/>
              <w:ind w:left="1172"/>
              <w:spacing w:after="0"/>
              <w:rPr>
                <w:sz w:val="20"/>
                <w:szCs w:val="20"/>
                <w:color w:val="auto"/>
              </w:rPr>
            </w:pPr>
            <w:r>
              <w:rPr>
                <w:rFonts w:ascii="Arial" w:cs="Arial" w:eastAsia="Arial" w:hAnsi="Arial"/>
                <w:sz w:val="18"/>
                <w:szCs w:val="18"/>
                <w:color w:val="auto"/>
                <w:w w:val="93"/>
              </w:rPr>
              <w:t>(24)</w:t>
            </w:r>
          </w:p>
        </w:tc>
      </w:tr>
      <w:tr>
        <w:trPr>
          <w:trHeight w:val="248"/>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instrument adjustment balance, March 31</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center"/>
              <w:ind w:left="1172"/>
              <w:spacing w:after="0"/>
              <w:rPr>
                <w:sz w:val="20"/>
                <w:szCs w:val="20"/>
                <w:color w:val="auto"/>
              </w:rPr>
            </w:pPr>
            <w:r>
              <w:rPr>
                <w:rFonts w:ascii="Arial" w:cs="Arial" w:eastAsia="Arial" w:hAnsi="Arial"/>
                <w:sz w:val="18"/>
                <w:szCs w:val="18"/>
                <w:color w:val="auto"/>
                <w:w w:val="93"/>
              </w:rPr>
              <w:t>(45)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2017, we issued $230 million of aggregate principal amount of convertible senior notes (the “2022 Convertible Notes”) that bear interest at a rate of 1.50 percent, payable in cash semi-annually. The 2022 Convertible Notes mature on September 15, 2022, unless repurchased or converted in accordance with their terms prior to that date.</w:t>
      </w:r>
    </w:p>
    <w:p>
      <w:pPr>
        <w:spacing w:after="0" w:line="7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conversion rate is subject to adjustment for certain events as described in the indenture governing the notes, and was subject to adjustment as of March 31, 2021 to 6.8115 shares of common stock per $1,000 principal amount of 2022 Convertible Notes (equivalent to a conversion price of approximately $146.81 per share of our common stock), as a result of the dividends that have been declared since issuance that were greater than the quarterly dividend when the 2022 Convertible Notes were issued. Upon conversion, we will pay or deliver, as the case may be, cash, shares of our common stock or a combination of cash and shares of our common stock, at our election. It is our intent to settle conversions of the 2022 Convertible Notes through combination settlement, which contemplates repayment in cash of the principal amount and repayment in shares of our common stock of any excess of the conversion value over the principal amount. As of March 31, 2021, the effective interest rate was 4.73% and the remaining discount amortization period was 1.5 years.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2022 Convertible Notes.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b w:val="1"/>
                <w:bCs w:val="1"/>
                <w:color w:val="auto"/>
              </w:rPr>
              <w:t>At March 31, 2021</w:t>
            </w:r>
          </w:p>
        </w:tc>
        <w:tc>
          <w:tcPr>
            <w:tcW w:w="180" w:type="dxa"/>
            <w:vAlign w:val="bottom"/>
          </w:tcPr>
          <w:p>
            <w:pPr>
              <w:spacing w:after="0"/>
              <w:rPr>
                <w:sz w:val="18"/>
                <w:szCs w:val="18"/>
                <w:color w:val="auto"/>
              </w:rPr>
            </w:pPr>
          </w:p>
        </w:tc>
        <w:tc>
          <w:tcPr>
            <w:tcW w:w="186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At December 31, 2020</w:t>
            </w:r>
          </w:p>
        </w:tc>
      </w:tr>
      <w:tr>
        <w:trPr>
          <w:trHeight w:val="213"/>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2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29"/>
        </w:trPr>
        <w:tc>
          <w:tcPr>
            <w:tcW w:w="6980" w:type="dxa"/>
            <w:vAlign w:val="bottom"/>
          </w:tcPr>
          <w:p>
            <w:pPr>
              <w:ind w:left="200"/>
              <w:spacing w:after="0"/>
              <w:rPr>
                <w:sz w:val="20"/>
                <w:szCs w:val="20"/>
                <w:color w:val="auto"/>
              </w:rPr>
            </w:pPr>
            <w:r>
              <w:rPr>
                <w:rFonts w:ascii="Arial" w:cs="Arial" w:eastAsia="Arial" w:hAnsi="Arial"/>
                <w:sz w:val="18"/>
                <w:szCs w:val="18"/>
                <w:color w:val="auto"/>
              </w:rPr>
              <w:t>Principal amount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Unamortized debt discount</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amount of the liability component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equity component, net of issuance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interest expense information related to the 2022 Convertible Notes.</w:t>
      </w:r>
    </w:p>
    <w:p>
      <w:pPr>
        <w:spacing w:after="0" w:line="145" w:lineRule="exact"/>
        <w:rPr>
          <w:sz w:val="20"/>
          <w:szCs w:val="20"/>
          <w:color w:val="auto"/>
        </w:rPr>
      </w:pPr>
    </w:p>
    <w:tbl>
      <w:tblPr>
        <w:tblLayout w:type="fixed"/>
        <w:tblInd w:w="68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117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65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Pr>
          <w:p>
            <w:pPr>
              <w:spacing w:after="0"/>
              <w:rPr>
                <w:sz w:val="18"/>
                <w:szCs w:val="18"/>
                <w:color w:val="auto"/>
              </w:rPr>
            </w:pPr>
          </w:p>
        </w:tc>
        <w:tc>
          <w:tcPr>
            <w:tcW w:w="1680" w:type="dxa"/>
            <w:vAlign w:val="bottom"/>
          </w:tcPr>
          <w:p>
            <w:pPr>
              <w:jc w:val="right"/>
              <w:ind w:right="352"/>
              <w:spacing w:after="0"/>
              <w:rPr>
                <w:sz w:val="20"/>
                <w:szCs w:val="20"/>
                <w:color w:val="auto"/>
              </w:rPr>
            </w:pPr>
            <w:r>
              <w:rPr>
                <w:rFonts w:ascii="Arial" w:cs="Arial" w:eastAsia="Arial" w:hAnsi="Arial"/>
                <w:sz w:val="16"/>
                <w:szCs w:val="16"/>
                <w:b w:val="1"/>
                <w:bCs w:val="1"/>
                <w:color w:val="auto"/>
              </w:rPr>
              <w:t>March 31, 2020</w:t>
            </w:r>
          </w:p>
        </w:tc>
      </w:tr>
      <w:tr>
        <w:trPr>
          <w:trHeight w:val="226"/>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discount</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2022 Convertible Note Hedges and Warrants</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connection with the offering of the 2022 Convertible Notes, we concurrently entered into the following privately-negotiated separate transactions: convertible note hedge transactions with respect to our common stock (“2022 Convertible Note Hedges”), covering a total of approximately 1.55 million shares of our common stock, and warrant transactions (“2022 Warrants”), whereby we sold to the counterparties to the 2022 Convertible Note Hedges warrants to acquire approximately 1.55 million shares of our common stock. As of March 31, 2021, the strike prices of the 2022 Convertible Note Hedges and the 2022 Warrants were subject to adjustment to approximately $148.61 and $177.19, respectively, and no 2022 Convertible Note Hedges or 2022 Warrants have been exercised.</w:t>
      </w:r>
    </w:p>
    <w:p>
      <w:pPr>
        <w:spacing w:after="0" w:line="1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2026 Convertible Notes</w:t>
      </w:r>
    </w:p>
    <w:p>
      <w:pPr>
        <w:spacing w:after="0" w:line="117"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During the first quarter of 2021, we issued $575 million aggregate principal amount of 0.00% Convertible Senior Notes due 2026 (the “2026 Convertible Notes”). The 2026 Convertible Notes are governed by an indenture dated February 2, 2021 (the Indenture) between the Company, Marriott Ownership Resorts, Inc. and the other guarantors party thereto (the “Guarantors”) and The Bank of New York Mellon Trust Company, N.A., as trustee (the “Trustee”). We received net proceeds from the offering of approximately $530 million after adjusting for debt issuance costs, including the discount to the initial purchasers, the cost of the 2026 Convertible Note Hedges, and proceeds from the 2026 Warrants (both as defined below).</w:t>
      </w:r>
    </w:p>
    <w:p>
      <w:pPr>
        <w:spacing w:after="0" w:line="68"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2026 Convertible Notes will not bear regular interest and will mature on January 15, 2026, unless earlier repurchased or converted in accordance with their terms prior to that date. On or after October 15, 2025, and prior to the close of business on the second scheduled trading day immediately preceding the stated maturity date of the 2026 Convertible Notes, holders may convert their 2026 Convertible Notes at their option. The 2026 Convertible Notes are convertible at a rate of 5.8476 shares of common stock per $1,000 principal amount of 2026 Convertible Notes (equivalent to an initial conversion price of $171.01 per share of our common stock) as of March 31, 2021. The conversion rate is subject to adjustment for certain events as described in the Indenture. Upon conversion, we will pay or deliver, as the case may be, cash, shares of our common stock, or a combination of cash and shares of our common stock, at our election. It is our intent to settle conversions of the 2026 Convertible Notes through combination settlement, which contemplates repayment in cash of the principal amount and repayment in shares of our common stock of any excess of the conversion value over the principal amount.</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may convert their 2026 Convertible Notes prior to October 15, 2025 only under the following circumstances:</w:t>
      </w:r>
    </w:p>
    <w:p>
      <w:pPr>
        <w:spacing w:after="0" w:line="117" w:lineRule="exact"/>
        <w:rPr>
          <w:sz w:val="20"/>
          <w:szCs w:val="20"/>
          <w:color w:val="auto"/>
        </w:rPr>
      </w:pPr>
    </w:p>
    <w:p>
      <w:pPr>
        <w:ind w:left="980" w:right="160" w:hanging="324"/>
        <w:spacing w:after="0" w:line="259"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March 31,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percent of the conversion price on each applicable trading day;</w:t>
      </w:r>
    </w:p>
    <w:p>
      <w:pPr>
        <w:spacing w:after="0" w:line="78"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the trading price per $1,000 principal amount of 2026 Convertible Notes for each trading day of the measurement period was less than 98 percent of the product of the last reported sale price of the common stock and the conversion rate on each such trading day; or</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described in the Indenture.</w:t>
      </w:r>
    </w:p>
    <w:p>
      <w:pPr>
        <w:spacing w:after="0" w:line="117"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We may not redeem the 2026 Convertible Notes prior to their maturity date, and no sinking fund is provided for them. If we undergo a fundamental change, as described in the Indenture, subject to certain conditions, holders may require us to repurchase for cash all or any portion of their 2026 Convertible Notes. The repurchase price as a result of a fundamental change is equal to 100 percent of the principal amount of the 2026 Convertible Notes to be repurchased, plus accrued and unpaid special interest, if any, to, but excluding, the repurchase date. If certain fundamental changes referred to in the Indenture as make-whole fundamental changes occur, the conversion rate applicable to the 2026 Convertible Notes may increase.</w:t>
      </w:r>
    </w:p>
    <w:p>
      <w:pPr>
        <w:spacing w:after="0" w:line="5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2026 Convertible Notes are unconditionally guaranteed, on a joint and several basis, by the Guarantors on a senior, unsecured basis. The 2026 Convertible Notes are our general senior unsecured obligations and rank equally in right of payment with all of our existing and future senior indebtedness, and senior in right of payment to all of our future subordinated debt. The 2026 Convertible Notes will be effectively subordinated to any of our existing and future secured debt to the extent of the value of the assets securing such debt, including the guarantees of borrowings outstanding under the Corporate Credit Facility and our 2025 Notes. The 2026 Convertible Notes will be structurally subordinated to any existing and future indebtedness and any other liabilities and obligations of any of our subsidiaries that are not guarantors of the 2026 Convertible Notes. The guarantees will be the Guarantors’ general senior unsecured obligations and will rank equally in right of payment with all of the Guarantors’ existing and future senior indebtedness, and senior in right of payment to all of the Guarantors’ future subordinated debt. The guarantees will be effectively subordinated to any of the Guarantors’ existing and future secured debt to the extent of the value of the assets securing such debt, including any borrowings outstanding under the Corporate Credit Facility and the 2025 Notes. The guarantees will be structurally subordinated to any existing and future indebtedness and any other liabilities and obligations of any of our subsidiaries that are not guarantors of the 2026 Convertible Notes.</w:t>
      </w:r>
    </w:p>
    <w:p>
      <w:pPr>
        <w:spacing w:after="0" w:line="7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There are no financial or operating covenants related to the 2026 Convertible Notes. The indenture governing these notes contains customary events of default with respect to the 2026 Convertible Notes and provides that upon the occurrence and continuation of certain events of default, the Trustee or the holders of at least 25 percent in aggregate principal amount of the 2026 Convertible Notes then outstanding, may declare all principal of, and accrued and any unpaid interest on, the 2026 Convertible Notes then outstanding to be immediately due and payable. In case of certain events of bankruptcy or insolvency involving the Company, all of the principal of and accrued and unpaid interest on the 2026 Convertible Notes will automatically become immediately due and payable.</w:t>
      </w:r>
    </w:p>
    <w:p>
      <w:pPr>
        <w:spacing w:after="0" w:line="1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accounting for the issuance of the 2026 Convertible Notes, we separated the 2026 Convertible Notes into liability and equity components, and allocated $449 million to the liability component and $126 million to the equity component. The resulting debt discount is amortized as interest expense. As of March 31, 2021, the effective interest rate was 4.96% and the remaining debt discount amortization period was 4.8 years. We had debt issuance costs, including initial purchasers’ discount to underwriters, of $15 million related to the 2026 Convertible Notes, which were allocated to the liability and equity components based on their relative values. Issuance costs attributable to the liability component are amortized to interest expense over the term of the 2026 Convertible Notes, and issuance costs attributable to the equity component are included along with the equity component in shareholders’ equity. During the first quarter of 2021, our interest expense related to the 2026 Convertible Notes was $5 million, all of which related to the amortization of the debt discount.</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2026 Convertible Notes at March 31,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At March 31, 2021</w:t>
            </w:r>
          </w:p>
        </w:tc>
      </w:tr>
      <w:tr>
        <w:trPr>
          <w:trHeight w:val="21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component</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9"/>
        </w:trPr>
        <w:tc>
          <w:tcPr>
            <w:tcW w:w="9180" w:type="dxa"/>
            <w:vAlign w:val="bottom"/>
          </w:tcPr>
          <w:p>
            <w:pPr>
              <w:ind w:left="220"/>
              <w:spacing w:after="0"/>
              <w:rPr>
                <w:sz w:val="20"/>
                <w:szCs w:val="20"/>
                <w:color w:val="auto"/>
              </w:rPr>
            </w:pPr>
            <w:r>
              <w:rPr>
                <w:rFonts w:ascii="Arial" w:cs="Arial" w:eastAsia="Arial" w:hAnsi="Arial"/>
                <w:sz w:val="18"/>
                <w:szCs w:val="18"/>
                <w:color w:val="auto"/>
              </w:rPr>
              <w:t>Principal amount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9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debt discount</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9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Unamortized debt issuance costs</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 of the liability component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29"/>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amount of equity component, net of issuance costs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2026 Convertible Note Hedges and Warrants</w:t>
      </w:r>
    </w:p>
    <w:p>
      <w:pPr>
        <w:spacing w:after="0" w:line="11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connection with the offering of the 2026 Convertible Notes, we entered into privately-negotiated convertible note hedge transactions with respect to our common stock with certain counterparties (the “2026 Convertible Note Hedges”), covering a total of 3.4 million shares of our common stock at a cost of $100 million. The 2026 Convertible Note Hedges are subject to anti-dilution provisions substantially similar to those of the 2026 Convertible Notes, have a strike price that initially corresponds to the initial conversion price of the 2026 Convertible Notes, are exercisable by us upon any conversion under the 2026 Convertible Notes, and expire when the 2026 Convertible Notes mature. The cost of the 2026 Convertible Note Hedges is expected to be tax deductible as an original issue discount over the life of the 2026 Convertible Notes, as the 2026 Convertible Notes and the 2026 Convertible Note Hedges represent an integrated debt instrument for tax purposes. The cost of the 2026 Convertible Note Hedges was recorded as a reduction of Additional paid-in capital on our Balance Sheet as of March 31, 2021.</w:t>
      </w:r>
    </w:p>
    <w:p>
      <w:pPr>
        <w:spacing w:after="0" w:line="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Concurrently with the entry into the 2026 Convertible Note Hedges, we separately entered into privately-negotiated warrant transactions (the “2026 Warrants”), whereby we sold to the counterparties to the 2026 Convertible Note Hedges warrants to acquire, collectively, subject to anti-dilution adjustments, approximately 3.4 million shares of our common stock at an initial strike price of $213.76 per share. We received aggregate proceeds of $70 million from the sale of the 2026 Warrants to the counterparties. The proceeds from the issuance of the 2026 Warrants were recorded as an increase to Additional paid-in capital on our Balance Sheet as of March 31, 2021.</w:t>
      </w:r>
    </w:p>
    <w:p>
      <w:pPr>
        <w:spacing w:after="0" w:line="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Taken together, the 2026 Convertible Note Hedges and the 2026 Warrants are generally expected to reduce the potential dilution to our common stock (or, in the event the conversion of the 2026 Convertible Notes is settled in cash, to reduce our cash payment obligation) in the event that at the time of conversion our stock price exceeds the conversion price under the 2026 Convertible Notes and to effectively increase the overall conversion price to the Company from $171.01 per share to $213.76 per share. The 2026 Warrants will expire in ratable portions on a series of expiration dates commencing on April 15, 2026.</w:t>
      </w:r>
    </w:p>
    <w:p>
      <w:pPr>
        <w:spacing w:after="0" w:line="8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2026 Convertible Notes, the 2026 Convertible Note Hedges, and the 2026 Warrants are transactions that are separate from each other. Holders of any such instrument have no rights with respect to the other instruments. As of March 31, 2021, no 2026 Convertible Notes or 2026 Warrants have been exercised.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Guarantees</w:t>
      </w:r>
    </w:p>
    <w:p>
      <w:pPr>
        <w:spacing w:after="0" w:line="11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Amounts borrowed under the Corporate Credit Facility and the 2025 Notes,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Corporate Credit Facility, the 2026 Convertible Notes, the 2025 Notes, the 2026 Notes and the 2028 Notes are guaranteed by MVWC and certain of our direct and indirect, existing and future, domestic subsidiaries, excluding bankruptcy remote special purpose subsidiaries.</w:t>
      </w:r>
    </w:p>
    <w:p>
      <w:pPr>
        <w:spacing w:after="0" w:line="16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hanging="474"/>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Marriott Vacations Worldwide has 100,000,000 authorized shares of common stock, par value of $0.01 per share. At March 31, 2021, there were 75,454,906 shares of Marriott Vacations Worldwide common stock issued, of which 41,272,628 shares were outstanding and 34,182,278 shares were held as treasury stock. At December 31, 2020, there were 75,279,061 shares of Marriott Vacations Worldwide common stock issued, of which 41,094,248 shares were outstanding and 34,184,813 shares were held as treasury stock. Marriott Vacations Worldwide has 2,000,000 authorized shares of preferred stock, par value of $0.01 per share, none of which were issued or outstanding as of March 31, 2021 or December 31,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Due to the impact of the COVID-19 pandemic, we temporarily suspended cash dividends. Any future dividend payments will be subject to both the restrictions imposed under the Waiver and other agreements covering our debt, Board approval, and there can be no assurance that we will pay dividends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 Property Owners’ Associations</w:t>
      </w:r>
    </w:p>
    <w:p>
      <w:pPr>
        <w:spacing w:after="0" w:line="11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consolidate certain property owners’ associations. Noncontrolling interests represents the portion of the property owners’ associations related to individual or third-party vacation ownership interest owners. Noncontrolling interests of $29 million and $31 million, as of March 31, 2021 and December 31, 2020, respectively, are included on our Balance Sheets as a component of equity.</w:t>
      </w:r>
    </w:p>
    <w:p>
      <w:pPr>
        <w:spacing w:after="0" w:line="234" w:lineRule="exact"/>
        <w:rPr>
          <w:sz w:val="20"/>
          <w:szCs w:val="20"/>
          <w:color w:val="auto"/>
        </w:rPr>
      </w:pPr>
    </w:p>
    <w:p>
      <w:pPr>
        <w:ind w:left="500" w:hanging="474"/>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maintain the Marriott Vacations Worldwide Corporation 2020 Equity Incentive Plan (the “MVW Equity Plan”), for the benefit of our officers, directors, and employees. Under the MVW Equity Plan, we are authorized to award: (1) restricted stock units (“RSUs”) of our common stock, (2) stock appreciation rights (“SARs”) relating to our common stock, and (3) stock options to purchase our common stock. A total of 1.8 million shares are authorized for issuance pursuant to grants under the MVW Equity Plan. As of March 31, 2021, approximately 1.5 million shares were available for grants under the MVW Equity Plan.</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4"/>
          </w:tcPr>
          <w:p>
            <w:pPr>
              <w:ind w:left="108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8"/>
                <w:szCs w:val="18"/>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Pr>
          <w:p>
            <w:pPr>
              <w:spacing w:after="0"/>
              <w:rPr>
                <w:sz w:val="18"/>
                <w:szCs w:val="18"/>
                <w:color w:val="auto"/>
              </w:rPr>
            </w:pPr>
          </w:p>
        </w:tc>
        <w:tc>
          <w:tcPr>
            <w:tcW w:w="1760" w:type="dxa"/>
            <w:vAlign w:val="bottom"/>
          </w:tcPr>
          <w:p>
            <w:pPr>
              <w:ind w:left="200"/>
              <w:spacing w:after="0"/>
              <w:rPr>
                <w:sz w:val="20"/>
                <w:szCs w:val="20"/>
                <w:color w:val="auto"/>
              </w:rPr>
            </w:pPr>
            <w:r>
              <w:rPr>
                <w:rFonts w:ascii="Arial" w:cs="Arial" w:eastAsia="Arial" w:hAnsi="Arial"/>
                <w:sz w:val="16"/>
                <w:szCs w:val="16"/>
                <w:b w:val="1"/>
                <w:bCs w:val="1"/>
                <w:color w:val="auto"/>
              </w:rPr>
              <w:t>March 31, 2020</w:t>
            </w:r>
          </w:p>
        </w:tc>
      </w:tr>
      <w:tr>
        <w:trPr>
          <w:trHeight w:val="226"/>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Service-based RSUs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center"/>
              <w:ind w:left="1431"/>
              <w:spacing w:after="0"/>
              <w:rPr>
                <w:sz w:val="20"/>
                <w:szCs w:val="20"/>
                <w:color w:val="auto"/>
              </w:rPr>
            </w:pPr>
            <w:r>
              <w:rPr>
                <w:rFonts w:ascii="Arial" w:cs="Arial" w:eastAsia="Arial" w:hAnsi="Arial"/>
                <w:sz w:val="18"/>
                <w:szCs w:val="18"/>
                <w:color w:val="auto"/>
                <w:w w:val="79"/>
              </w:rPr>
              <w:t>4</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Performance-based RSUs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center"/>
              <w:ind w:left="1411"/>
              <w:spacing w:after="0"/>
              <w:rPr>
                <w:sz w:val="20"/>
                <w:szCs w:val="20"/>
                <w:color w:val="auto"/>
              </w:rPr>
            </w:pPr>
            <w:r>
              <w:rPr>
                <w:rFonts w:ascii="Arial" w:cs="Arial" w:eastAsia="Arial" w:hAnsi="Arial"/>
                <w:sz w:val="18"/>
                <w:szCs w:val="18"/>
                <w:color w:val="auto"/>
                <w:w w:val="99"/>
              </w:rPr>
              <w:t>(2)</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ILG Acquisition Converted RSUs</w:t>
            </w:r>
          </w:p>
        </w:tc>
        <w:tc>
          <w:tcPr>
            <w:tcW w:w="3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left="1431"/>
              <w:spacing w:after="0"/>
              <w:rPr>
                <w:sz w:val="20"/>
                <w:szCs w:val="20"/>
                <w:color w:val="auto"/>
              </w:rPr>
            </w:pPr>
            <w:r>
              <w:rPr>
                <w:rFonts w:ascii="Arial" w:cs="Arial" w:eastAsia="Arial" w:hAnsi="Arial"/>
                <w:sz w:val="18"/>
                <w:szCs w:val="18"/>
                <w:color w:val="auto"/>
                <w:w w:val="79"/>
              </w:rPr>
              <w:t>1</w:t>
            </w:r>
          </w:p>
        </w:tc>
      </w:tr>
      <w:tr>
        <w:trPr>
          <w:trHeight w:val="223"/>
        </w:trPr>
        <w:tc>
          <w:tcPr>
            <w:tcW w:w="70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center"/>
              <w:ind w:left="1431"/>
              <w:spacing w:after="0"/>
              <w:rPr>
                <w:sz w:val="20"/>
                <w:szCs w:val="20"/>
                <w:color w:val="auto"/>
              </w:rPr>
            </w:pPr>
            <w:r>
              <w:rPr>
                <w:rFonts w:ascii="Arial" w:cs="Arial" w:eastAsia="Arial" w:hAnsi="Arial"/>
                <w:sz w:val="18"/>
                <w:szCs w:val="18"/>
                <w:color w:val="auto"/>
                <w:w w:val="79"/>
              </w:rPr>
              <w:t>3</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center"/>
              <w:ind w:left="1431"/>
              <w:spacing w:after="0"/>
              <w:rPr>
                <w:sz w:val="20"/>
                <w:szCs w:val="20"/>
                <w:color w:val="auto"/>
              </w:rPr>
            </w:pPr>
            <w:r>
              <w:rPr>
                <w:rFonts w:ascii="Arial" w:cs="Arial" w:eastAsia="Arial" w:hAnsi="Arial"/>
                <w:sz w:val="18"/>
                <w:szCs w:val="18"/>
                <w:color w:val="auto"/>
                <w:w w:val="79"/>
              </w:rPr>
              <w:t>1</w:t>
            </w:r>
          </w:p>
        </w:tc>
      </w:tr>
      <w:tr>
        <w:trPr>
          <w:trHeight w:val="223"/>
        </w:trPr>
        <w:tc>
          <w:tcPr>
            <w:tcW w:w="70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center"/>
              <w:ind w:left="1431"/>
              <w:spacing w:after="0"/>
              <w:rPr>
                <w:sz w:val="20"/>
                <w:szCs w:val="20"/>
                <w:color w:val="auto"/>
              </w:rPr>
            </w:pPr>
            <w:r>
              <w:rPr>
                <w:rFonts w:ascii="Arial" w:cs="Arial" w:eastAsia="Arial" w:hAnsi="Arial"/>
                <w:sz w:val="18"/>
                <w:szCs w:val="18"/>
                <w:color w:val="auto"/>
                <w:w w:val="79"/>
              </w:rPr>
              <w:t>4</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deferred compensation costs related to unvested awards: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18"/>
                <w:szCs w:val="18"/>
                <w:color w:val="auto"/>
              </w:rPr>
            </w:pPr>
          </w:p>
        </w:tc>
        <w:tc>
          <w:tcPr>
            <w:tcW w:w="1900" w:type="dxa"/>
            <w:vAlign w:val="bottom"/>
            <w:gridSpan w:val="2"/>
          </w:tcPr>
          <w:p>
            <w:pPr>
              <w:ind w:left="140"/>
              <w:spacing w:after="0"/>
              <w:rPr>
                <w:sz w:val="20"/>
                <w:szCs w:val="20"/>
                <w:color w:val="auto"/>
              </w:rPr>
            </w:pPr>
            <w:r>
              <w:rPr>
                <w:rFonts w:ascii="Arial" w:cs="Arial" w:eastAsia="Arial" w:hAnsi="Arial"/>
                <w:sz w:val="16"/>
                <w:szCs w:val="16"/>
                <w:b w:val="1"/>
                <w:bCs w:val="1"/>
                <w:color w:val="auto"/>
              </w:rPr>
              <w:t>At March 31, 2021</w:t>
            </w:r>
          </w:p>
        </w:tc>
        <w:tc>
          <w:tcPr>
            <w:tcW w:w="200" w:type="dxa"/>
            <w:vAlign w:val="bottom"/>
          </w:tcPr>
          <w:p>
            <w:pPr>
              <w:spacing w:after="0"/>
              <w:rPr>
                <w:sz w:val="18"/>
                <w:szCs w:val="18"/>
                <w:color w:val="auto"/>
              </w:rPr>
            </w:pPr>
          </w:p>
        </w:tc>
        <w:tc>
          <w:tcPr>
            <w:tcW w:w="186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At December 31, 2020</w:t>
            </w:r>
          </w:p>
        </w:tc>
      </w:tr>
      <w:tr>
        <w:trPr>
          <w:trHeight w:val="226"/>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Service-based RSUs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Performance-based RSUs</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SARs</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granted 161,392 service-based RSUs, which are subject to time-based vesting conditions, with a weighted average grant-date fair value of $169.17, to our employees and non-employee directors during the first quarter of 2021.</w:t>
      </w:r>
    </w:p>
    <w:p>
      <w:pPr>
        <w:spacing w:after="0" w:line="1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granted 127,857 SARs, with a weighted average grant-date fair value of $70.66 and a weighted average exercise price of $173.88, to members of management during the first quarter of 2021.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first quarter of 2021:</w:t>
      </w:r>
    </w:p>
    <w:p>
      <w:pPr>
        <w:spacing w:after="0" w:line="145" w:lineRule="exact"/>
        <w:rPr>
          <w:sz w:val="20"/>
          <w:szCs w:val="20"/>
          <w:color w:val="auto"/>
        </w:rPr>
      </w:pPr>
    </w:p>
    <w:tbl>
      <w:tblPr>
        <w:tblLayout w:type="fixed"/>
        <w:tblInd w:w="2660" w:type="dxa"/>
        <w:tblCellMar>
          <w:top w:w="0" w:type="dxa"/>
          <w:left w:w="0" w:type="dxa"/>
          <w:bottom w:w="0" w:type="dxa"/>
          <w:right w:w="0" w:type="dxa"/>
        </w:tblCellMar>
      </w:tblP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7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1"/>
              </w:rPr>
              <w:t>48.35%</w:t>
            </w:r>
          </w:p>
        </w:tc>
      </w:tr>
      <w:tr>
        <w:trPr>
          <w:trHeight w:val="229"/>
        </w:trPr>
        <w:tc>
          <w:tcPr>
            <w:tcW w:w="3220" w:type="dxa"/>
            <w:vAlign w:val="bottom"/>
          </w:tcPr>
          <w:p>
            <w:pPr>
              <w:spacing w:after="0"/>
              <w:rPr>
                <w:sz w:val="20"/>
                <w:szCs w:val="20"/>
                <w:color w:val="auto"/>
              </w:rPr>
            </w:pPr>
            <w:r>
              <w:rPr>
                <w:rFonts w:ascii="Arial" w:cs="Arial" w:eastAsia="Arial" w:hAnsi="Arial"/>
                <w:sz w:val="18"/>
                <w:szCs w:val="18"/>
                <w:color w:val="auto"/>
              </w:rPr>
              <w:t>Dividend yield</w:t>
            </w:r>
          </w:p>
        </w:tc>
        <w:tc>
          <w:tcPr>
            <w:tcW w:w="2720" w:type="dxa"/>
            <w:vAlign w:val="bottom"/>
          </w:tcPr>
          <w:p>
            <w:pPr>
              <w:jc w:val="center"/>
              <w:ind w:left="650"/>
              <w:spacing w:after="0"/>
              <w:rPr>
                <w:sz w:val="20"/>
                <w:szCs w:val="20"/>
                <w:color w:val="auto"/>
              </w:rPr>
            </w:pPr>
            <w:r>
              <w:rPr>
                <w:rFonts w:ascii="Arial" w:cs="Arial" w:eastAsia="Arial" w:hAnsi="Arial"/>
                <w:sz w:val="18"/>
                <w:szCs w:val="18"/>
                <w:color w:val="auto"/>
                <w:w w:val="90"/>
              </w:rPr>
              <w:t>1.48%</w:t>
            </w:r>
          </w:p>
        </w:tc>
      </w:tr>
      <w:tr>
        <w:trPr>
          <w:trHeight w:val="229"/>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7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0"/>
              </w:rPr>
              <w:t>0.97%</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720" w:type="dxa"/>
            <w:vAlign w:val="bottom"/>
          </w:tcPr>
          <w:p>
            <w:pPr>
              <w:jc w:val="center"/>
              <w:ind w:left="670"/>
              <w:spacing w:after="0"/>
              <w:rPr>
                <w:sz w:val="20"/>
                <w:szCs w:val="20"/>
                <w:color w:val="auto"/>
              </w:rPr>
            </w:pPr>
            <w:r>
              <w:rPr>
                <w:rFonts w:ascii="Arial" w:cs="Arial" w:eastAsia="Arial" w:hAnsi="Arial"/>
                <w:sz w:val="18"/>
                <w:szCs w:val="18"/>
                <w:color w:val="auto"/>
                <w:w w:val="91"/>
              </w:rPr>
              <w:t>6.25</w:t>
            </w:r>
          </w:p>
        </w:tc>
      </w:tr>
    </w:tbl>
    <w:p>
      <w:pPr>
        <w:spacing w:after="0" w:line="251" w:lineRule="exact"/>
        <w:rPr>
          <w:sz w:val="20"/>
          <w:szCs w:val="20"/>
          <w:color w:val="auto"/>
        </w:rPr>
      </w:pPr>
    </w:p>
    <w:p>
      <w:pPr>
        <w:ind w:left="500" w:hanging="474"/>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 Related to Our Vacation Ownership Notes Receivable Securitizations</w:t>
      </w:r>
    </w:p>
    <w:p>
      <w:pPr>
        <w:spacing w:after="0" w:line="11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consolidated assets, which are collateral for the obligations of these VIEs, and consolidated liabilities included on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Balance Sheet at March 31,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320" w:type="dxa"/>
            <w:vAlign w:val="bottom"/>
          </w:tcPr>
          <w:p>
            <w:pPr>
              <w:spacing w:after="0"/>
              <w:rPr>
                <w:sz w:val="16"/>
                <w:szCs w:val="16"/>
                <w:color w:val="auto"/>
              </w:rPr>
            </w:pPr>
          </w:p>
        </w:tc>
        <w:tc>
          <w:tcPr>
            <w:tcW w:w="18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Warehouse</w:t>
            </w: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9"/>
              </w:rPr>
              <w:t>Notes Receivable</w:t>
            </w:r>
          </w:p>
        </w:tc>
        <w:tc>
          <w:tcPr>
            <w:tcW w:w="32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Securitizations</w:t>
            </w:r>
          </w:p>
        </w:tc>
        <w:tc>
          <w:tcPr>
            <w:tcW w:w="320" w:type="dxa"/>
            <w:vAlign w:val="bottom"/>
          </w:tcPr>
          <w:p>
            <w:pPr>
              <w:spacing w:after="0"/>
              <w:rPr>
                <w:sz w:val="18"/>
                <w:szCs w:val="18"/>
                <w:color w:val="auto"/>
              </w:rPr>
            </w:pPr>
          </w:p>
        </w:tc>
        <w:tc>
          <w:tcPr>
            <w:tcW w:w="1820" w:type="dxa"/>
            <w:vAlign w:val="bottom"/>
            <w:gridSpan w:val="2"/>
          </w:tcPr>
          <w:p>
            <w:pPr>
              <w:ind w:left="200"/>
              <w:spacing w:after="0"/>
              <w:rPr>
                <w:sz w:val="20"/>
                <w:szCs w:val="20"/>
                <w:color w:val="auto"/>
              </w:rPr>
            </w:pPr>
            <w:r>
              <w:rPr>
                <w:rFonts w:ascii="Arial" w:cs="Arial" w:eastAsia="Arial" w:hAnsi="Arial"/>
                <w:sz w:val="16"/>
                <w:szCs w:val="16"/>
                <w:b w:val="1"/>
                <w:bCs w:val="1"/>
                <w:color w:val="auto"/>
              </w:rPr>
              <w:t>Credit Facility</w:t>
            </w:r>
          </w:p>
        </w:tc>
        <w:tc>
          <w:tcPr>
            <w:tcW w:w="4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Assets</w:t>
            </w:r>
          </w:p>
        </w:tc>
        <w:tc>
          <w:tcPr>
            <w:tcW w:w="2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Vacation ownership notes receivable, net of reserves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Consolidated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Securitized Debt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jc w:val="center"/>
              <w:ind w:right="112"/>
              <w:spacing w:after="0"/>
              <w:rPr>
                <w:sz w:val="20"/>
                <w:szCs w:val="20"/>
                <w:color w:val="auto"/>
              </w:rPr>
            </w:pPr>
            <w:r>
              <w:rPr>
                <w:rFonts w:ascii="Arial" w:cs="Arial" w:eastAsia="Arial" w:hAnsi="Arial"/>
                <w:sz w:val="18"/>
                <w:szCs w:val="18"/>
                <w:color w:val="auto"/>
                <w:w w:val="89"/>
              </w:rPr>
              <w:t>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interest income and expense recognized as a result of our involvement with these VIEs during the first quarter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320" w:type="dxa"/>
            <w:vAlign w:val="bottom"/>
          </w:tcPr>
          <w:p>
            <w:pPr>
              <w:spacing w:after="0"/>
              <w:rPr>
                <w:sz w:val="16"/>
                <w:szCs w:val="16"/>
                <w:color w:val="auto"/>
              </w:rPr>
            </w:pPr>
          </w:p>
        </w:tc>
        <w:tc>
          <w:tcPr>
            <w:tcW w:w="1820" w:type="dxa"/>
            <w:vAlign w:val="bottom"/>
            <w:gridSpan w:val="2"/>
            <w:vMerge w:val="restart"/>
          </w:tcPr>
          <w:p>
            <w:pPr>
              <w:jc w:val="center"/>
              <w:ind w:right="420"/>
              <w:spacing w:after="0"/>
              <w:rPr>
                <w:sz w:val="20"/>
                <w:szCs w:val="20"/>
                <w:color w:val="auto"/>
              </w:rPr>
            </w:pPr>
            <w:r>
              <w:rPr>
                <w:rFonts w:ascii="Arial" w:cs="Arial" w:eastAsia="Arial" w:hAnsi="Arial"/>
                <w:sz w:val="16"/>
                <w:szCs w:val="16"/>
                <w:b w:val="1"/>
                <w:bCs w:val="1"/>
                <w:color w:val="auto"/>
                <w:w w:val="88"/>
              </w:rPr>
              <w:t>Warehouse</w:t>
            </w: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9"/>
              </w:rPr>
              <w:t>Notes Receivable</w:t>
            </w:r>
          </w:p>
        </w:tc>
        <w:tc>
          <w:tcPr>
            <w:tcW w:w="32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vMerge w:val="restart"/>
          </w:tcPr>
          <w:p>
            <w:pPr>
              <w:jc w:val="right"/>
              <w:ind w:right="7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Securitizations</w:t>
            </w:r>
          </w:p>
        </w:tc>
        <w:tc>
          <w:tcPr>
            <w:tcW w:w="320" w:type="dxa"/>
            <w:vAlign w:val="bottom"/>
          </w:tcPr>
          <w:p>
            <w:pPr>
              <w:spacing w:after="0"/>
              <w:rPr>
                <w:sz w:val="18"/>
                <w:szCs w:val="18"/>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Credit Facility</w:t>
            </w:r>
          </w:p>
        </w:tc>
        <w:tc>
          <w:tcPr>
            <w:tcW w:w="4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Interest expense to investors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 amortization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4"/>
          </w:tcPr>
          <w:p>
            <w:pPr>
              <w:jc w:val="right"/>
              <w:ind w:right="1251"/>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Pr>
          <w:p>
            <w:pPr>
              <w:spacing w:after="0"/>
              <w:rPr>
                <w:sz w:val="18"/>
                <w:szCs w:val="18"/>
                <w:color w:val="auto"/>
              </w:rPr>
            </w:pPr>
          </w:p>
        </w:tc>
        <w:tc>
          <w:tcPr>
            <w:tcW w:w="1740" w:type="dxa"/>
            <w:vAlign w:val="bottom"/>
          </w:tcPr>
          <w:p>
            <w:pPr>
              <w:jc w:val="right"/>
              <w:ind w:right="391"/>
              <w:spacing w:after="0"/>
              <w:rPr>
                <w:sz w:val="20"/>
                <w:szCs w:val="20"/>
                <w:color w:val="auto"/>
              </w:rPr>
            </w:pPr>
            <w:r>
              <w:rPr>
                <w:rFonts w:ascii="Arial" w:cs="Arial" w:eastAsia="Arial" w:hAnsi="Arial"/>
                <w:sz w:val="16"/>
                <w:szCs w:val="16"/>
                <w:b w:val="1"/>
                <w:bCs w:val="1"/>
                <w:color w:val="auto"/>
              </w:rPr>
              <w:t>March 31, 2020</w:t>
            </w:r>
          </w:p>
        </w:tc>
      </w:tr>
      <w:tr>
        <w:trPr>
          <w:trHeight w:val="212"/>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Inflows</w:t>
            </w:r>
          </w:p>
        </w:tc>
        <w:tc>
          <w:tcPr>
            <w:tcW w:w="2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Principal receipts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receipts</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7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Outflows</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Principal to investors</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to investors</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Net Cash Flows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Warehouse Credit Facility VIE: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gridSpan w:val="5"/>
          </w:tcPr>
          <w:p>
            <w:pPr>
              <w:ind w:left="106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March 31,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Inflows</w:t>
            </w:r>
          </w:p>
        </w:tc>
        <w:tc>
          <w:tcPr>
            <w:tcW w:w="1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w w:val="97"/>
              </w:rPr>
              <w:t>Proceeds from vacation ownership notes receivable securitizations</w:t>
            </w:r>
          </w:p>
        </w:tc>
        <w:tc>
          <w:tcPr>
            <w:tcW w:w="19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receipts</w:t>
            </w:r>
          </w:p>
        </w:tc>
        <w:tc>
          <w:tcPr>
            <w:tcW w:w="1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Interest receipts</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Cash Outflows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to investors</w:t>
            </w:r>
          </w:p>
        </w:tc>
        <w:tc>
          <w:tcPr>
            <w:tcW w:w="1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Interest to investors</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Funding of restricted cash</w:t>
            </w:r>
          </w:p>
        </w:tc>
        <w:tc>
          <w:tcPr>
            <w:tcW w:w="1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ind w:left="1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Flows</w:t>
            </w:r>
          </w:p>
        </w:tc>
        <w:tc>
          <w:tcPr>
            <w:tcW w:w="1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ind w:right="930"/>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4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4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Variable Interest Entities</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have a commitment to purchase an operating property located in San Francisco, California, that we currently manage as Marriott Vacation Club Pulse, San Francisco. We expect to acquire the operating property over time and as of March 31, 2021 are committed to make payments for the operating property as follows: $25 million in 2022 and $32 million in 2023. See Footnote 3 “Acquisitions and Dispositions” for information on the purchases that occurred during the first quarters of 2021 and 2020. We are required to purchase the property from the third-party developer unless the developer has sold the property to another party. The property is held by a VIE for which we are not the primary beneficiary as we cannot prevent the VIE from selling the property to another party at a higher price. Accordingly, we have not consolidated the VIE. As of March 31, 2021, our Balance Sheet reflected $2 million in Accounts Receivable, including a note receivable of less than $1 million, and $10 million in Other assets for a deposit related to the future acquisition of a portion of this property. We believe that our maximum exposure to loss as a result of our involvement with this VIE is approximately $12 million as of March 31, 2021.</w:t>
      </w:r>
    </w:p>
    <w:p>
      <w:pPr>
        <w:spacing w:after="0" w:line="7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a commitment to purchase a property located in Waikiki, Hawaii, which was assigned to a third party during 2020. If we are unable to negotiate a capital efficient inventory arrangement, we are committed to purchase the property, in its then current form, for $98 million in 2021, unless it has been sold to another party. The property is held by a VIE for which we are not the primary beneficiary as we do not control the operations of the VIE. Accordingly, we have not consolidated the VIE. As of March 31, 2021, our Balance Sheet reflected $1 million in Accounts Receivable, including a note receivable of less than $1 million. We believe that our maximum exposure to loss as a result of our involvement with this VIE is approximately $1 million as of March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consolidate the liabilities of the Marriott Vacations Worldwide Deferred Compensation Plan and the related assets, which consist of the COLI policies held in the rabbi trust. The rabbi trust is considered a VIE. We are considered the primary beneficiary of the rabbi trust because we direct the activities of the trust and are the beneficiary of the trust. At March 31, 2021, the value of the assets held in the rabbi trust was $56 million, which is included in the Other line within assets on our Balance Sheets.</w:t>
      </w:r>
    </w:p>
    <w:p>
      <w:pPr>
        <w:spacing w:after="0" w:line="237" w:lineRule="exact"/>
        <w:rPr>
          <w:sz w:val="20"/>
          <w:szCs w:val="20"/>
          <w:color w:val="auto"/>
        </w:rPr>
      </w:pPr>
    </w:p>
    <w:p>
      <w:pPr>
        <w:ind w:left="500" w:hanging="474"/>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76" w:lineRule="exact"/>
        <w:rPr>
          <w:sz w:val="20"/>
          <w:szCs w:val="20"/>
          <w:color w:val="auto"/>
        </w:rPr>
      </w:pPr>
    </w:p>
    <w:p>
      <w:pPr>
        <w:ind w:left="980" w:right="80" w:hanging="324"/>
        <w:spacing w:after="0" w:line="291" w:lineRule="auto"/>
        <w:tabs>
          <w:tab w:leader="none" w:pos="9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Vacation Ownership includes a diverse portfolio of resorts that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w:t>
      </w:r>
    </w:p>
    <w:p>
      <w:pPr>
        <w:spacing w:after="0" w:line="58" w:lineRule="exact"/>
        <w:rPr>
          <w:rFonts w:ascii="Arial" w:cs="Arial" w:eastAsia="Arial" w:hAnsi="Arial"/>
          <w:sz w:val="16"/>
          <w:szCs w:val="16"/>
          <w:color w:val="auto"/>
        </w:rPr>
      </w:pPr>
    </w:p>
    <w:p>
      <w:pPr>
        <w:ind w:left="980" w:right="180"/>
        <w:spacing w:after="0" w:line="263" w:lineRule="auto"/>
        <w:rPr>
          <w:rFonts w:ascii="Arial" w:cs="Arial" w:eastAsia="Arial" w:hAnsi="Arial"/>
          <w:sz w:val="16"/>
          <w:szCs w:val="16"/>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75" w:lineRule="exact"/>
        <w:rPr>
          <w:rFonts w:ascii="Arial" w:cs="Arial" w:eastAsia="Arial" w:hAnsi="Arial"/>
          <w:sz w:val="16"/>
          <w:szCs w:val="16"/>
          <w:color w:val="auto"/>
        </w:rPr>
      </w:pPr>
    </w:p>
    <w:p>
      <w:pPr>
        <w:ind w:left="980" w:right="100" w:hanging="324"/>
        <w:spacing w:after="0" w:line="279" w:lineRule="auto"/>
        <w:tabs>
          <w:tab w:leader="none" w:pos="9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Exchange &amp; Third-Party Management includes exchange networks and membership programs, as well as management of resorts and lodging properties. We provide these services through a variety of brands including Interval International, Trading Places International, Vacation Resorts International, and Aqua-Aston. Exchange &amp; Third-Party Management revenue generally is fee-based and derived from membership, exchange and rental transactions, property and association management, and other related products and services.</w:t>
      </w:r>
    </w:p>
    <w:p>
      <w:pPr>
        <w:spacing w:after="0" w:line="63"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property owners’ associations consolidated under the voting interest</w:t>
      </w:r>
    </w:p>
    <w:p>
      <w:pPr>
        <w:spacing w:after="0" w:line="1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model, as our CODM does not use this information to make operating segment resource allocations. Prior year segment information has been reclassified to conform to the current reportable segment presentation.</w:t>
      </w:r>
    </w:p>
    <w:p>
      <w:pPr>
        <w:spacing w:after="0" w:line="62"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Our CODM uses Adjusted EBITDA to evaluate the profitability of our operating segments, and the components of net income attributable to common shareholders excluded from Adjusted EBITDA are not separately evaluated. Adjusted EBITDA is defined as net income or loss attributable to common shareholders, before interest expense (excluding consumer financing interest expense associated with term loan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loss attributable to common shareholders is presented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7"/>
          </w:tcPr>
          <w:p>
            <w:pPr>
              <w:ind w:left="112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March 31, 2021</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Vacation Ownership</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Exchange &amp; Third-Party Management</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revenues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w w:val="94"/>
              </w:rPr>
              <w:t>Adjusted EBITDA and Reconciliation to Net Loss Attributable to Common Shareholders</w:t>
            </w: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7"/>
          </w:tcPr>
          <w:p>
            <w:pPr>
              <w:ind w:left="112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March 31, 2021</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Vacation Ownership</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Adjusted EBITDA Exchange &amp; Third-Party Management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Reconciling items: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Corporate and other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Tax benefit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Certain items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Assets</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At March 31, 2021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At December 31, 2020</w:t>
            </w:r>
          </w:p>
        </w:tc>
        <w:tc>
          <w:tcPr>
            <w:tcW w:w="0" w:type="dxa"/>
            <w:vAlign w:val="bottom"/>
          </w:tcPr>
          <w:p>
            <w:pPr>
              <w:spacing w:after="0"/>
              <w:rPr>
                <w:sz w:val="1"/>
                <w:szCs w:val="1"/>
                <w:color w:val="auto"/>
              </w:rPr>
            </w:pPr>
          </w:p>
        </w:tc>
      </w:tr>
      <w:tr>
        <w:trPr>
          <w:trHeight w:val="226"/>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conduct business globally, and our operations outside the United States represented approximately 9 percent and 12 percent of our revenues, excluding cost reimbursements, for the three months ended March 31, 2021 and March 31, 2020, respectively.</w:t>
      </w:r>
    </w:p>
    <w:p>
      <w:pPr>
        <w:spacing w:after="0" w:line="1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We make forward-looking statements in this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such as our plans to increase focus on sales to first-time buyers; financing plans; competitive position; potential growth opportunities; potential operating performance improvements, including expectations that contract sales and rental occupancies will continue to improve throughout 2021; the effects of competition; and the ongoing effect of the COVID-19 pandemic and actions we or others may take in response to the COVID-19 pandemic.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76" w:lineRule="exact"/>
        <w:rPr>
          <w:sz w:val="20"/>
          <w:szCs w:val="20"/>
          <w:color w:val="auto"/>
        </w:rPr>
      </w:pPr>
    </w:p>
    <w:p>
      <w:pPr>
        <w:ind w:right="20" w:firstLine="648"/>
        <w:spacing w:after="0" w:line="269" w:lineRule="auto"/>
        <w:rPr>
          <w:sz w:val="20"/>
          <w:szCs w:val="20"/>
          <w:color w:val="auto"/>
        </w:rPr>
      </w:pPr>
      <w:r>
        <w:rPr>
          <w:rFonts w:ascii="Arial" w:cs="Arial" w:eastAsia="Arial" w:hAnsi="Arial"/>
          <w:sz w:val="16"/>
          <w:szCs w:val="16"/>
          <w:color w:val="auto"/>
        </w:rPr>
        <w:t>The Company cautions you that these statements are not guarantees of future performance and are subject to numerous and evolving risks and uncertainties that we may not be able to predict or assess, such as: the effects of the COVID-19 pandemic, including reduced demand for vacation ownership and exchange products and services, volatility in the international and national economy and credit markets, worker absenteeism, quarantines or other government-imposed travel or health-related restrictions; the length and severity of the COVID-19 pandemic, including its short and longer-term impact on the demand for travel and on consumer confidence; the impact of the availability and distribution of effective vaccines on the demand for travel and consumer confidence; the pace of recovery following the COVID-19 pandemic or as effective treatments or vaccines become widely available; competitive conditions; the availability of capital to finance growth; the effects of steps we have taken and may continue to take to reduce operating costs and/or enhance health and cleanliness protocol at our resorts due to the COVID-19 pandemic; political or social strife, and other matters referred to under the heading “Risk Factors” contained herein and also in our most recent Annual Report on Form 10-K, and which may be discussed in our periodic filings with the U.S. Securities and Exchange Commission (the “SEC”), any of which could cause actual results to differ materially from those expressed or implied herein. There may be other risks and uncertainties that we cannot predict at this time or that we currently do not expect will have a material adverse effect on our financial position, results of operations or cash flows. We do not undertake any obligation to publicly update or revise any forward-looking statement, whether as a result of new information, future events, or otherwise.</w:t>
      </w:r>
    </w:p>
    <w:p>
      <w:pPr>
        <w:spacing w:after="0" w:line="60"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of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7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Vacation Ownership segment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w:t>
      </w:r>
    </w:p>
    <w:p>
      <w:pPr>
        <w:spacing w:after="0" w:line="8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Exchange &amp; Third-Party Management segment includes exchange networks and membership programs, as well as management of resorts and lodging properties. We provide these services through a variety of brands including Interval International, Trading Places International (“TPI”), Vacation Resorts International (“VRI”), and Aqua-Aston. Exchange &amp; Third-Party Management revenue generally is fee-based and derived from membership, exchange and rental transactions, property and association management, and other related products and services.</w:t>
      </w:r>
    </w:p>
    <w:p>
      <w:pPr>
        <w:spacing w:after="0" w:line="6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Corporate and other represents that portion of our results that are not allocable to our segments, including those relating to property owners’ associations consolidated under the voting interest model (“Consolidated Property Owners’ Associations”).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 Update</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COVID-19 pandemic has caused significant disruptions in international and U.S. economies and markets. We discuss the COVID-19 pandemic and its current and potential future implications in this report; however, the COVID-19 pandemic, and any recovery therefrom, is evolving and its potential impact on our business in the future remains uncertain.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recognize revenues from the sale of vacation ownership products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Legacy-MVW transactions and upon expiration of the statutory rescission period for Legacy-ILG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70"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We also provide sales incentives to certain purchasers. These sales incentives typically include Marriott Bonvoy points, World of Hyatt points or an alternative sales incentive that we refer to as “plus points.” These plus points are redeemable for stays at our resorts or for use in other third-party offerings, generally up to two years from the date of issuance. Typically, sales incentives are only awarded if the sale is closed.</w:t>
      </w:r>
    </w:p>
    <w:p>
      <w:pPr>
        <w:spacing w:after="0" w:line="5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There may be timing differences between the date of the contract with the customer and when revenue is recognized. When comparing results year-over-year, this timing difference may generate significant variances, which we refer to as the impact of revenue reportability.</w:t>
      </w:r>
    </w:p>
    <w:p>
      <w:pPr>
        <w:spacing w:after="0" w:line="3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Finally, as more fully described in “</w:t>
      </w:r>
      <w:r>
        <w:rPr>
          <w:rFonts w:ascii="Arial" w:cs="Arial" w:eastAsia="Arial" w:hAnsi="Arial"/>
          <w:sz w:val="18"/>
          <w:szCs w:val="18"/>
          <w:i w:val="1"/>
          <w:iCs w:val="1"/>
          <w:color w:val="auto"/>
        </w:rPr>
        <w:t>Financing</w:t>
      </w:r>
      <w:r>
        <w:rPr>
          <w:rFonts w:ascii="Arial" w:cs="Arial" w:eastAsia="Arial" w:hAnsi="Arial"/>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report, on a supplemental basis, contract sales for our Vacation Ownership segment. Contract sales consist of the total amount of vacation ownership product sales under contract signed during the period where we have generally received a down payment of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69" w:lineRule="exact"/>
        <w:rPr>
          <w:sz w:val="20"/>
          <w:szCs w:val="20"/>
          <w:color w:val="auto"/>
        </w:rPr>
      </w:pPr>
    </w:p>
    <w:p>
      <w:pPr>
        <w:jc w:val="both"/>
        <w:ind w:right="120" w:firstLine="648"/>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70"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profit. Development profit margin is calculated by dividing Development profit by revenues from the sale of vacation ownership products. We previously used the term Development margin to refer to revenues from the Sale of vacation ownership products less the Cost of vacation ownership products and marketing and sales costs.</w:t>
      </w: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Beginning in the first quarter of 2021, we now refer to this financial measure as Development profit. While the calculation remains unchanged, we believe the revised term better depicts the financial results being presented.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and Exchange</w:t>
      </w:r>
    </w:p>
    <w:p>
      <w:pPr>
        <w:spacing w:after="0" w:line="11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Our management and exchange revenues include revenues generated from fees we earn for managing each of our vacation ownership resorts, providing property management, property owners’ association management and related services to third-party vacation ownership resorts and fees we earn for providing rental services and related hotel, condominium resort, and property owners’ association management services to vacation property owners.</w:t>
      </w:r>
    </w:p>
    <w:p>
      <w:pPr>
        <w:spacing w:after="0" w:line="4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76"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Management and exchange expenses include costs to operate food and beverage outlets and other ancillary operations and to provide overall customer support services, including reservations, and certain transaction-based expenses relating to external exchange service providers.</w:t>
      </w:r>
    </w:p>
    <w:p>
      <w:pPr>
        <w:spacing w:after="0" w:line="1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our Vacation Ownership segment and Consolidated Property Owners’ Associations, we refer to these activities as “Resort Management and Other Services.”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720" w:firstLine="648"/>
        <w:spacing w:after="0" w:line="274"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tbl>
      <w:tblPr>
        <w:tblLayout w:type="fixed"/>
        <w:tblInd w:w="106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3700" w:type="dxa"/>
            <w:vAlign w:val="bottom"/>
            <w:tcBorders>
              <w:bottom w:val="single" w:sz="8" w:color="auto"/>
            </w:tcBorders>
            <w:gridSpan w:val="3"/>
          </w:tcPr>
          <w:p>
            <w:pPr>
              <w:ind w:left="112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54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March 31, 2021</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3"/>
              </w:rPr>
              <w:t>March 31, 2020</w:t>
            </w:r>
          </w:p>
        </w:tc>
      </w:tr>
      <w:tr>
        <w:trPr>
          <w:trHeight w:val="226"/>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FICO score</w:t>
            </w:r>
          </w:p>
        </w:tc>
        <w:tc>
          <w:tcPr>
            <w:tcW w:w="180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rPr>
              <w:t>732</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rPr>
              <w:t>739</w:t>
            </w:r>
          </w:p>
        </w:tc>
      </w:tr>
    </w:tbl>
    <w:p>
      <w:pPr>
        <w:spacing w:after="0" w:line="20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Included within our vacation ownership notes receivable are originated vacation ownership notes receivable and vacation ownership notes receivable acquired in connection with the ILG Acquisition.</w:t>
      </w:r>
    </w:p>
    <w:p>
      <w:pPr>
        <w:spacing w:after="0" w:line="4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interest income earned from the originated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Financing expenses include costs in support of the financing, servicing and securitization processes and changes in expected credit losses related to acquired vacation ownership notes receivable. The amount of interest income earned in a period depends on the amount of outstanding vacation ownership notes receivable, which, for originated vacation ownership notes receivable, is impacted positively by the origination of new vacation ownership notes receivable and negatively by principal collections. We calculate financing propensity as contract sales volume of finance contracts originated in the period divided by contract sales volume of all contracts originated in the period. We do not include resales contract sales in the financing propensity calculation. Financing propensity was 46 percent in the first quarter of 2021 and 57 percent in the first quarter of 2020; the lower financing propensity in the first quarter of 2021 is due to a higher percentage of sales during this period to existing owners, who tend to have a lower financing propensity. Going forward, we expect to shift back to an increased focus on sales to first-time buyers, which should increase propensity and increase interest income as new originations of vacation ownership notes receivable outpace the decline in principal of existing vacation ownership notes receivable.</w:t>
      </w:r>
    </w:p>
    <w:p>
      <w:pPr>
        <w:spacing w:after="0" w:line="71"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760" w:type="dxa"/>
            <w:vAlign w:val="bottom"/>
            <w:gridSpan w:val="4"/>
          </w:tcPr>
          <w:p>
            <w:pPr>
              <w:ind w:left="112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10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9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March 31, 2021</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March 31, 2020</w:t>
            </w:r>
          </w:p>
        </w:tc>
        <w:tc>
          <w:tcPr>
            <w:tcW w:w="1060" w:type="dxa"/>
            <w:vAlign w:val="bottom"/>
          </w:tcPr>
          <w:p>
            <w:pPr>
              <w:spacing w:after="0"/>
              <w:rPr>
                <w:sz w:val="18"/>
                <w:szCs w:val="18"/>
                <w:color w:val="auto"/>
              </w:rPr>
            </w:pPr>
          </w:p>
        </w:tc>
      </w:tr>
      <w:tr>
        <w:trPr>
          <w:trHeight w:val="226"/>
        </w:trPr>
        <w:tc>
          <w:tcPr>
            <w:tcW w:w="1060" w:type="dxa"/>
            <w:vAlign w:val="bottom"/>
          </w:tcPr>
          <w:p>
            <w:pPr>
              <w:spacing w:after="0"/>
              <w:rPr>
                <w:sz w:val="19"/>
                <w:szCs w:val="19"/>
                <w:color w:val="auto"/>
              </w:rPr>
            </w:pPr>
          </w:p>
        </w:tc>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Historical default rates</w:t>
            </w:r>
          </w:p>
        </w:tc>
        <w:tc>
          <w:tcPr>
            <w:tcW w:w="22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rPr>
              <w:t>1.3%</w:t>
            </w:r>
          </w:p>
        </w:tc>
        <w:tc>
          <w:tcPr>
            <w:tcW w:w="1060" w:type="dxa"/>
            <w:vAlign w:val="bottom"/>
          </w:tcPr>
          <w:p>
            <w:pPr>
              <w:spacing w:after="0"/>
              <w:rPr>
                <w:sz w:val="19"/>
                <w:szCs w:val="19"/>
                <w:color w:val="auto"/>
              </w:rPr>
            </w:pPr>
          </w:p>
        </w:tc>
      </w:tr>
      <w:tr>
        <w:trPr>
          <w:trHeight w:val="513"/>
        </w:trPr>
        <w:tc>
          <w:tcPr>
            <w:tcW w:w="10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00" w:type="dxa"/>
            <w:vAlign w:val="bottom"/>
          </w:tcPr>
          <w:p>
            <w:pPr>
              <w:jc w:val="right"/>
              <w:ind w:right="350"/>
              <w:spacing w:after="0"/>
              <w:rPr>
                <w:sz w:val="20"/>
                <w:szCs w:val="20"/>
                <w:color w:val="auto"/>
              </w:rPr>
            </w:pPr>
            <w:r>
              <w:rPr>
                <w:rFonts w:ascii="Arial" w:cs="Arial" w:eastAsia="Arial" w:hAnsi="Arial"/>
                <w:sz w:val="18"/>
                <w:szCs w:val="18"/>
                <w:color w:val="auto"/>
              </w:rPr>
              <w:t>37</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66"/>
        </w:trPr>
        <w:tc>
          <w:tcPr>
            <w:tcW w:w="10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Financing expenses include consumer financing interest expense, which represents interest expense associated with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We also recognize rental revenue from the utilization of plus points under our points-based Marriott Vacation Club Destinations program when the points are redeemed for rental stays at one of our resorts or in other third-party offerings.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Arial" w:cs="Arial" w:eastAsia="Arial" w:hAnsi="Arial"/>
          <w:sz w:val="16"/>
          <w:szCs w:val="16"/>
          <w:i w:val="1"/>
          <w:iCs w:val="1"/>
          <w:color w:val="auto"/>
        </w:rPr>
        <w:t>Real Estate - Time-Sharing Activities</w:t>
      </w:r>
      <w:r>
        <w:rPr>
          <w:rFonts w:ascii="Arial" w:cs="Arial" w:eastAsia="Arial" w:hAnsi="Arial"/>
          <w:sz w:val="16"/>
          <w:szCs w:val="16"/>
          <w:color w:val="auto"/>
        </w:rPr>
        <w:t>” (“ASC 978”). The rental activity associated with discounted vacation packages requiring a tour (“preview stays”) is not included in transient rental metrics, and because the majority of these preview stays are sourced directly or indirectly from unsold inventory, the associated revenues and expenses are reported net in Marketing and sales expense.</w:t>
      </w:r>
    </w:p>
    <w:p>
      <w:pPr>
        <w:spacing w:after="0" w:line="6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our Exchange &amp; Third-Party Management segment, we offer vacation rental opportunities at managed properties through VRI, TPI, and Aqua-Aston Hospitality. We also offer vacation rental offers knows as Getaways to members of the Interval International Network and certain other membership programs. The offering of Getaways allows us to monetize excess availability of resort accommodations within the applicable exchange network, as well as provide additional vacation opportunities to members. Resort accommodations available as Getaways typically result from seasonal oversupply or underutilized space in the applicable exchange program, as well as resort accommodations specifically sourced for the Getaways program.</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63"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63"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Bonvoy points, World of Hyatt points and offerings available as part of third-party offerings, for owners who elect to exchange their inventory;</w:t>
      </w:r>
    </w:p>
    <w:p>
      <w:pPr>
        <w:spacing w:after="0" w:line="8"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secure resort accommodations for use in Getaways.</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typically represent two keys and non-lock-off villas represent one key. The “transient keys” metric represents the blended mix of inventory available for rent and includes all of the combined inventory configurations available in our resort system.</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Cost reimbursements include direct and indirect costs that are reimbursed to us by customers under management contracts. All costs, with the exception of taxes assessed by a governmental authority, reimbursed to us by customers are reported on a gross basis. We recognize cost reimbursements when we incur the related reimbursable costs. Cost reimbursements consist of actual expenses with no added margin.</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consists of all interest expense other than consumer financing interest expense, which is included within Financing expense.</w:t>
      </w:r>
    </w:p>
    <w:p>
      <w:pPr>
        <w:spacing w:after="0" w:line="2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Costs</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Transaction costs represent costs related to the acquisitions of ILG and Welk, primarily for financial advisory, legal, and other professional service fees, as well as certain tax related accruals. Transaction costs also include charges for employee retention, severance and other termination related benefits, fees paid to change management consultants and technology-related costs related to the integration and transformation of ILG and Welk.</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940" w:hanging="312"/>
        <w:spacing w:after="0"/>
        <w:tabs>
          <w:tab w:leader="none" w:pos="19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Total contract sales include contract sales from the sale of vacation ownership products including joint ventures, and</w:t>
      </w:r>
    </w:p>
    <w:p>
      <w:pPr>
        <w:spacing w:after="0" w:line="117" w:lineRule="exact"/>
        <w:rPr>
          <w:rFonts w:ascii="Arial" w:cs="Arial" w:eastAsia="Arial" w:hAnsi="Arial"/>
          <w:sz w:val="18"/>
          <w:szCs w:val="18"/>
          <w:color w:val="auto"/>
        </w:rPr>
      </w:pPr>
    </w:p>
    <w:p>
      <w:pPr>
        <w:ind w:left="1960" w:right="460" w:hanging="332"/>
        <w:spacing w:after="0" w:line="277" w:lineRule="auto"/>
        <w:tabs>
          <w:tab w:leader="none" w:pos="19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contract sales exclude contract sales from the sale of vacation ownership products for non-consolidated joint ventures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 profit margin;</w:t>
      </w:r>
    </w:p>
    <w:p>
      <w:pPr>
        <w:spacing w:after="0" w:line="117" w:lineRule="exact"/>
        <w:rPr>
          <w:rFonts w:ascii="Arial" w:cs="Arial" w:eastAsia="Arial" w:hAnsi="Arial"/>
          <w:sz w:val="18"/>
          <w:szCs w:val="18"/>
          <w:color w:val="auto"/>
        </w:rPr>
      </w:pPr>
    </w:p>
    <w:p>
      <w:pPr>
        <w:ind w:left="1300" w:right="220" w:hanging="320"/>
        <w:spacing w:after="0" w:line="257"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consolidated vacation ownership contract sales, excluding fractional sales, telesales, resales, joint venture sales and other sales that are not attributed to a tour at a sales location, by the number of tours at sales locations in a given period (which we refer to as “tour flow”). We believe that this operating metric is valuable in evaluating the effectiveness of the sales process as it combines the impact of average contract price with the number of touring guests who make a purchase;</w:t>
      </w:r>
    </w:p>
    <w:p>
      <w:pPr>
        <w:spacing w:after="0" w:line="79"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Total active members, which is the number of Interval International network active members at the end of the applicable period; and</w:t>
      </w:r>
    </w:p>
    <w:p>
      <w:pPr>
        <w:spacing w:after="0" w:line="128" w:lineRule="exact"/>
        <w:rPr>
          <w:rFonts w:ascii="Arial" w:cs="Arial" w:eastAsia="Arial" w:hAnsi="Arial"/>
          <w:sz w:val="17"/>
          <w:szCs w:val="17"/>
          <w:color w:val="auto"/>
        </w:rPr>
      </w:pPr>
    </w:p>
    <w:p>
      <w:pPr>
        <w:ind w:left="1300" w:right="80" w:hanging="320"/>
        <w:spacing w:after="0" w:line="263"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Average revenue per member, which we calculate by dividing membership fee revenue, transaction revenue and other member revenue for the Interval International network by the monthly weighted average number of Interval International network active members during the applicable period.</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48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March 31, 2021</w:t>
            </w:r>
          </w:p>
        </w:tc>
        <w:tc>
          <w:tcPr>
            <w:tcW w:w="16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212"/>
        </w:trPr>
        <w:tc>
          <w:tcPr>
            <w:tcW w:w="48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 and exchange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48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80" w:type="dxa"/>
            <w:vAlign w:val="bottom"/>
            <w:gridSpan w:val="2"/>
          </w:tcPr>
          <w:p>
            <w:pPr>
              <w:ind w:left="20"/>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Marketing and sales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 and exchange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Litigation charges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 fee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reimbursements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tcPr>
          <w:p>
            <w:pPr>
              <w:ind w:left="44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and other income (expense), net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gridSpan w:val="5"/>
          </w:tcPr>
          <w:p>
            <w:pPr>
              <w:ind w:left="20"/>
              <w:spacing w:after="0"/>
              <w:rPr>
                <w:sz w:val="20"/>
                <w:szCs w:val="20"/>
                <w:color w:val="auto"/>
              </w:rPr>
            </w:pPr>
            <w:r>
              <w:rPr>
                <w:rFonts w:ascii="Arial" w:cs="Arial" w:eastAsia="Arial" w:hAnsi="Arial"/>
                <w:sz w:val="18"/>
                <w:szCs w:val="18"/>
                <w:b w:val="1"/>
                <w:bCs w:val="1"/>
                <w:color w:val="auto"/>
              </w:rPr>
              <w:t>LOSS BEFORE INCOME TAXES AND NONCONTROLLING INTERESTS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gridSpan w:val="5"/>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Statistics</w:t>
            </w: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4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2021 First Quarter</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1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Vacation Ownership</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Total contract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contract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Joint venture contract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 &amp; Third-Party Management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Total active members at end of period (000's)</w:t>
            </w:r>
            <w:r>
              <w:rPr>
                <w:rFonts w:ascii="Arial" w:cs="Arial" w:eastAsia="Arial" w:hAnsi="Arial"/>
                <w:sz w:val="9"/>
                <w:szCs w:val="9"/>
                <w:color w:val="auto"/>
              </w:rPr>
              <w:t>(1)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revenue per member</w:t>
            </w:r>
            <w:r>
              <w:rPr>
                <w:rFonts w:ascii="Arial" w:cs="Arial" w:eastAsia="Arial" w:hAnsi="Arial"/>
                <w:sz w:val="9"/>
                <w:szCs w:val="9"/>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9"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Only includes members of the Interval International exchange network.</w:t>
      </w:r>
    </w:p>
    <w:p>
      <w:pPr>
        <w:spacing w:after="0" w:line="18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for the first quarter of 2021 compared to the first quarter of 2020.</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472"/>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620" w:type="dxa"/>
            <w:vAlign w:val="bottom"/>
          </w:tcPr>
          <w:p>
            <w:pPr>
              <w:ind w:left="44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(27%)</w:t>
            </w:r>
          </w:p>
        </w:tc>
      </w:tr>
      <w:tr>
        <w:trPr>
          <w:trHeight w:val="230"/>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Exchange &amp; Third-Party Management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7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1"/>
              </w:rPr>
              <w:t>(20%)</w:t>
            </w:r>
          </w:p>
        </w:tc>
      </w:tr>
      <w:tr>
        <w:trPr>
          <w:trHeight w:val="223"/>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Segment Revenues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7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(26%)</w:t>
            </w:r>
          </w:p>
        </w:tc>
      </w:tr>
      <w:tr>
        <w:trPr>
          <w:trHeight w:val="230"/>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Property Owners’ Associations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7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382%</w:t>
            </w:r>
          </w:p>
        </w:tc>
      </w:tr>
      <w:tr>
        <w:trPr>
          <w:trHeight w:val="248"/>
        </w:trPr>
        <w:tc>
          <w:tcPr>
            <w:tcW w:w="4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7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(25%)</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or loss attributable to common shareholders, before interest expense (excluding consumer financing interest expense associated with term loan securitization transactions), income taxes, depreciation and amortization.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loan securitization transactions because we consider it to be an operating expense of our business. We consider Adjusted EBITDA to be an indicator of operating performance, which we use to measure our ability to service debt, fund capital expenditures and expand our business.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vacation companies.</w:t>
      </w:r>
    </w:p>
    <w:p>
      <w:pPr>
        <w:spacing w:after="0" w:line="66"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loss attributable to common shareholders, which is the most directly comparable GAAP financial measure.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8"/>
              </w:rPr>
              <w:t>March 31, 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9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40" w:type="dxa"/>
            <w:vAlign w:val="bottom"/>
            <w:gridSpan w:val="2"/>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0" w:type="dxa"/>
            <w:vAlign w:val="bottom"/>
          </w:tcPr>
          <w:p>
            <w:pPr>
              <w:spacing w:after="0"/>
              <w:rPr>
                <w:sz w:val="19"/>
                <w:szCs w:val="19"/>
                <w:color w:val="auto"/>
              </w:rPr>
            </w:pPr>
          </w:p>
        </w:tc>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81%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8"/>
              </w:rPr>
              <w:t>30%</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146%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1"/>
              </w:rPr>
              <w:t>135%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items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(94%)</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(50%)</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6"/>
        </w:trPr>
        <w:tc>
          <w:tcPr>
            <w:tcW w:w="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25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4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Certain items for the first quarter of 2021 consisted of $19 million of transaction costs (including $17 million of ILG acquisition and integration related costs and $2 million of Welk acquisition related costs) and $3 million of litigation charges, partially offset by $4 million of foreign currency translation gains, and $2 million of miscellaneous gains and other income.</w:t>
      </w:r>
    </w:p>
    <w:p>
      <w:pPr>
        <w:spacing w:after="0" w:line="76"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Certain items for the first quarter of 2020 consisted of $95 million of asset impairment charges, $56 million of losses and other expense, $54 million of other charges, $24 million of transaction costs, $2 million of purchase price adjustments, and $2 million of litigation charges.</w:t>
      </w:r>
    </w:p>
    <w:p>
      <w:pPr>
        <w:spacing w:after="0" w:line="16"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The $54 million of other charges included $37 million related to a net sales reserve adjustment due primarily to the impact of the COVID-19 pandemic, $11 million related to an accrual for certain health and welfare costs for furloughed associates, and $6 million related to VAT charges.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Adjusted EBITDA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4"/>
              </w:rPr>
              <w:t>March 31, 2020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ind w:left="44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(54%)</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1%</w:t>
            </w: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7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(42%)</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7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21%</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property owners’ associations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(116%)</w:t>
            </w: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7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(50%)</w:t>
            </w:r>
          </w:p>
        </w:tc>
      </w:tr>
      <w:tr>
        <w:trPr>
          <w:trHeight w:val="21"/>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Adjusted EBITDA for our reportable segments reconciled to segment financial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6"/>
                <w:szCs w:val="16"/>
                <w:b w:val="1"/>
                <w:bCs w:val="1"/>
                <w:color w:val="auto"/>
              </w:rPr>
              <w:t>Change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(54%)</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7%</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(50%)</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Certain items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92%</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(45%)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Certain items in the Vacation Ownership segment for the first quarter of 2021 consisted of $3 million of litigation charges and $1 million of restructuring costs.</w:t>
      </w:r>
    </w:p>
    <w:p>
      <w:pPr>
        <w:spacing w:after="0" w:line="6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Certain items in the Vacation Ownership segment for the first quarter of 2020 consisted of $37 million related to a net sales reserve adjustment due primarily to the impact of the COVID-19 pandemic, $4 million of asset impairment charges, $2 million of purchase accounting adjustments, $2 million of litigation charges, and $3 million of acquisition costs, partially offset by $1 million of gains and other income.</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320" w:type="dxa"/>
            <w:vAlign w:val="bottom"/>
          </w:tcPr>
          <w:p>
            <w:pPr>
              <w:spacing w:after="0"/>
              <w:rPr>
                <w:sz w:val="18"/>
                <w:szCs w:val="18"/>
                <w:color w:val="auto"/>
              </w:rPr>
            </w:pPr>
          </w:p>
        </w:tc>
        <w:tc>
          <w:tcPr>
            <w:tcW w:w="1600" w:type="dxa"/>
            <w:vAlign w:val="bottom"/>
          </w:tcPr>
          <w:p>
            <w:pPr>
              <w:ind w:left="4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center"/>
              <w:ind w:left="913"/>
              <w:spacing w:after="0"/>
              <w:rPr>
                <w:sz w:val="20"/>
                <w:szCs w:val="20"/>
                <w:color w:val="auto"/>
              </w:rPr>
            </w:pPr>
            <w:r>
              <w:rPr>
                <w:rFonts w:ascii="Arial" w:cs="Arial" w:eastAsia="Arial" w:hAnsi="Arial"/>
                <w:sz w:val="18"/>
                <w:szCs w:val="18"/>
                <w:color w:val="auto"/>
                <w:w w:val="89"/>
              </w:rPr>
              <w:t>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340" w:type="dxa"/>
            <w:vAlign w:val="bottom"/>
          </w:tcPr>
          <w:p>
            <w:pPr>
              <w:jc w:val="center"/>
              <w:ind w:left="913"/>
              <w:spacing w:after="0"/>
              <w:rPr>
                <w:sz w:val="20"/>
                <w:szCs w:val="20"/>
                <w:color w:val="auto"/>
              </w:rPr>
            </w:pPr>
            <w:r>
              <w:rPr>
                <w:rFonts w:ascii="Arial" w:cs="Arial" w:eastAsia="Arial" w:hAnsi="Arial"/>
                <w:sz w:val="18"/>
                <w:szCs w:val="18"/>
                <w:color w:val="auto"/>
                <w:w w:val="93"/>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1"/>
              </w:rPr>
              <w:t>(11)</w:t>
            </w:r>
          </w:p>
        </w:tc>
        <w:tc>
          <w:tcPr>
            <w:tcW w:w="1600" w:type="dxa"/>
            <w:vAlign w:val="bottom"/>
          </w:tcPr>
          <w:p>
            <w:pPr>
              <w:jc w:val="center"/>
              <w:ind w:left="12"/>
              <w:spacing w:after="0"/>
              <w:rPr>
                <w:sz w:val="20"/>
                <w:szCs w:val="20"/>
                <w:color w:val="auto"/>
              </w:rPr>
            </w:pPr>
            <w:r>
              <w:rPr>
                <w:rFonts w:ascii="Arial" w:cs="Arial" w:eastAsia="Arial" w:hAnsi="Arial"/>
                <w:sz w:val="18"/>
                <w:szCs w:val="18"/>
                <w:color w:val="auto"/>
                <w:w w:val="92"/>
              </w:rPr>
              <w:t>(122%)</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4"/>
              </w:rPr>
              <w:t>26%</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Certain items</w:t>
            </w:r>
          </w:p>
        </w:tc>
        <w:tc>
          <w:tcPr>
            <w:tcW w:w="180" w:type="dxa"/>
            <w:vAlign w:val="bottom"/>
          </w:tcPr>
          <w:p>
            <w:pPr>
              <w:spacing w:after="0"/>
              <w:rPr>
                <w:sz w:val="19"/>
                <w:szCs w:val="19"/>
                <w:color w:val="auto"/>
              </w:rPr>
            </w:pPr>
          </w:p>
        </w:tc>
        <w:tc>
          <w:tcPr>
            <w:tcW w:w="1440" w:type="dxa"/>
            <w:vAlign w:val="bottom"/>
            <w:gridSpan w:val="2"/>
          </w:tcPr>
          <w:p>
            <w:pPr>
              <w:jc w:val="center"/>
              <w:ind w:left="81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90</w:t>
            </w:r>
          </w:p>
        </w:tc>
        <w:tc>
          <w:tcPr>
            <w:tcW w:w="1600" w:type="dxa"/>
            <w:vAlign w:val="bottom"/>
          </w:tcPr>
          <w:p>
            <w:pPr>
              <w:jc w:val="center"/>
              <w:ind w:left="12"/>
              <w:spacing w:after="0"/>
              <w:rPr>
                <w:sz w:val="20"/>
                <w:szCs w:val="20"/>
                <w:color w:val="auto"/>
              </w:rPr>
            </w:pPr>
            <w:r>
              <w:rPr>
                <w:rFonts w:ascii="Arial" w:cs="Arial" w:eastAsia="Arial" w:hAnsi="Arial"/>
                <w:sz w:val="18"/>
                <w:szCs w:val="18"/>
                <w:color w:val="auto"/>
                <w:w w:val="91"/>
              </w:rPr>
              <w:t>100%</w:t>
            </w: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center"/>
              <w:ind w:left="913"/>
              <w:spacing w:after="0"/>
              <w:rPr>
                <w:sz w:val="20"/>
                <w:szCs w:val="20"/>
                <w:color w:val="auto"/>
              </w:rPr>
            </w:pPr>
            <w:r>
              <w:rPr>
                <w:rFonts w:ascii="Arial" w:cs="Arial" w:eastAsia="Arial" w:hAnsi="Arial"/>
                <w:sz w:val="18"/>
                <w:szCs w:val="18"/>
                <w:color w:val="auto"/>
                <w:w w:val="89"/>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0" w:type="dxa"/>
            <w:vAlign w:val="bottom"/>
            <w:tcBorders>
              <w:top w:val="single" w:sz="8" w:color="CCEEFF"/>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1"/>
              </w:rPr>
              <w:t>136%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Certain items in the Exchange &amp; Third-Party Management segment for the first quarter of 2020 consisted primarily of $91 million of impairment charges related to Goodwill and certain trademarks resulting from the impact of the COVID-19 pandemic.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business is grouped into two reportable business segments: Vacation Ownership and Exchange &amp; Third-Party Management. See Footnote 17 “Business Segments” to our Financial Statements for further information on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6"/>
                <w:szCs w:val="16"/>
                <w:b w:val="1"/>
                <w:bCs w:val="1"/>
                <w:color w:val="auto"/>
                <w:w w:val="96"/>
              </w:rPr>
              <w:t>March 31, 2020</w:t>
            </w:r>
          </w:p>
        </w:tc>
        <w:tc>
          <w:tcPr>
            <w:tcW w:w="0" w:type="dxa"/>
            <w:vAlign w:val="bottom"/>
          </w:tcPr>
          <w:p>
            <w:pPr>
              <w:spacing w:after="0"/>
              <w:rPr>
                <w:sz w:val="1"/>
                <w:szCs w:val="1"/>
                <w:color w:val="auto"/>
              </w:rPr>
            </w:pPr>
          </w:p>
        </w:tc>
      </w:tr>
      <w:tr>
        <w:trPr>
          <w:trHeight w:val="212"/>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Rental</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Marketing and sales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Rental</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charges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Royalty fee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and other income,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Transaction costs</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FINANCIAL RESULTS ATTRIBUTABLE TO COMMON SHAREHOLDERS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5860"/>
              <w:spacing w:after="0"/>
              <w:rPr>
                <w:sz w:val="20"/>
                <w:szCs w:val="20"/>
                <w:color w:val="auto"/>
              </w:rPr>
            </w:pPr>
            <w:r>
              <w:rPr>
                <w:rFonts w:ascii="Arial" w:cs="Arial" w:eastAsia="Arial" w:hAnsi="Arial"/>
                <w:sz w:val="18"/>
                <w:szCs w:val="18"/>
                <w:color w:val="auto"/>
              </w:rPr>
              <w:t>43</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6"/>
              </w:rPr>
              <w:t>March 31, 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consolidated contract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Joint venture contract sales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1"/>
              </w:rPr>
              <w:t>(30%)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contract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Sale of Vacation Ownership Products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2021 First Quarter</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6"/>
              </w:rPr>
              <w:t>March 31, 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resales contract sales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joint venture contract sales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Consolidated contract sales, net of resales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Settlement revenue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Resales revenue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Reportability</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Sales reserve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ind w:left="660" w:right="520" w:hanging="652"/>
        <w:spacing w:after="0" w:line="227" w:lineRule="auto"/>
        <w:tabs>
          <w:tab w:leader="none" w:pos="64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Sale of vacation ownership products decreased $95 million due primarily to $78 million of lower consolidated contract sales volume net of resales and a $70 million unfavorable change in revenue reportability, partially offset by $57 million of lower sales reserve activity</w:t>
      </w:r>
      <w:r>
        <w:rPr>
          <w:rFonts w:ascii="Arial" w:cs="Arial" w:eastAsia="Arial" w:hAnsi="Arial"/>
          <w:sz w:val="18"/>
          <w:szCs w:val="18"/>
          <w:color w:val="EE2724"/>
        </w:rPr>
        <w:t>.</w:t>
      </w:r>
    </w:p>
    <w:p>
      <w:pPr>
        <w:spacing w:after="0" w:line="6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Lower contract sales performance was primarily due to the ongoing impact of the COVID-19 pandemic. However, with the reopening of many of our sales centers throughout 2020 and so far in 2021, our contract sales volumes have continued to improve on a sequential basis each quarter and we expect that improvement to continue through the remainder of 2021.</w:t>
      </w:r>
    </w:p>
    <w:p>
      <w:pPr>
        <w:spacing w:after="0" w:line="7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Revenue reportability was negative in the first quarter of 2021. While we benefited from contract sales in the fourth quarter of 2020 being recognized as revenue in the first quarter of 2021, given the increasing sales volumes due to our recovery from the COVID-19 pandemic, we saw a higher shift of contract sales late in the first quarter of 2021 into the second quarter for revenue recognition. In contrast, revenue reportability was significantly positive in the first quarter of 2020. The first quarter of 2020 benefited from the contract sales from late in the fourth quarter of 2019 that were recognized as revenue in 2020. However, it was not impacted by an offsetting shift of revenues into the second quarter, given the low sales volumes in March 2020 from the impact of the COVID-19 pandemic.</w:t>
      </w:r>
    </w:p>
    <w:p>
      <w:pPr>
        <w:spacing w:after="0" w:line="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lower sales reserve recorded in the first quarter of 2021 reflects the prior year increase made to the sales reserve to take into account higher expected default and delinquency activity as a result of the COVID-19 pandemic</w:t>
      </w:r>
      <w:r>
        <w:rPr>
          <w:rFonts w:ascii="Arial" w:cs="Arial" w:eastAsia="Arial" w:hAnsi="Arial"/>
          <w:sz w:val="18"/>
          <w:szCs w:val="18"/>
          <w:color w:val="EE2724"/>
        </w:rPr>
        <w:t>.</w:t>
      </w:r>
    </w:p>
    <w:p>
      <w:pPr>
        <w:spacing w:after="0" w:line="1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6"/>
              </w:rPr>
              <w:t>March 31, 2020</w:t>
            </w:r>
          </w:p>
        </w:tc>
        <w:tc>
          <w:tcPr>
            <w:tcW w:w="12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6"/>
                <w:szCs w:val="16"/>
                <w:b w:val="1"/>
                <w:bCs w:val="1"/>
                <w:color w:val="auto"/>
              </w:rPr>
              <w:t>Change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29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(95)</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(37%)</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620" w:type="dxa"/>
            <w:vAlign w:val="bottom"/>
            <w:gridSpan w:val="2"/>
          </w:tcPr>
          <w:p>
            <w:pPr>
              <w:jc w:val="right"/>
              <w:ind w:right="515"/>
              <w:spacing w:after="0"/>
              <w:rPr>
                <w:sz w:val="20"/>
                <w:szCs w:val="20"/>
                <w:color w:val="auto"/>
              </w:rPr>
            </w:pPr>
            <w:r>
              <w:rPr>
                <w:rFonts w:ascii="Arial" w:cs="Arial" w:eastAsia="Arial" w:hAnsi="Arial"/>
                <w:sz w:val="18"/>
                <w:szCs w:val="18"/>
                <w:color w:val="auto"/>
              </w:rPr>
              <w:t>34%</w:t>
            </w: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620" w:type="dxa"/>
            <w:vAlign w:val="bottom"/>
            <w:gridSpan w:val="2"/>
            <w:shd w:val="clear" w:color="auto" w:fill="CCEEFF"/>
          </w:tcPr>
          <w:p>
            <w:pPr>
              <w:jc w:val="right"/>
              <w:ind w:right="515"/>
              <w:spacing w:after="0"/>
              <w:rPr>
                <w:sz w:val="20"/>
                <w:szCs w:val="20"/>
                <w:color w:val="auto"/>
              </w:rPr>
            </w:pPr>
            <w:r>
              <w:rPr>
                <w:rFonts w:ascii="Arial" w:cs="Arial" w:eastAsia="Arial" w:hAnsi="Arial"/>
                <w:sz w:val="18"/>
                <w:szCs w:val="18"/>
                <w:color w:val="auto"/>
              </w:rPr>
              <w:t>36%</w:t>
            </w: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Development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(14)</w:t>
            </w:r>
          </w:p>
        </w:tc>
        <w:tc>
          <w:tcPr>
            <w:tcW w:w="1620" w:type="dxa"/>
            <w:vAlign w:val="bottom"/>
            <w:gridSpan w:val="2"/>
          </w:tcPr>
          <w:p>
            <w:pPr>
              <w:jc w:val="right"/>
              <w:ind w:right="455"/>
              <w:spacing w:after="0"/>
              <w:rPr>
                <w:sz w:val="20"/>
                <w:szCs w:val="20"/>
                <w:color w:val="auto"/>
              </w:rPr>
            </w:pPr>
            <w:r>
              <w:rPr>
                <w:rFonts w:ascii="Arial" w:cs="Arial" w:eastAsia="Arial" w:hAnsi="Arial"/>
                <w:sz w:val="18"/>
                <w:szCs w:val="18"/>
                <w:color w:val="auto"/>
              </w:rPr>
              <w:t>(50%)</w:t>
            </w:r>
          </w:p>
        </w:tc>
      </w:tr>
      <w:tr>
        <w:trPr>
          <w:trHeight w:val="21"/>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Development profit decreased $14 million year-over-year. The change reflected $49 million of unfavorable revenue reportability compared to the first quarter of 2021, $7 million of lower product cost related mainly to more favorable product cost true-up activity in the prior year first quarter, and $3 million related to lower sales volumes as compared to the prior year period. These declines were partially offset by $25 million related to lower marketing and sales spending and $20 million related to lower sales reserve activity.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Profit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6"/>
              </w:rPr>
              <w:t>March 31, 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center"/>
              <w:ind w:left="912"/>
              <w:spacing w:after="0"/>
              <w:rPr>
                <w:sz w:val="20"/>
                <w:szCs w:val="20"/>
                <w:color w:val="auto"/>
              </w:rPr>
            </w:pPr>
            <w:r>
              <w:rPr>
                <w:rFonts w:ascii="Arial" w:cs="Arial" w:eastAsia="Arial" w:hAnsi="Arial"/>
                <w:sz w:val="18"/>
                <w:szCs w:val="18"/>
                <w:color w:val="auto"/>
                <w:w w:val="89"/>
              </w:rPr>
              <w:t>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Ancillary revenues</w:t>
            </w:r>
          </w:p>
        </w:tc>
        <w:tc>
          <w:tcPr>
            <w:tcW w:w="160" w:type="dxa"/>
            <w:vAlign w:val="bottom"/>
          </w:tcPr>
          <w:p>
            <w:pPr>
              <w:spacing w:after="0"/>
              <w:rPr>
                <w:sz w:val="19"/>
                <w:szCs w:val="19"/>
                <w:color w:val="auto"/>
              </w:rPr>
            </w:pPr>
          </w:p>
        </w:tc>
        <w:tc>
          <w:tcPr>
            <w:tcW w:w="1340" w:type="dxa"/>
            <w:vAlign w:val="bottom"/>
          </w:tcPr>
          <w:p>
            <w:pPr>
              <w:jc w:val="center"/>
              <w:ind w:left="912"/>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(40%)</w:t>
            </w: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management and exchange revenues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912"/>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w:t>
            </w: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Resort management and other services revenues</w:t>
            </w:r>
          </w:p>
        </w:tc>
        <w:tc>
          <w:tcPr>
            <w:tcW w:w="160" w:type="dxa"/>
            <w:vAlign w:val="bottom"/>
          </w:tcPr>
          <w:p>
            <w:pPr>
              <w:spacing w:after="0"/>
              <w:rPr>
                <w:sz w:val="19"/>
                <w:szCs w:val="19"/>
                <w:color w:val="auto"/>
              </w:rPr>
            </w:pPr>
          </w:p>
        </w:tc>
        <w:tc>
          <w:tcPr>
            <w:tcW w:w="1340" w:type="dxa"/>
            <w:vAlign w:val="bottom"/>
          </w:tcPr>
          <w:p>
            <w:pPr>
              <w:jc w:val="center"/>
              <w:ind w:left="912"/>
              <w:spacing w:after="0"/>
              <w:rPr>
                <w:sz w:val="20"/>
                <w:szCs w:val="20"/>
                <w:color w:val="auto"/>
              </w:rPr>
            </w:pPr>
            <w:r>
              <w:rPr>
                <w:rFonts w:ascii="Arial" w:cs="Arial" w:eastAsia="Arial" w:hAnsi="Arial"/>
                <w:sz w:val="18"/>
                <w:szCs w:val="18"/>
                <w:color w:val="auto"/>
                <w:w w:val="89"/>
              </w:rPr>
              <w:t>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(16%)</w:t>
            </w: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expenses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72"/>
              <w:spacing w:after="0"/>
              <w:rPr>
                <w:sz w:val="20"/>
                <w:szCs w:val="20"/>
                <w:color w:val="auto"/>
              </w:rPr>
            </w:pPr>
            <w:r>
              <w:rPr>
                <w:rFonts w:ascii="Arial" w:cs="Arial" w:eastAsia="Arial" w:hAnsi="Arial"/>
                <w:sz w:val="18"/>
                <w:szCs w:val="18"/>
                <w:color w:val="auto"/>
                <w:w w:val="93"/>
              </w:rPr>
              <w:t>(35)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37%</w:t>
            </w: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Resort management and other services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center"/>
              <w:ind w:left="912"/>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r>
      <w:tr>
        <w:trPr>
          <w:trHeight w:val="224"/>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profit margin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12.5 pts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bl>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Resort management and other services revenues reflected lower ancillary revenues, including revenues from food and beverage and golf offerings, as a result of the continued impact of the COVID-19 pandemic. While resort occupancies have continued to increase as an increasing number of resorts that were closed at the start of the COVID-19 pandemic have reopened, given the ongoing effects of the pandemic, ancillary activity remains below prior year levels.</w:t>
      </w:r>
    </w:p>
    <w:p>
      <w:pPr>
        <w:spacing w:after="0" w:line="7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increase in resort management and other services profit reflected the decrease in resort management and other services revenues partially offset by lower ancillary expenses as a result of the lower ancillary revenues mentioned above, as well as lower customer services expenses compared to the prior 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Profit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3"/>
              </w:rPr>
              <w:t>March 31, 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72"/>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(37%)</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Rental expenses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(227%)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Rental profit margin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93"/>
              <w:spacing w:after="0" w:line="204" w:lineRule="exact"/>
              <w:rPr>
                <w:sz w:val="20"/>
                <w:szCs w:val="20"/>
                <w:color w:val="auto"/>
              </w:rPr>
            </w:pPr>
            <w:r>
              <w:rPr>
                <w:rFonts w:ascii="Arial" w:cs="Arial" w:eastAsia="Arial" w:hAnsi="Arial"/>
                <w:sz w:val="18"/>
                <w:szCs w:val="18"/>
                <w:color w:val="auto"/>
                <w:w w:val="99"/>
              </w:rPr>
              <w:t>NM</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2"/>
              <w:spacing w:after="0" w:line="204" w:lineRule="exact"/>
              <w:rPr>
                <w:sz w:val="20"/>
                <w:szCs w:val="20"/>
                <w:color w:val="auto"/>
              </w:rPr>
            </w:pPr>
            <w:r>
              <w:rPr>
                <w:rFonts w:ascii="Arial" w:cs="Arial" w:eastAsia="Arial" w:hAnsi="Arial"/>
                <w:sz w:val="18"/>
                <w:szCs w:val="18"/>
                <w:color w:val="auto"/>
                <w:w w:val="90"/>
              </w:rPr>
              <w:t>12.4%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3"/>
              </w:rPr>
              <w:t>March 31, 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72"/>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10"/>
                <w:szCs w:val="10"/>
                <w:color w:val="auto"/>
              </w:rPr>
              <w:t>(1)</w:t>
            </w: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533,583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(147,838)</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(28%)</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230.32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244.20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(13.88)</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90"/>
              </w:rPr>
              <w:t>66.7%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79.7%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89"/>
              </w:rPr>
              <w:t>(13.0 pts)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Transient keys rented exclude those occupied through the use of plus points and preview stays.</w:t>
      </w:r>
    </w:p>
    <w:p>
      <w:pPr>
        <w:sectPr>
          <w:pgSz w:w="11900" w:h="16838" w:orient="portrait"/>
          <w:cols w:equalWidth="0" w:num="1">
            <w:col w:w="11220"/>
          </w:cols>
          <w:pgMar w:left="320" w:top="341" w:right="359" w:bottom="1440" w:gutter="0" w:footer="0" w:header="0"/>
        </w:sectPr>
      </w:pPr>
    </w:p>
    <w:p>
      <w:pPr>
        <w:spacing w:after="0" w:line="18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The decline in rental profit resulted from a decline in keys rented and a decline in average transient rate due to the COVID-19 pandemic and higher inventory carry costs due to low sales volumes in the first quarter of 2020 and into the first quarter of 2021, as well as the acquisition of new inventory in the first quarter of 2021.</w:t>
      </w:r>
    </w:p>
    <w:p>
      <w:pPr>
        <w:spacing w:after="0" w:line="7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the majority of the governmental restrictions in response to the pandemic that caused rental activity to decline, such as travel restrictions and quarantine requirements, either were lifted by the end of the first quarter of 2021 or shortly thereafter, we expect rental occupancies to continue to increase throughout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Profit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3"/>
              </w:rPr>
              <w:t>March 31, 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52"/>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420" w:type="dxa"/>
            <w:vAlign w:val="bottom"/>
          </w:tcPr>
          <w:p>
            <w:pPr>
              <w:jc w:val="right"/>
              <w:ind w:right="25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ind w:left="912"/>
              <w:spacing w:after="0"/>
              <w:rPr>
                <w:sz w:val="20"/>
                <w:szCs w:val="20"/>
                <w:color w:val="auto"/>
              </w:rPr>
            </w:pPr>
            <w:r>
              <w:rPr>
                <w:rFonts w:ascii="Arial" w:cs="Arial" w:eastAsia="Arial" w:hAnsi="Arial"/>
                <w:sz w:val="18"/>
                <w:szCs w:val="18"/>
                <w:color w:val="auto"/>
                <w:w w:val="89"/>
              </w:rPr>
              <w:t>71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rPr>
              <w:t>(17%)</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Financing expenses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left="912"/>
              <w:spacing w:after="0"/>
              <w:rPr>
                <w:sz w:val="20"/>
                <w:szCs w:val="20"/>
                <w:color w:val="auto"/>
              </w:rPr>
            </w:pPr>
            <w:r>
              <w:rPr>
                <w:rFonts w:ascii="Arial" w:cs="Arial" w:eastAsia="Arial" w:hAnsi="Arial"/>
                <w:sz w:val="18"/>
                <w:szCs w:val="18"/>
                <w:color w:val="auto"/>
                <w:w w:val="93"/>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540" w:type="dxa"/>
            <w:vAlign w:val="bottom"/>
            <w:gridSpan w:val="2"/>
          </w:tcPr>
          <w:p>
            <w:pPr>
              <w:jc w:val="right"/>
              <w:ind w:right="475"/>
              <w:spacing w:after="0"/>
              <w:rPr>
                <w:sz w:val="20"/>
                <w:szCs w:val="20"/>
                <w:color w:val="auto"/>
              </w:rPr>
            </w:pPr>
            <w:r>
              <w:rPr>
                <w:rFonts w:ascii="Arial" w:cs="Arial" w:eastAsia="Arial" w:hAnsi="Arial"/>
                <w:sz w:val="18"/>
                <w:szCs w:val="18"/>
                <w:color w:val="auto"/>
              </w:rPr>
              <w:t>62%</w:t>
            </w: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912"/>
              <w:spacing w:after="0"/>
              <w:rPr>
                <w:sz w:val="20"/>
                <w:szCs w:val="20"/>
                <w:color w:val="auto"/>
              </w:rPr>
            </w:pPr>
            <w:r>
              <w:rPr>
                <w:rFonts w:ascii="Arial" w:cs="Arial" w:eastAsia="Arial" w:hAnsi="Arial"/>
                <w:sz w:val="18"/>
                <w:szCs w:val="18"/>
                <w:color w:val="auto"/>
                <w:w w:val="93"/>
              </w:rPr>
              <w:t>(15)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jc w:val="right"/>
              <w:ind w:right="475"/>
              <w:spacing w:after="0"/>
              <w:rPr>
                <w:sz w:val="20"/>
                <w:szCs w:val="20"/>
                <w:color w:val="auto"/>
              </w:rPr>
            </w:pPr>
            <w:r>
              <w:rPr>
                <w:rFonts w:ascii="Arial" w:cs="Arial" w:eastAsia="Arial" w:hAnsi="Arial"/>
                <w:sz w:val="18"/>
                <w:szCs w:val="18"/>
                <w:color w:val="auto"/>
              </w:rPr>
              <w:t>17%</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Financing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center"/>
              <w:ind w:left="912"/>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540" w:type="dxa"/>
            <w:vAlign w:val="bottom"/>
            <w:gridSpan w:val="2"/>
          </w:tcPr>
          <w:p>
            <w:pPr>
              <w:jc w:val="right"/>
              <w:ind w:right="475"/>
              <w:spacing w:after="0"/>
              <w:rPr>
                <w:sz w:val="20"/>
                <w:szCs w:val="20"/>
                <w:color w:val="auto"/>
              </w:rPr>
            </w:pPr>
            <w:r>
              <w:rPr>
                <w:rFonts w:ascii="Arial" w:cs="Arial" w:eastAsia="Arial" w:hAnsi="Arial"/>
                <w:sz w:val="18"/>
                <w:szCs w:val="18"/>
                <w:color w:val="auto"/>
              </w:rPr>
              <w:t>13%</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224"/>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bl>
    <w:p>
      <w:pPr>
        <w:spacing w:after="0" w:line="25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Financing revenues decreased due to a $391 million decrease in the average net vacation ownership notes receivable balance resulting from the continued pay-down of the existing vacation ownership notes receivable portfolio without a corresponding increase from new loan originations. Financing expenses decreased due to lower bad debt expense associated with acquired vacation ownership notes receivable in the current year quarter and the benefit of synergy savings and lower salaries and wages associated with the furlough, reduced work week and workforce reduction programs implemented as a result of the COVID-19 pandemic. Lower consumer financing interest expense resulted from the continued pay-down of securitized debt balances. The lower financing propensity in the first quarter of 2021 is due to a higher percentage of sales during this period to existing owners, who tend to have a lower financing propensity. Going forward, we expect to shift back to an increased focus on first-time buyers, which should increase propensity and increase interest income as new originations of vacation ownership notes receivable outpace the decline in principal of existing vacation ownership notes receivable.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w w:val="96"/>
              </w:rPr>
              <w:t>March 31, 2020</w:t>
            </w:r>
          </w:p>
        </w:tc>
        <w:tc>
          <w:tcPr>
            <w:tcW w:w="12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Royalty fee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Royalty fee expense declined in the first quarter of 2021 as a result of lower contract closings compared to the prior year quarter.</w:t>
      </w:r>
    </w:p>
    <w:p>
      <w:pPr>
        <w:spacing w:after="0" w:line="21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Pr>
          <w:p>
            <w:pPr>
              <w:spacing w:after="0"/>
              <w:rPr>
                <w:sz w:val="18"/>
                <w:szCs w:val="18"/>
                <w:color w:val="auto"/>
              </w:rPr>
            </w:pPr>
          </w:p>
        </w:tc>
        <w:tc>
          <w:tcPr>
            <w:tcW w:w="1340" w:type="dxa"/>
            <w:vAlign w:val="bottom"/>
          </w:tcPr>
          <w:p>
            <w:pPr>
              <w:jc w:val="right"/>
              <w:ind w:right="131"/>
              <w:spacing w:after="0"/>
              <w:rPr>
                <w:sz w:val="20"/>
                <w:szCs w:val="20"/>
                <w:color w:val="auto"/>
              </w:rPr>
            </w:pPr>
            <w:r>
              <w:rPr>
                <w:rFonts w:ascii="Arial" w:cs="Arial" w:eastAsia="Arial" w:hAnsi="Arial"/>
                <w:sz w:val="16"/>
                <w:szCs w:val="16"/>
                <w:b w:val="1"/>
                <w:bCs w:val="1"/>
                <w:color w:val="auto"/>
                <w:w w:val="96"/>
              </w:rPr>
              <w:t>March 31, 2020</w:t>
            </w:r>
          </w:p>
        </w:tc>
      </w:tr>
      <w:tr>
        <w:trPr>
          <w:trHeight w:val="212"/>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Management and exchange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Management and exchange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and 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SEGMENT FINANCIAL RESULTS ATTRIBUTABLE TO COMMON 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1"/>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52" w:lineRule="exact"/>
        <w:rPr>
          <w:sz w:val="20"/>
          <w:szCs w:val="20"/>
          <w:color w:val="auto"/>
        </w:rPr>
      </w:pPr>
    </w:p>
    <w:p>
      <w:pPr>
        <w:ind w:right="1500"/>
        <w:spacing w:after="0" w:line="407" w:lineRule="auto"/>
        <w:rPr>
          <w:sz w:val="20"/>
          <w:szCs w:val="20"/>
          <w:color w:val="auto"/>
        </w:rPr>
      </w:pPr>
      <w:r>
        <w:rPr>
          <w:rFonts w:ascii="Arial" w:cs="Arial" w:eastAsia="Arial" w:hAnsi="Arial"/>
          <w:sz w:val="18"/>
          <w:szCs w:val="18"/>
          <w:b w:val="1"/>
          <w:bCs w:val="1"/>
          <w:color w:val="auto"/>
        </w:rPr>
        <w:t xml:space="preserve">Management and Exchange Profit </w:t>
      </w:r>
      <w:r>
        <w:rPr>
          <w:rFonts w:ascii="Arial" w:cs="Arial" w:eastAsia="Arial" w:hAnsi="Arial"/>
          <w:sz w:val="18"/>
          <w:szCs w:val="18"/>
          <w:i w:val="1"/>
          <w:iCs w:val="1"/>
          <w:color w:val="auto"/>
        </w:rPr>
        <w:t>2021 First Quarter</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 in millions)</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Management and exchange revenue</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7"/>
          <w:szCs w:val="17"/>
          <w:color w:val="auto"/>
        </w:rPr>
        <w:t>Management and exchange expense</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Management and exchange profit</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6"/>
          <w:szCs w:val="16"/>
          <w:color w:val="auto"/>
        </w:rPr>
        <w:t>Management and exchange profit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304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4"/>
              </w:rPr>
              <w:t>March 31, 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12"/>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225"/>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center"/>
              <w:ind w:left="913"/>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center"/>
              <w:ind w:left="912"/>
              <w:spacing w:after="0"/>
              <w:rPr>
                <w:sz w:val="20"/>
                <w:szCs w:val="20"/>
                <w:color w:val="auto"/>
              </w:rPr>
            </w:pPr>
            <w:r>
              <w:rPr>
                <w:rFonts w:ascii="Arial" w:cs="Arial" w:eastAsia="Arial" w:hAnsi="Arial"/>
                <w:sz w:val="18"/>
                <w:szCs w:val="18"/>
                <w:color w:val="auto"/>
                <w:w w:val="89"/>
              </w:rPr>
              <w:t>72</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(16%)</w:t>
            </w:r>
          </w:p>
        </w:tc>
      </w:tr>
      <w:tr>
        <w:trPr>
          <w:trHeight w:val="230"/>
        </w:trPr>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left="873"/>
              <w:spacing w:after="0"/>
              <w:rPr>
                <w:sz w:val="20"/>
                <w:szCs w:val="20"/>
                <w:color w:val="auto"/>
              </w:rPr>
            </w:pPr>
            <w:r>
              <w:rPr>
                <w:rFonts w:ascii="Arial" w:cs="Arial" w:eastAsia="Arial" w:hAnsi="Arial"/>
                <w:sz w:val="18"/>
                <w:szCs w:val="18"/>
                <w:color w:val="auto"/>
                <w:w w:val="93"/>
              </w:rPr>
              <w:t>(31)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left="872"/>
              <w:spacing w:after="0"/>
              <w:rPr>
                <w:sz w:val="20"/>
                <w:szCs w:val="20"/>
                <w:color w:val="auto"/>
              </w:rPr>
            </w:pPr>
            <w:r>
              <w:rPr>
                <w:rFonts w:ascii="Arial" w:cs="Arial" w:eastAsia="Arial" w:hAnsi="Arial"/>
                <w:sz w:val="18"/>
                <w:szCs w:val="18"/>
                <w:color w:val="auto"/>
                <w:w w:val="93"/>
              </w:rPr>
              <w:t>(40)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23%</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center"/>
              <w:ind w:left="913"/>
              <w:spacing w:after="0"/>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center"/>
              <w:ind w:left="912"/>
              <w:spacing w:after="0"/>
              <w:rPr>
                <w:sz w:val="20"/>
                <w:szCs w:val="20"/>
                <w:color w:val="auto"/>
              </w:rPr>
            </w:pPr>
            <w:r>
              <w:rPr>
                <w:rFonts w:ascii="Arial" w:cs="Arial" w:eastAsia="Arial" w:hAnsi="Arial"/>
                <w:sz w:val="18"/>
                <w:szCs w:val="18"/>
                <w:color w:val="auto"/>
                <w:w w:val="89"/>
              </w:rPr>
              <w:t>32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4"/>
        </w:trPr>
        <w:tc>
          <w:tcPr>
            <w:tcW w:w="160" w:type="dxa"/>
            <w:vAlign w:val="bottom"/>
          </w:tcPr>
          <w:p>
            <w:pPr>
              <w:spacing w:after="0"/>
              <w:rPr>
                <w:sz w:val="19"/>
                <w:szCs w:val="19"/>
                <w:color w:val="auto"/>
              </w:rPr>
            </w:pPr>
          </w:p>
        </w:tc>
        <w:tc>
          <w:tcPr>
            <w:tcW w:w="1340" w:type="dxa"/>
            <w:vAlign w:val="bottom"/>
          </w:tcPr>
          <w:p>
            <w:pPr>
              <w:jc w:val="right"/>
              <w:ind w:right="433"/>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432"/>
              <w:spacing w:after="0"/>
              <w:rPr>
                <w:sz w:val="20"/>
                <w:szCs w:val="20"/>
                <w:color w:val="auto"/>
              </w:rPr>
            </w:pPr>
            <w:r>
              <w:rPr>
                <w:rFonts w:ascii="Arial" w:cs="Arial" w:eastAsia="Arial" w:hAnsi="Arial"/>
                <w:sz w:val="18"/>
                <w:szCs w:val="18"/>
                <w:color w:val="auto"/>
              </w:rPr>
              <w:t>4.1 pts</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-3046095</wp:posOffset>
            </wp:positionH>
            <wp:positionV relativeFrom="paragraph">
              <wp:posOffset>-634365</wp:posOffset>
            </wp:positionV>
            <wp:extent cx="707199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-334010</wp:posOffset>
            </wp:positionV>
            <wp:extent cx="707199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6380"/>
          </w:cols>
          <w:pgMar w:left="320" w:top="341" w:right="339" w:bottom="1440" w:gutter="0" w:footer="0" w:header="0"/>
          <w:type w:val="continuous"/>
        </w:sectPr>
      </w:pPr>
    </w:p>
    <w:p>
      <w:pPr>
        <w:spacing w:after="0" w:line="5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decline in management and exchange revenue and profit reflected lower management fees and membership revenue due primarily to the ongoing impact of the COVID-19 pandemic. In addition, Aqua-Aston was negatively impacted by travel restrictions that significantly impacted the majority of their properties in Hawaii. These declines were partially offset by higher exchange activity and average exchange transaction fees at Interval International, reflecting customers’ more recent desire to travel and pent up demand, as well as lower management and exchange expense which reflected lower costs associated with the furlough, reduced work week and workforce reduction programs, and lower marketing and sales, print and postage costs. Exchange transactions increased 17 percent year-over-year.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Profit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ind w:left="20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center"/>
              <w:ind w:left="852"/>
              <w:spacing w:after="0"/>
              <w:rPr>
                <w:sz w:val="20"/>
                <w:szCs w:val="20"/>
                <w:color w:val="auto"/>
              </w:rPr>
            </w:pPr>
            <w:r>
              <w:rPr>
                <w:rFonts w:ascii="Arial" w:cs="Arial" w:eastAsia="Arial" w:hAnsi="Arial"/>
                <w:sz w:val="18"/>
                <w:szCs w:val="18"/>
                <w:color w:val="auto"/>
                <w:w w:val="90"/>
              </w:rPr>
              <w:t>(1)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center"/>
              <w:ind w:left="892"/>
              <w:spacing w:after="0"/>
              <w:rPr>
                <w:sz w:val="20"/>
                <w:szCs w:val="20"/>
                <w:color w:val="auto"/>
              </w:rPr>
            </w:pPr>
            <w:r>
              <w:rPr>
                <w:rFonts w:ascii="Arial" w:cs="Arial" w:eastAsia="Arial" w:hAnsi="Arial"/>
                <w:sz w:val="18"/>
                <w:szCs w:val="18"/>
                <w:color w:val="auto"/>
                <w:w w:val="79"/>
              </w:rPr>
              <w:t>5</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center"/>
              <w:ind w:left="892"/>
              <w:spacing w:after="0"/>
              <w:rPr>
                <w:sz w:val="20"/>
                <w:szCs w:val="20"/>
                <w:color w:val="auto"/>
              </w:rPr>
            </w:pPr>
            <w:r>
              <w:rPr>
                <w:rFonts w:ascii="Arial" w:cs="Arial" w:eastAsia="Arial" w:hAnsi="Arial"/>
                <w:sz w:val="18"/>
                <w:szCs w:val="18"/>
                <w:color w:val="auto"/>
                <w:w w:val="79"/>
              </w:rPr>
              <w:t>4</w:t>
            </w:r>
          </w:p>
        </w:tc>
        <w:tc>
          <w:tcPr>
            <w:tcW w:w="1620" w:type="dxa"/>
            <w:vAlign w:val="bottom"/>
            <w:tcBorders>
              <w:top w:val="single" w:sz="8" w:color="CCEEFF"/>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Rental profit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93"/>
              <w:spacing w:after="0" w:line="204" w:lineRule="exact"/>
              <w:rPr>
                <w:sz w:val="20"/>
                <w:szCs w:val="20"/>
                <w:color w:val="auto"/>
              </w:rPr>
            </w:pPr>
            <w:r>
              <w:rPr>
                <w:rFonts w:ascii="Arial" w:cs="Arial" w:eastAsia="Arial" w:hAnsi="Arial"/>
                <w:sz w:val="18"/>
                <w:szCs w:val="18"/>
                <w:color w:val="auto"/>
              </w:rPr>
              <w:t>100.0%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432"/>
              <w:spacing w:after="0" w:line="204" w:lineRule="exact"/>
              <w:rPr>
                <w:sz w:val="20"/>
                <w:szCs w:val="20"/>
                <w:color w:val="auto"/>
              </w:rPr>
            </w:pPr>
            <w:r>
              <w:rPr>
                <w:rFonts w:ascii="Arial" w:cs="Arial" w:eastAsia="Arial" w:hAnsi="Arial"/>
                <w:sz w:val="18"/>
                <w:szCs w:val="18"/>
                <w:color w:val="auto"/>
              </w:rPr>
              <w:t>65.8%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ind w:left="180"/>
              <w:spacing w:after="0" w:line="204" w:lineRule="exact"/>
              <w:rPr>
                <w:sz w:val="20"/>
                <w:szCs w:val="20"/>
                <w:color w:val="auto"/>
              </w:rPr>
            </w:pPr>
            <w:r>
              <w:rPr>
                <w:rFonts w:ascii="Arial" w:cs="Arial" w:eastAsia="Arial" w:hAnsi="Arial"/>
                <w:sz w:val="18"/>
                <w:szCs w:val="18"/>
                <w:color w:val="auto"/>
              </w:rPr>
              <w:t>34.2 pts</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increase in rental profit reflected a 26 percent increase in Getaway program transactions reflecting customers’ desire to travel and pent up demand and the benefit of cost savings initiatives. Late in the first quarter of 2021, we also introduced Getaway rentals of less than seven nights, providing members more opportunities to use their membership in ways that better fit their lifestyle.</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135"/>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9</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122%</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Increase in depreciation expense relates to a true-up made to accelerate depreciation on a technology asset.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2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Corporate and Other consists of results that are not allocable to our segments, including company-wide general and administrative costs, corporate interest expense, transaction costs and benefit from income taxes. In addition, Corporate and Other includes the revenues and expenses from the Consolidated Property Owners’ Associations.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Pr>
          <w:p>
            <w:pPr>
              <w:spacing w:after="0"/>
              <w:rPr>
                <w:sz w:val="18"/>
                <w:szCs w:val="18"/>
                <w:color w:val="auto"/>
              </w:rPr>
            </w:pPr>
          </w:p>
        </w:tc>
        <w:tc>
          <w:tcPr>
            <w:tcW w:w="1340" w:type="dxa"/>
            <w:vAlign w:val="bottom"/>
          </w:tcPr>
          <w:p>
            <w:pPr>
              <w:jc w:val="right"/>
              <w:ind w:right="131"/>
              <w:spacing w:after="0"/>
              <w:rPr>
                <w:sz w:val="20"/>
                <w:szCs w:val="20"/>
                <w:color w:val="auto"/>
              </w:rPr>
            </w:pPr>
            <w:r>
              <w:rPr>
                <w:rFonts w:ascii="Arial" w:cs="Arial" w:eastAsia="Arial" w:hAnsi="Arial"/>
                <w:sz w:val="16"/>
                <w:szCs w:val="16"/>
                <w:b w:val="1"/>
                <w:bCs w:val="1"/>
                <w:color w:val="auto"/>
                <w:w w:val="96"/>
              </w:rPr>
              <w:t>March 31, 2020</w:t>
            </w:r>
          </w:p>
        </w:tc>
        <w:tc>
          <w:tcPr>
            <w:tcW w:w="0" w:type="dxa"/>
            <w:vAlign w:val="bottom"/>
          </w:tcPr>
          <w:p>
            <w:pPr>
              <w:spacing w:after="0"/>
              <w:rPr>
                <w:sz w:val="1"/>
                <w:szCs w:val="1"/>
                <w:color w:val="auto"/>
              </w:rPr>
            </w:pPr>
          </w:p>
        </w:tc>
      </w:tr>
      <w:tr>
        <w:trPr>
          <w:trHeight w:val="212"/>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(losses) and other income (expense),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 costs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FINANCIAL RESULTS BEFORE INCOME TAXES AND NONCONTROLLING INTERESTS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RESULTS ATTRIBUTABLE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5860"/>
              <w:spacing w:after="0"/>
              <w:rPr>
                <w:sz w:val="20"/>
                <w:szCs w:val="20"/>
                <w:color w:val="auto"/>
              </w:rPr>
            </w:pPr>
            <w:r>
              <w:rPr>
                <w:rFonts w:ascii="Arial" w:cs="Arial" w:eastAsia="Arial" w:hAnsi="Arial"/>
                <w:sz w:val="18"/>
                <w:szCs w:val="18"/>
                <w:color w:val="auto"/>
              </w:rPr>
              <w:t>48</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Property Owners’ Associations</w:t>
      </w:r>
    </w:p>
    <w:p>
      <w:pPr>
        <w:spacing w:after="0" w:line="121" w:lineRule="exact"/>
        <w:rPr>
          <w:sz w:val="20"/>
          <w:szCs w:val="20"/>
          <w:color w:val="auto"/>
        </w:rPr>
      </w:pPr>
    </w:p>
    <w:p>
      <w:pPr>
        <w:ind w:right="200" w:firstLine="648"/>
        <w:spacing w:after="0" w:line="274" w:lineRule="auto"/>
        <w:rPr>
          <w:sz w:val="20"/>
          <w:szCs w:val="20"/>
          <w:color w:val="auto"/>
        </w:rPr>
      </w:pPr>
      <w:r>
        <w:rPr>
          <w:rFonts w:ascii="Arial" w:cs="Arial" w:eastAsia="Arial" w:hAnsi="Arial"/>
          <w:sz w:val="18"/>
          <w:szCs w:val="18"/>
          <w:color w:val="auto"/>
        </w:rPr>
        <w:t>The following table illustrates the impact of certain Consolidated Property Owners’ Associations under the relevant accounting guidance, which represents the portion related to individual or third-party VOI owners.</w:t>
      </w: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Pr>
          <w:p>
            <w:pPr>
              <w:spacing w:after="0"/>
              <w:rPr>
                <w:sz w:val="18"/>
                <w:szCs w:val="18"/>
                <w:color w:val="auto"/>
              </w:rPr>
            </w:pPr>
          </w:p>
        </w:tc>
        <w:tc>
          <w:tcPr>
            <w:tcW w:w="1340" w:type="dxa"/>
            <w:vAlign w:val="bottom"/>
          </w:tcPr>
          <w:p>
            <w:pPr>
              <w:jc w:val="right"/>
              <w:ind w:right="131"/>
              <w:spacing w:after="0"/>
              <w:rPr>
                <w:sz w:val="20"/>
                <w:szCs w:val="20"/>
                <w:color w:val="auto"/>
              </w:rPr>
            </w:pPr>
            <w:r>
              <w:rPr>
                <w:rFonts w:ascii="Arial" w:cs="Arial" w:eastAsia="Arial" w:hAnsi="Arial"/>
                <w:sz w:val="16"/>
                <w:szCs w:val="16"/>
                <w:b w:val="1"/>
                <w:bCs w:val="1"/>
                <w:color w:val="auto"/>
                <w:w w:val="96"/>
              </w:rPr>
              <w:t>March 31, 2020</w:t>
            </w:r>
          </w:p>
        </w:tc>
      </w:tr>
      <w:tr>
        <w:trPr>
          <w:trHeight w:val="212"/>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Gains and other income, net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RESULTS BEFORE NONCONTROLLING INTERESTS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RESULTS ATTRIBUTABLE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a change in control of certain consolidated property owners’ associations, we recorded a non-cash loss of less than $1 million, which is recorded in Gains (losses) and other income (expense), net on our Income Statement for the three months ended March 31, 2021. We continue to act as manager for these property owners’ associations pursuant to existing management contracts and retain membership interests via our ownership of vacation ownership interests.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w w:val="96"/>
              </w:rPr>
              <w:t>March 31, 2020</w:t>
            </w:r>
          </w:p>
        </w:tc>
        <w:tc>
          <w:tcPr>
            <w:tcW w:w="1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(35%)</w:t>
            </w:r>
          </w:p>
        </w:tc>
      </w:tr>
    </w:tbl>
    <w:p>
      <w:pPr>
        <w:spacing w:after="0" w:line="20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General and administrative expenses decreased $24 million due to $25 million of savings related to synergy efforts and lower costs associated with the furlough, reduced work week and workforce reduction programs, $6 million of lower net overall spending across the business on technology, travel, training and other costs that we have deferred due to the COVID-19 pandemic, and a $2 million credit related to incentives under the CARES Act for companies to continue paying associates' benefit costs while they are not working, partially offset by $9 million of higher bonus expense.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 Losses and Other Income /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3200" w:type="dxa"/>
            <w:vAlign w:val="bottom"/>
            <w:gridSpan w:val="6"/>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and other income (expense), net</w:t>
            </w:r>
          </w:p>
        </w:tc>
        <w:tc>
          <w:tcPr>
            <w:tcW w:w="1300" w:type="dxa"/>
            <w:vAlign w:val="bottom"/>
            <w:shd w:val="clear" w:color="auto" w:fill="CCEEFF"/>
          </w:tcPr>
          <w:p>
            <w:pPr>
              <w:jc w:val="right"/>
              <w:ind w:right="1116"/>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110%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quarter of 2021, we recorded a gain of $6 million driven mainly by foreign currency translation.</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the first quarter of 2020, we recorded a loss of $58 million, including $33 million for the true-up to an indemnification receivable from Marriott International as a result of the settlement of an indemnified liability with a taxing authority (the true-up to the offsetting accrual is included in the Benefit from income taxes line) and $31 million related to foreign currency translation, offset partially by $6 million of other income related to an indemnification from Marriott International for VAT penalties and interest.</w:t>
      </w: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(29%)</w:t>
            </w:r>
          </w:p>
        </w:tc>
      </w:tr>
    </w:tbl>
    <w:p>
      <w:pPr>
        <w:spacing w:after="0" w:line="32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Interest expense increased $10 million, including $8 million of higher interest expense associated with the 2025 Notes that were issued in the second quarter of 2020 and $5 million higher non-cash interest expense associated with the 2026 Convertible Notes that were issued in the first quarter of 2021; partially offset by $3 million of lower interest expense associated with various other debt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w w:val="96"/>
              </w:rPr>
              <w:t>March 31, 2020</w:t>
            </w:r>
          </w:p>
        </w:tc>
        <w:tc>
          <w:tcPr>
            <w:tcW w:w="12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Arial" w:cs="Arial" w:eastAsia="Arial" w:hAnsi="Arial"/>
                <w:sz w:val="16"/>
                <w:szCs w:val="16"/>
                <w:b w:val="1"/>
                <w:bCs w:val="1"/>
                <w:color w:val="auto"/>
              </w:rPr>
              <w:t>Change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the first quarter of 2021, Transaction costs included $17 million of ILG acquisition and integration related costs and $2 million of costs associated with the acquisition of Welk Resorts that was completed subsequent to the end of the quarter.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quarter of 2020, Transaction costs included $21 million of ILG acquisition-related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First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w w:val="96"/>
              </w:rPr>
              <w:t>March 31, 2020</w:t>
            </w:r>
          </w:p>
        </w:tc>
        <w:tc>
          <w:tcPr>
            <w:tcW w:w="10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(81%)</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change in the Benefit from income taxes is predominately attributable to a decrease in pre-tax loss and a release in provisions on uncertain tax benefits for the three months ended March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Typically, our capital needs are supported by cash on hand ($643 million at the end of the first quarter of 2021), cash generated from operations, our ability to raise capital through securitizations in the ABS market, our ability to issue debt and, to the extent necessary, funds available under the Warehouse Credit Facility and the Revolving Corporate Credit Facility with a borrowing capacity of $600 million.</w:t>
      </w:r>
    </w:p>
    <w:p>
      <w:pPr>
        <w:spacing w:after="0" w:line="7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At March 31, 2021, we had $4.6 billion of total gross debt outstanding, which included $1.4 billion of non-recourse debt associated with vacation ownership notes receivable securitizations, $1.1 billion of senior unsecured notes, $0.8 billion of debt under our Corporate Credit Facility, $0.8 billion of convertible notes, $0.5 billion of senior secured notes, and $7 million related to finance lease obligations.</w:t>
      </w:r>
    </w:p>
    <w:p>
      <w:pPr>
        <w:spacing w:after="0" w:line="7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At March 31, 2021, we had $776 million of completed real estate inventory on hand. In addition, we had $291 million of completed vacation ownership units that have been classified as a component of Property and equipment until the time at which they are legally registered and held for sale as vacation ownership products.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cash, cash equivalents and restricted cash:</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Pr>
          <w:p>
            <w:pPr>
              <w:spacing w:after="0"/>
              <w:rPr>
                <w:sz w:val="18"/>
                <w:szCs w:val="18"/>
                <w:color w:val="auto"/>
              </w:rPr>
            </w:pPr>
          </w:p>
        </w:tc>
        <w:tc>
          <w:tcPr>
            <w:tcW w:w="1600" w:type="dxa"/>
            <w:vAlign w:val="bottom"/>
          </w:tcPr>
          <w:p>
            <w:pPr>
              <w:jc w:val="right"/>
              <w:ind w:right="292"/>
              <w:spacing w:after="0"/>
              <w:rPr>
                <w:sz w:val="20"/>
                <w:szCs w:val="20"/>
                <w:color w:val="auto"/>
              </w:rPr>
            </w:pPr>
            <w:r>
              <w:rPr>
                <w:rFonts w:ascii="Arial" w:cs="Arial" w:eastAsia="Arial" w:hAnsi="Arial"/>
                <w:sz w:val="16"/>
                <w:szCs w:val="16"/>
                <w:b w:val="1"/>
                <w:bCs w:val="1"/>
                <w:color w:val="auto"/>
              </w:rPr>
              <w:t>March 31, 2020</w:t>
            </w:r>
          </w:p>
        </w:tc>
      </w:tr>
      <w:tr>
        <w:trPr>
          <w:trHeight w:val="212"/>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provided by (used in):</w:t>
            </w:r>
          </w:p>
        </w:tc>
        <w:tc>
          <w:tcPr>
            <w:tcW w:w="2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740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40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29"/>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400" w:type="dxa"/>
            <w:vAlign w:val="bottom"/>
          </w:tcPr>
          <w:p>
            <w:pPr>
              <w:ind w:left="480"/>
              <w:spacing w:after="0"/>
              <w:rPr>
                <w:sz w:val="20"/>
                <w:szCs w:val="20"/>
                <w:color w:val="auto"/>
              </w:rPr>
            </w:pPr>
            <w:r>
              <w:rPr>
                <w:rFonts w:ascii="Arial" w:cs="Arial" w:eastAsia="Arial" w:hAnsi="Arial"/>
                <w:sz w:val="18"/>
                <w:szCs w:val="18"/>
                <w:color w:val="auto"/>
              </w:rPr>
              <w:t>Net change in cash, cash equivalents and restricted cash</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1"/>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41" w:right="359" w:bottom="1440" w:gutter="0" w:footer="0" w:header="0"/>
        </w:sectPr>
      </w:pPr>
    </w:p>
    <w:p>
      <w:pPr>
        <w:spacing w:after="0" w:line="6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from Operating Activities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of resorts and related technology infrastructure and funding our working capital needs.</w:t>
      </w:r>
    </w:p>
    <w:p>
      <w:pPr>
        <w:spacing w:after="0" w:line="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or recording of sales contracts for vacation ownership products, financing propensity and cash outlays for inventory acquisition and development.</w:t>
      </w:r>
    </w:p>
    <w:p>
      <w:pPr>
        <w:spacing w:after="0" w:line="8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the first quarter of 2021, we had $60 million of cash outflows for operating activities, compared to $122 million in the first quarter of 2020. Excluding the impact of changes in net loss and adjustments for non-cash items, severance and benefit payments related to cost management activities, and higher inventory spending, partially offset by higher operational expense accruals and higher sales and rental deposits due to the partial recovery from the COVID-19 pandemic.</w:t>
      </w:r>
    </w:p>
    <w:p>
      <w:pPr>
        <w:spacing w:after="0" w:line="7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addition to net loss and adjustments for non-cash items, the following operating activities are key drivers of our cash flow from operating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 Spending In Excess of Cost of Sales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ind w:left="92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Pr>
          <w:p>
            <w:pPr>
              <w:spacing w:after="0"/>
              <w:rPr>
                <w:sz w:val="18"/>
                <w:szCs w:val="18"/>
                <w:color w:val="auto"/>
              </w:rPr>
            </w:pPr>
          </w:p>
        </w:tc>
        <w:tc>
          <w:tcPr>
            <w:tcW w:w="1600" w:type="dxa"/>
            <w:vAlign w:val="bottom"/>
          </w:tcPr>
          <w:p>
            <w:pPr>
              <w:ind w:left="140"/>
              <w:spacing w:after="0"/>
              <w:rPr>
                <w:sz w:val="20"/>
                <w:szCs w:val="20"/>
                <w:color w:val="auto"/>
              </w:rPr>
            </w:pPr>
            <w:r>
              <w:rPr>
                <w:rFonts w:ascii="Arial" w:cs="Arial" w:eastAsia="Arial" w:hAnsi="Arial"/>
                <w:sz w:val="16"/>
                <w:szCs w:val="16"/>
                <w:b w:val="1"/>
                <w:bCs w:val="1"/>
                <w:color w:val="auto"/>
              </w:rPr>
              <w:t>March 31, 2020</w:t>
            </w:r>
          </w:p>
        </w:tc>
      </w:tr>
      <w:tr>
        <w:trPr>
          <w:trHeight w:val="22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spending</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center"/>
              <w:ind w:left="1172"/>
              <w:spacing w:after="0"/>
              <w:rPr>
                <w:sz w:val="20"/>
                <w:szCs w:val="20"/>
                <w:color w:val="auto"/>
              </w:rPr>
            </w:pPr>
            <w:r>
              <w:rPr>
                <w:rFonts w:ascii="Arial" w:cs="Arial" w:eastAsia="Arial" w:hAnsi="Arial"/>
                <w:sz w:val="18"/>
                <w:szCs w:val="18"/>
                <w:color w:val="auto"/>
                <w:w w:val="93"/>
              </w:rPr>
              <w:t>(54)</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center"/>
              <w:ind w:left="1172"/>
              <w:spacing w:after="0"/>
              <w:rPr>
                <w:sz w:val="20"/>
                <w:szCs w:val="20"/>
                <w:color w:val="auto"/>
              </w:rPr>
            </w:pPr>
            <w:r>
              <w:rPr>
                <w:rFonts w:ascii="Arial" w:cs="Arial" w:eastAsia="Arial" w:hAnsi="Arial"/>
                <w:sz w:val="18"/>
                <w:szCs w:val="18"/>
                <w:color w:val="auto"/>
                <w:w w:val="93"/>
              </w:rPr>
              <w:t>(61)</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costs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ind w:left="1172"/>
              <w:spacing w:after="0"/>
              <w:rPr>
                <w:sz w:val="20"/>
                <w:szCs w:val="20"/>
                <w:color w:val="auto"/>
              </w:rPr>
            </w:pPr>
            <w:r>
              <w:rPr>
                <w:rFonts w:ascii="Arial" w:cs="Arial" w:eastAsia="Arial" w:hAnsi="Arial"/>
                <w:sz w:val="18"/>
                <w:szCs w:val="18"/>
                <w:color w:val="auto"/>
                <w:w w:val="89"/>
              </w:rPr>
              <w:t>49</w:t>
            </w:r>
          </w:p>
        </w:tc>
      </w:tr>
      <w:tr>
        <w:trPr>
          <w:trHeight w:val="223"/>
        </w:trPr>
        <w:tc>
          <w:tcPr>
            <w:tcW w:w="7400" w:type="dxa"/>
            <w:vAlign w:val="bottom"/>
          </w:tcPr>
          <w:p>
            <w:pPr>
              <w:ind w:left="220"/>
              <w:spacing w:after="0"/>
              <w:rPr>
                <w:sz w:val="20"/>
                <w:szCs w:val="20"/>
                <w:color w:val="auto"/>
              </w:rPr>
            </w:pPr>
            <w:r>
              <w:rPr>
                <w:rFonts w:ascii="Arial" w:cs="Arial" w:eastAsia="Arial" w:hAnsi="Arial"/>
                <w:sz w:val="18"/>
                <w:szCs w:val="18"/>
                <w:color w:val="auto"/>
              </w:rPr>
              <w:t>Inventory spending in excess of cost of sales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center"/>
              <w:ind w:left="1172"/>
              <w:spacing w:after="0"/>
              <w:rPr>
                <w:sz w:val="20"/>
                <w:szCs w:val="20"/>
                <w:color w:val="auto"/>
              </w:rPr>
            </w:pPr>
            <w:r>
              <w:rPr>
                <w:rFonts w:ascii="Arial" w:cs="Arial" w:eastAsia="Arial" w:hAnsi="Arial"/>
                <w:sz w:val="18"/>
                <w:szCs w:val="18"/>
                <w:color w:val="auto"/>
                <w:w w:val="93"/>
              </w:rPr>
              <w:t>(66)</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Our Vacation Ownership segment product offerings allow us to utilize our inventory efficiently. The majority of our sales are of points-based products, which permits us to sell vacation ownership products at most of our sales locations, including those where little or no weeks-based inventory remains available for sale. Because we do not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inventory acquisitions with the pace of sales of vacation ownership products.</w:t>
      </w:r>
    </w:p>
    <w:p>
      <w:pPr>
        <w:spacing w:after="0" w:line="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part of our long-term strategy, we selectively pursue growth opportunities in our Vacation Ownership segment by targeting high-quality inventory that allows us to add desirable new destinations to our systems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79"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Income Statements related to sale of vacation ownership products (a non-cash item).</w:t>
      </w:r>
    </w:p>
    <w:p>
      <w:pPr>
        <w:spacing w:after="0" w:line="1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spending for real estate inventory in the first quarter of 2021 was higher than the amount of real estate inventory costs given the timing of payments to satisfy our remaining commitments to purchase vacation ownership units and the slowdown in sales pace as a result of the COVID-19 pandemic. We entered into these commitments in prior periods as part of our capital efficient strategy to limit our up-front capital investment and purchase finished inventory closer to the time it is needed for sale. See Footnote 11 “Contingencies and Commitments” to our Financial Statements for additional information regarding our remaining commitments.</w:t>
      </w:r>
    </w:p>
    <w:p>
      <w:pPr>
        <w:spacing w:after="0" w:line="80"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Through our existing vacation ownership interest repurchase program, we proactively buy back previously sold vacation ownership interests at lower costs than would be required to develop new inventory. By repurchasing inventory, we expect to be able to stabilize the future cost of vacation ownership products. However, given the impact of the COVID-19 pandemic, we have temporarily discontinued the majority of this repurchase activity.</w:t>
      </w:r>
    </w:p>
    <w:p>
      <w:pPr>
        <w:spacing w:after="0" w:line="1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 Collections In Excess of Originations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Pr>
          <w:p>
            <w:pPr>
              <w:spacing w:after="0"/>
              <w:rPr>
                <w:sz w:val="18"/>
                <w:szCs w:val="18"/>
                <w:color w:val="auto"/>
              </w:rPr>
            </w:pPr>
          </w:p>
        </w:tc>
        <w:tc>
          <w:tcPr>
            <w:tcW w:w="1600" w:type="dxa"/>
            <w:vAlign w:val="bottom"/>
          </w:tcPr>
          <w:p>
            <w:pPr>
              <w:jc w:val="right"/>
              <w:ind w:right="292"/>
              <w:spacing w:after="0"/>
              <w:rPr>
                <w:sz w:val="20"/>
                <w:szCs w:val="20"/>
                <w:color w:val="auto"/>
              </w:rPr>
            </w:pPr>
            <w:r>
              <w:rPr>
                <w:rFonts w:ascii="Arial" w:cs="Arial" w:eastAsia="Arial" w:hAnsi="Arial"/>
                <w:sz w:val="16"/>
                <w:szCs w:val="16"/>
                <w:b w:val="1"/>
                <w:bCs w:val="1"/>
                <w:color w:val="auto"/>
              </w:rPr>
              <w:t>March 31, 2020</w:t>
            </w:r>
          </w:p>
        </w:tc>
      </w:tr>
      <w:tr>
        <w:trPr>
          <w:trHeight w:val="22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collections — non-securitized</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Vacation ownership notes receivable collections — securitized</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originations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7400" w:type="dxa"/>
            <w:vAlign w:val="bottom"/>
          </w:tcPr>
          <w:p>
            <w:pPr>
              <w:ind w:left="240"/>
              <w:spacing w:after="0"/>
              <w:rPr>
                <w:sz w:val="20"/>
                <w:szCs w:val="20"/>
                <w:color w:val="auto"/>
              </w:rPr>
            </w:pPr>
            <w:r>
              <w:rPr>
                <w:rFonts w:ascii="Arial" w:cs="Arial" w:eastAsia="Arial" w:hAnsi="Arial"/>
                <w:sz w:val="18"/>
                <w:szCs w:val="18"/>
                <w:color w:val="auto"/>
              </w:rPr>
              <w:t>Vacation ownership notes receivable collections in excess of originations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Vacation ownership notes receivable collections include principal from non-securitized and securitized vacation ownership notes receivable. Vacation ownership notes receivable collections decreased during the first quarter of 2021, as compared to the first quarter of 2020, due to a decrease in the portfolio of outstanding vacation ownership notes receivable. Vacation ownership notes receivable originations in the first quarter of 2021 decreased due to lower sales in the first quarter of 2021 due to the COVID-19 pandemic and a lower financing propensity. Financing propensity declined to 46 percent for the first quarter of 2021 compared to 57 percent for the first quarter of 2020 due to a higher percentage of sales during this period to existing owners, who tend to have a lower financing propensity. Going forward, we expect to shift back to an increased focus on first-time buyers, which should increase propensity and increase interest income as new originations of vacation ownership notes receivable outpace the decline in principal of existing vacation ownership notes receivable.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from Investing Activities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Pr>
          <w:p>
            <w:pPr>
              <w:spacing w:after="0"/>
              <w:rPr>
                <w:sz w:val="18"/>
                <w:szCs w:val="18"/>
                <w:color w:val="auto"/>
              </w:rPr>
            </w:pPr>
          </w:p>
        </w:tc>
        <w:tc>
          <w:tcPr>
            <w:tcW w:w="1600" w:type="dxa"/>
            <w:vAlign w:val="bottom"/>
          </w:tcPr>
          <w:p>
            <w:pPr>
              <w:jc w:val="right"/>
              <w:ind w:right="292"/>
              <w:spacing w:after="0"/>
              <w:rPr>
                <w:sz w:val="20"/>
                <w:szCs w:val="20"/>
                <w:color w:val="auto"/>
              </w:rPr>
            </w:pPr>
            <w:r>
              <w:rPr>
                <w:rFonts w:ascii="Arial" w:cs="Arial" w:eastAsia="Arial" w:hAnsi="Arial"/>
                <w:sz w:val="16"/>
                <w:szCs w:val="16"/>
                <w:b w:val="1"/>
                <w:bCs w:val="1"/>
                <w:color w:val="auto"/>
              </w:rPr>
              <w:t>March 31, 2020</w:t>
            </w:r>
          </w:p>
        </w:tc>
      </w:tr>
      <w:tr>
        <w:trPr>
          <w:trHeight w:val="22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of company owned life insurance</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cash equivalents and restricted cash used in investing activities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 Additionally, it includes spending related to maintenance of buildings and equipment used in common areas at some of our resorts.</w:t>
      </w:r>
    </w:p>
    <w:p>
      <w:pPr>
        <w:spacing w:after="0" w:line="7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the first quarter of 2021, capital expenditures for property and equipment of $7 million included $5 million to support business operations (including $3 million for ancillary and other operations assets and $2 million for sales locations) and $2 million for technology spending. Given the impact of the COVID-19 pandemic, we significantly reduced our spending for property and equipment beginning in the second quarter of 2020. However, during the first quarter of 2021, we began to add back business critical spending with long term strategic impacts to our operations.</w:t>
      </w:r>
    </w:p>
    <w:p>
      <w:pPr>
        <w:spacing w:after="0" w:line="63"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the first quarter of 2020, capital expenditures for property and equipment of $17 million included $14 million to support business operations (including $9 million for ancillary and other operations assets and $5 million for sales locations) and $3 million for technology spending.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We paid $1 million to acquire these policies during the first quarter of 2021 but we paid $4 million during the first quarter of 2020.</w:t>
      </w: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from Financing Activities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1071"/>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Pr>
          <w:p>
            <w:pPr>
              <w:spacing w:after="0"/>
              <w:rPr>
                <w:sz w:val="18"/>
                <w:szCs w:val="18"/>
                <w:color w:val="auto"/>
              </w:rPr>
            </w:pPr>
          </w:p>
        </w:tc>
        <w:tc>
          <w:tcPr>
            <w:tcW w:w="1600" w:type="dxa"/>
            <w:vAlign w:val="bottom"/>
          </w:tcPr>
          <w:p>
            <w:pPr>
              <w:jc w:val="right"/>
              <w:ind w:right="291"/>
              <w:spacing w:after="0"/>
              <w:rPr>
                <w:sz w:val="20"/>
                <w:szCs w:val="20"/>
                <w:color w:val="auto"/>
              </w:rPr>
            </w:pPr>
            <w:r>
              <w:rPr>
                <w:rFonts w:ascii="Arial" w:cs="Arial" w:eastAsia="Arial" w:hAnsi="Arial"/>
                <w:sz w:val="16"/>
                <w:szCs w:val="16"/>
                <w:b w:val="1"/>
                <w:bCs w:val="1"/>
                <w:color w:val="auto"/>
              </w:rPr>
              <w:t>March 31, 2020</w:t>
            </w:r>
          </w:p>
        </w:tc>
      </w:tr>
      <w:tr>
        <w:trPr>
          <w:trHeight w:val="22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from securitization transactions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Repayment of debt related to securitization transactions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debt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convertible note hedges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Proceeds from issuance of warrants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payment</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Payment of dividends</w:t>
            </w:r>
          </w:p>
        </w:tc>
        <w:tc>
          <w:tcPr>
            <w:tcW w:w="24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400" w:type="dxa"/>
            <w:vAlign w:val="bottom"/>
          </w:tcPr>
          <w:p>
            <w:pPr>
              <w:ind w:left="220"/>
              <w:spacing w:after="0"/>
              <w:rPr>
                <w:sz w:val="20"/>
                <w:szCs w:val="20"/>
                <w:color w:val="auto"/>
              </w:rPr>
            </w:pPr>
            <w:r>
              <w:rPr>
                <w:rFonts w:ascii="Arial" w:cs="Arial" w:eastAsia="Arial" w:hAnsi="Arial"/>
                <w:sz w:val="18"/>
                <w:szCs w:val="18"/>
                <w:color w:val="auto"/>
              </w:rPr>
              <w:t>Net cash, cash equivalents and restricted cash provided by financing activities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r>
      <w:tr>
        <w:trPr>
          <w:trHeight w:val="21"/>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$240 million of gross vacation ownership notes receivable were eligible for securitization.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 Repayments of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Borrowings from / Repayment of Corporate Credit Facility</w:t>
      </w:r>
    </w:p>
    <w:p>
      <w:pPr>
        <w:spacing w:after="0" w:line="117"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During the first quarter of 2021, we repaid $100 million of the amount outstanding under the Term Loan, which is part of our Corporate Credit Facility. We had no borrowings or repayments under our Revolving Corporate Credit Facility during the first quarter of 2021 and also had no amounts outstanding as of March 31, 2021.</w:t>
      </w:r>
    </w:p>
    <w:p>
      <w:pPr>
        <w:spacing w:after="0" w:line="7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first quarter of 2020, we borrowed $666 million under our Revolving Corporate Credit Facility to facilitate the funding of our short-term working capital needs and to increase our cash position and preserve financial flexibility in light of the impact on global markets resulting from the COVID-19 pandemic. We later repaid $100 million during the first quarter of 2020 and had $596 million outstanding as of March 31, 2020. During the first quarter of 2020, we also repaid $2 million of the amount outstanding under the Term Loan.</w:t>
      </w:r>
    </w:p>
    <w:p>
      <w:pPr>
        <w:spacing w:after="0" w:line="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Footnote 13 “Debt” to our Financial Statements for additional information regarding our Corporate Credit Facility that includes our Revolving Corporate Credit Facility and the Term Loan.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Proceeds from Convertible Notes</w:t>
      </w:r>
    </w:p>
    <w:p>
      <w:pPr>
        <w:spacing w:after="0" w:line="11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During the first quarter of 2021, we issued $575 million of convertible notes, the 2026 Convertible Notes, as discussed further in Footnote 13 “Debt” to our Financial Statements. We received net proceeds from the offering of approximately $530 million after adjusting for debt issuance costs, including the discount to the initial purchasers, the cost of the 2026 Convertible Note Hedges, and proceeds from the 2026 Warrants. We used, or expect to use, the net proceeds from the 2026 Convertible Notes to (i) complete the acquisition of Welk Resorts, (ii) repay a portion of our term loan and (iii) in each case, pay transaction expenses and other fees in connection therewith, and to the extent of any remaining proceeds, for other general corporate purposes.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Convertible Note Hedges / Proceeds from Issuance of Warrants</w:t>
      </w:r>
    </w:p>
    <w:p>
      <w:pPr>
        <w:spacing w:after="0" w:line="117"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connection with the issuance of the 2026 Convertible Notes, we entered into the 2026 Convertible Note Hedges with respect to our common stock with certain counterparties, covering a total of 3.4 million shares of our common stock at a cost of $100 million. Concurrently with the entry into the 2026 Convertible Note Hedges, we separately entered into the 2026 Warrants, whereby we sold to the counterparties to the 2026 Convertible Note Hedges warrants to acquire, collectively, subject to anti-dilution adjustments, approximately 3.4 million shares of our common stock at an initial strike price of $213.76 per share. We received aggregate proceeds of $70 million from the sale of the 2026 Warrants to the counterparties.</w:t>
      </w:r>
    </w:p>
    <w:p>
      <w:pPr>
        <w:spacing w:after="0" w:line="1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Footnote 13 “Debt” to our Financial Statements for additional information regarding the issuance of the 2026 Convertible Notes, including the 2026 Convertible Note Hedges and the 2026 Warrants.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no 2026 Convertible Note Hedges or 2026 Warrants have been exercised.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Lease Payment</w:t>
      </w:r>
    </w:p>
    <w:p>
      <w:pPr>
        <w:spacing w:after="0" w:line="11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During the first quarter of 2020, in conjunction with the acquisition of the 57 completed vacation ownership units at our Marriott Vacation Club Pulse, New York City property, we made finance lease payments of $7 million related to the purchase of the accompanying ancillary and office space. Additionally, we paid $2 million related to our finance lease obligations for technology and business operations equipment.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first quarter of 2021, we paid $2 million of debt issuance costs, which included $1 million associated with the 2026 Convertible Notes and $1 million associated with the extension of the Waiver associated with the Revolving Corporate Credit Facility</w:t>
      </w:r>
      <w:r>
        <w:rPr>
          <w:rFonts w:ascii="Arial" w:cs="Arial" w:eastAsia="Arial" w:hAnsi="Arial"/>
          <w:sz w:val="18"/>
          <w:szCs w:val="18"/>
          <w:color w:val="EE2724"/>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Given the impact of the COVID-19 pandemic, we have temporarily suspended cash dividends. In addition, our Corporate Credit Facility and the indentures governing our senior notes contain restrictions on our ability to pay dividends. Future dividend payments will also be subject to both the restrictions imposed under the Waiver and Board approval, which will depend on our financial condition, results of operations and capital requirements, as well as applicable law, regulatory and contractual constraints, industry practice and other business considerations that our Board of Directors considers relevant. The payment of certain cash dividends may also result in an adjustment to the conversion rate of our convertible notes in a manner adverse to us. Accordingly, there can be no assurance that we will pay dividends in the future at the same rate or at all.</w:t>
      </w:r>
    </w:p>
    <w:p>
      <w:pPr>
        <w:spacing w:after="0" w:line="16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2026 Notes and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7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following tables present consolidating financial information as of March 31, 2021 and for the three months ended March 31, 2021 for MVWC and MORI on a stand-alone basis (collectively, the “Issuers”), the Senior Notes Guarantors, the combined non-guarantor subsidiaries of MVW, and MVW on a consolidated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Balance Sheet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As of March 31, 2021</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Issuers</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Senior Notes</w:t>
            </w:r>
          </w:p>
        </w:tc>
        <w:tc>
          <w:tcPr>
            <w:tcW w:w="120" w:type="dxa"/>
            <w:vAlign w:val="bottom"/>
          </w:tcPr>
          <w:p>
            <w:pPr>
              <w:spacing w:after="0"/>
              <w:rPr>
                <w:sz w:val="21"/>
                <w:szCs w:val="2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Non-Guarantor</w:t>
            </w:r>
          </w:p>
        </w:tc>
        <w:tc>
          <w:tcPr>
            <w:tcW w:w="160" w:type="dxa"/>
            <w:vAlign w:val="bottom"/>
          </w:tcPr>
          <w:p>
            <w:pPr>
              <w:spacing w:after="0"/>
              <w:rPr>
                <w:sz w:val="21"/>
                <w:szCs w:val="21"/>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21"/>
                <w:szCs w:val="21"/>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MVWC</w:t>
            </w:r>
          </w:p>
        </w:tc>
        <w:tc>
          <w:tcPr>
            <w:tcW w:w="320" w:type="dxa"/>
            <w:vAlign w:val="bottom"/>
          </w:tcPr>
          <w:p>
            <w:pPr>
              <w:spacing w:after="0"/>
              <w:rPr>
                <w:sz w:val="3"/>
                <w:szCs w:val="3"/>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MORI</w:t>
            </w: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Guarantors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16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26"/>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w w:val="92"/>
              </w:rPr>
              <w:t>Vacation ownership notes receivable,</w:t>
            </w:r>
          </w:p>
        </w:tc>
        <w:tc>
          <w:tcPr>
            <w:tcW w:w="2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subsidiaries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Advance deposits</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 liability</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Deferred compensation liability</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Debt, net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MVW shareholders' equity</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ind w:left="400"/>
              <w:spacing w:after="0"/>
              <w:rPr>
                <w:sz w:val="20"/>
                <w:szCs w:val="20"/>
                <w:color w:val="auto"/>
              </w:rPr>
            </w:pPr>
            <w:r>
              <w:rPr>
                <w:rFonts w:ascii="Arial" w:cs="Arial" w:eastAsia="Arial" w:hAnsi="Arial"/>
                <w:sz w:val="16"/>
                <w:szCs w:val="16"/>
                <w:b w:val="1"/>
                <w:bCs w:val="1"/>
                <w:color w:val="auto"/>
              </w:rPr>
              <w:t>As of December 31, 2020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Issuers</w:t>
            </w: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Senior Notes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Non-Guarantor</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MVWC</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MORI</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Guarantors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8"/>
              </w:rPr>
              <w:t>Subsidiaries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w w:val="98"/>
              </w:rPr>
              <w:t>Eliminations</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w w:val="92"/>
              </w:rPr>
              <w:t>Vacation ownership notes receivable,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1,560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net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subsidiaries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Advance deposits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 liability</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Deferred compensation liability</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Debt, net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MVW shareholders' equity</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160" w:type="dxa"/>
            <w:vAlign w:val="bottom"/>
            <w:gridSpan w:val="5"/>
          </w:tcPr>
          <w:p>
            <w:pPr>
              <w:spacing w:after="0"/>
              <w:rPr>
                <w:sz w:val="20"/>
                <w:szCs w:val="20"/>
                <w:color w:val="auto"/>
              </w:rPr>
            </w:pPr>
            <w:r>
              <w:rPr>
                <w:rFonts w:ascii="Arial" w:cs="Arial" w:eastAsia="Arial" w:hAnsi="Arial"/>
                <w:sz w:val="18"/>
                <w:szCs w:val="18"/>
                <w:i w:val="1"/>
                <w:iCs w:val="1"/>
                <w:color w:val="auto"/>
              </w:rPr>
              <w:t>Condensed Consolidating Statements of Income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8"/>
          </w:tcPr>
          <w:p>
            <w:pPr>
              <w:ind w:left="40"/>
              <w:spacing w:after="0"/>
              <w:rPr>
                <w:sz w:val="20"/>
                <w:szCs w:val="20"/>
                <w:color w:val="auto"/>
              </w:rPr>
            </w:pPr>
            <w:r>
              <w:rPr>
                <w:rFonts w:ascii="Arial" w:cs="Arial" w:eastAsia="Arial" w:hAnsi="Arial"/>
                <w:sz w:val="16"/>
                <w:szCs w:val="16"/>
                <w:b w:val="1"/>
                <w:bCs w:val="1"/>
                <w:color w:val="auto"/>
                <w:w w:val="96"/>
              </w:rPr>
              <w:t>Three Months Ended March 31, 2021</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6"/>
                <w:szCs w:val="16"/>
                <w:b w:val="1"/>
                <w:bCs w:val="1"/>
                <w:color w:val="auto"/>
              </w:rPr>
              <w:t>Issuers</w:t>
            </w:r>
          </w:p>
        </w:tc>
        <w:tc>
          <w:tcPr>
            <w:tcW w:w="9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Senior Notes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4"/>
              </w:rPr>
              <w:t>Non-Guarantor</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MVWC</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MORI</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Guarantors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Subsidiaries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2"/>
              </w:rPr>
              <w:t>Eliminations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26"/>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Benefit (provision) for income taxes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Equity in net (loss) income of</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subsidiaries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w w:val="93"/>
              </w:rPr>
              <w:t>Net loss attributable to noncontrolling</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8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(loss) income attributable to</w:t>
            </w:r>
          </w:p>
        </w:tc>
        <w:tc>
          <w:tcPr>
            <w:tcW w:w="28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3"/>
                <w:szCs w:val="13"/>
                <w:color w:val="auto"/>
              </w:rPr>
            </w:pPr>
          </w:p>
        </w:tc>
        <w:tc>
          <w:tcPr>
            <w:tcW w:w="400" w:type="dxa"/>
            <w:vAlign w:val="bottom"/>
            <w:gridSpan w:val="3"/>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3"/>
                <w:szCs w:val="13"/>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3"/>
                <w:szCs w:val="13"/>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3"/>
                <w:szCs w:val="13"/>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common shareholders</w:t>
            </w:r>
          </w:p>
        </w:tc>
        <w:tc>
          <w:tcPr>
            <w:tcW w:w="28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8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58" w:name="page59"/>
    <w:bookmarkEnd w:id="58"/>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March 31,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Payments Due by Period</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Remainder</w:t>
            </w:r>
          </w:p>
        </w:tc>
        <w:tc>
          <w:tcPr>
            <w:tcW w:w="160" w:type="dxa"/>
            <w:vAlign w:val="bottom"/>
          </w:tcPr>
          <w:p>
            <w:pPr>
              <w:spacing w:after="0"/>
              <w:rPr>
                <w:sz w:val="13"/>
                <w:szCs w:val="13"/>
                <w:color w:val="auto"/>
              </w:rPr>
            </w:pPr>
          </w:p>
        </w:tc>
        <w:tc>
          <w:tcPr>
            <w:tcW w:w="1140" w:type="dxa"/>
            <w:vAlign w:val="bottom"/>
            <w:gridSpan w:val="2"/>
          </w:tcPr>
          <w:p>
            <w:pPr>
              <w:ind w:left="240"/>
              <w:spacing w:after="0" w:line="158" w:lineRule="exact"/>
              <w:rPr>
                <w:sz w:val="20"/>
                <w:szCs w:val="20"/>
                <w:color w:val="auto"/>
              </w:rPr>
            </w:pPr>
            <w:r>
              <w:rPr>
                <w:rFonts w:ascii="Arial" w:cs="Arial" w:eastAsia="Arial" w:hAnsi="Arial"/>
                <w:sz w:val="16"/>
                <w:szCs w:val="16"/>
                <w:b w:val="1"/>
                <w:bCs w:val="1"/>
                <w:color w:val="auto"/>
              </w:rPr>
              <w:t>Years</w:t>
            </w:r>
          </w:p>
        </w:tc>
        <w:tc>
          <w:tcPr>
            <w:tcW w:w="160" w:type="dxa"/>
            <w:vAlign w:val="bottom"/>
          </w:tcPr>
          <w:p>
            <w:pPr>
              <w:spacing w:after="0"/>
              <w:rPr>
                <w:sz w:val="13"/>
                <w:szCs w:val="13"/>
                <w:color w:val="auto"/>
              </w:rPr>
            </w:pPr>
          </w:p>
        </w:tc>
        <w:tc>
          <w:tcPr>
            <w:tcW w:w="1140" w:type="dxa"/>
            <w:vAlign w:val="bottom"/>
            <w:gridSpan w:val="2"/>
          </w:tcPr>
          <w:p>
            <w:pPr>
              <w:ind w:left="240"/>
              <w:spacing w:after="0" w:line="158" w:lineRule="exact"/>
              <w:rPr>
                <w:sz w:val="20"/>
                <w:szCs w:val="20"/>
                <w:color w:val="auto"/>
              </w:rPr>
            </w:pPr>
            <w:r>
              <w:rPr>
                <w:rFonts w:ascii="Arial" w:cs="Arial" w:eastAsia="Arial" w:hAnsi="Arial"/>
                <w:sz w:val="16"/>
                <w:szCs w:val="16"/>
                <w:b w:val="1"/>
                <w:bCs w:val="1"/>
                <w:color w:val="auto"/>
              </w:rPr>
              <w:t>Years</w:t>
            </w:r>
          </w:p>
        </w:tc>
        <w:tc>
          <w:tcPr>
            <w:tcW w:w="160" w:type="dxa"/>
            <w:vAlign w:val="bottom"/>
          </w:tcPr>
          <w:p>
            <w:pPr>
              <w:spacing w:after="0"/>
              <w:rPr>
                <w:sz w:val="13"/>
                <w:szCs w:val="13"/>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3"/>
        </w:trPr>
        <w:tc>
          <w:tcPr>
            <w:tcW w:w="484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of 2021</w:t>
            </w:r>
          </w:p>
        </w:tc>
        <w:tc>
          <w:tcPr>
            <w:tcW w:w="160" w:type="dxa"/>
            <w:vAlign w:val="bottom"/>
          </w:tcPr>
          <w:p>
            <w:pPr>
              <w:spacing w:after="0"/>
              <w:rPr>
                <w:sz w:val="18"/>
                <w:szCs w:val="18"/>
                <w:color w:val="auto"/>
              </w:rPr>
            </w:pPr>
          </w:p>
        </w:tc>
        <w:tc>
          <w:tcPr>
            <w:tcW w:w="1040" w:type="dxa"/>
            <w:vAlign w:val="bottom"/>
          </w:tcPr>
          <w:p>
            <w:pPr>
              <w:jc w:val="right"/>
              <w:ind w:right="113"/>
              <w:spacing w:after="0"/>
              <w:rPr>
                <w:sz w:val="20"/>
                <w:szCs w:val="20"/>
                <w:color w:val="auto"/>
              </w:rPr>
            </w:pPr>
            <w:r>
              <w:rPr>
                <w:rFonts w:ascii="Arial" w:cs="Arial" w:eastAsia="Arial" w:hAnsi="Arial"/>
                <w:sz w:val="16"/>
                <w:szCs w:val="16"/>
                <w:b w:val="1"/>
                <w:bCs w:val="1"/>
                <w:color w:val="auto"/>
                <w:w w:val="95"/>
              </w:rPr>
              <w:t>2022 - 2023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32"/>
              <w:spacing w:after="0"/>
              <w:rPr>
                <w:sz w:val="20"/>
                <w:szCs w:val="20"/>
                <w:color w:val="auto"/>
              </w:rPr>
            </w:pPr>
            <w:r>
              <w:rPr>
                <w:rFonts w:ascii="Arial" w:cs="Arial" w:eastAsia="Arial" w:hAnsi="Arial"/>
                <w:sz w:val="16"/>
                <w:szCs w:val="16"/>
                <w:b w:val="1"/>
                <w:bCs w:val="1"/>
                <w:color w:val="auto"/>
                <w:w w:val="93"/>
              </w:rPr>
              <w:t>2024 - 2025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4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Debt</w:t>
            </w:r>
            <w:r>
              <w:rPr>
                <w:rFonts w:ascii="Arial" w:cs="Arial" w:eastAsia="Arial" w:hAnsi="Arial"/>
                <w:sz w:val="9"/>
                <w:szCs w:val="9"/>
                <w:color w:val="auto"/>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150"/>
        </w:trPr>
        <w:tc>
          <w:tcPr>
            <w:tcW w:w="22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Purchase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w w:val="90"/>
                <w:shd w:val="clear" w:color="auto" w:fill="CCEEFF"/>
              </w:rPr>
              <w:t>(2)</w:t>
            </w:r>
          </w:p>
        </w:tc>
        <w:tc>
          <w:tcPr>
            <w:tcW w:w="300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2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Operating lease obligations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2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lease obligations</w:t>
            </w:r>
            <w:r>
              <w:rPr>
                <w:rFonts w:ascii="Arial" w:cs="Arial" w:eastAsia="Arial" w:hAnsi="Arial"/>
                <w:sz w:val="9"/>
                <w:szCs w:val="9"/>
                <w:color w:val="auto"/>
              </w:rPr>
              <w:t>(3)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long-term obligations</w:t>
            </w:r>
            <w:r>
              <w:rPr>
                <w:rFonts w:ascii="Arial" w:cs="Arial" w:eastAsia="Arial" w:hAnsi="Arial"/>
                <w:sz w:val="9"/>
                <w:szCs w:val="9"/>
                <w:color w:val="auto"/>
              </w:rPr>
              <w:t>(4)</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240"/>
          </w:cols>
          <w:pgMar w:left="320" w:top="233" w:right="33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Includes principal as well as interest payments and excludes unamortized debt discount and issuance costs.</w:t>
      </w:r>
    </w:p>
    <w:p>
      <w:pPr>
        <w:spacing w:after="0" w:line="63" w:lineRule="exact"/>
        <w:rPr>
          <w:sz w:val="20"/>
          <w:szCs w:val="20"/>
          <w:color w:val="auto"/>
        </w:rPr>
      </w:pPr>
    </w:p>
    <w:p>
      <w:pPr>
        <w:ind w:left="20" w:right="360" w:hanging="11"/>
        <w:spacing w:after="0" w:line="302" w:lineRule="auto"/>
        <w:rPr>
          <w:sz w:val="20"/>
          <w:szCs w:val="20"/>
          <w:color w:val="auto"/>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represent expected funding under such contracts. Amounts reflected on the consolidated balance sheet as accounts payable and accrued liabilities are excluded from the table above.</w:t>
      </w:r>
    </w:p>
    <w:p>
      <w:pPr>
        <w:spacing w:after="0" w:line="2" w:lineRule="exact"/>
        <w:rPr>
          <w:sz w:val="20"/>
          <w:szCs w:val="20"/>
          <w:color w:val="auto"/>
        </w:rPr>
      </w:pPr>
    </w:p>
    <w:p>
      <w:pPr>
        <w:sectPr>
          <w:pgSz w:w="11900" w:h="16838" w:orient="portrait"/>
          <w:cols w:equalWidth="0" w:num="2">
            <w:col w:w="140" w:space="500"/>
            <w:col w:w="10600"/>
          </w:cols>
          <w:pgMar w:left="320" w:top="233" w:right="339" w:bottom="1440" w:gutter="0" w:footer="0" w:header="0"/>
          <w:type w:val="continuous"/>
        </w:sectPr>
      </w:pPr>
    </w:p>
    <w:p>
      <w:pPr>
        <w:spacing w:after="0"/>
        <w:rPr>
          <w:sz w:val="20"/>
          <w:szCs w:val="20"/>
          <w:color w:val="auto"/>
        </w:rPr>
      </w:pPr>
      <w:r>
        <w:rPr>
          <w:rFonts w:ascii="Arial" w:cs="Arial" w:eastAsia="Arial" w:hAnsi="Arial"/>
          <w:sz w:val="11"/>
          <w:szCs w:val="11"/>
          <w:color w:val="auto"/>
        </w:rPr>
        <w:t>(3)</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interest.</w:t>
      </w:r>
    </w:p>
    <w:p>
      <w:pPr>
        <w:spacing w:after="0" w:line="63" w:lineRule="exact"/>
        <w:rPr>
          <w:sz w:val="20"/>
          <w:szCs w:val="20"/>
          <w:color w:val="auto"/>
        </w:rPr>
      </w:pPr>
    </w:p>
    <w:p>
      <w:pPr>
        <w:ind w:left="20" w:right="720" w:hanging="11"/>
        <w:spacing w:after="0" w:line="277" w:lineRule="auto"/>
        <w:rPr>
          <w:sz w:val="20"/>
          <w:szCs w:val="20"/>
          <w:color w:val="auto"/>
        </w:rPr>
      </w:pPr>
      <w:r>
        <w:rPr>
          <w:rFonts w:ascii="Arial" w:cs="Arial" w:eastAsia="Arial" w:hAnsi="Arial"/>
          <w:sz w:val="18"/>
          <w:szCs w:val="18"/>
          <w:color w:val="auto"/>
        </w:rPr>
        <w:t>Primarily relates to future guaranteed purchases of rental inventory, operational support services, marketing related benefits, membership fulfillment benefits, and other commitments.</w:t>
      </w:r>
    </w:p>
    <w:p>
      <w:pPr>
        <w:spacing w:after="0" w:line="62" w:lineRule="exact"/>
        <w:rPr>
          <w:sz w:val="20"/>
          <w:szCs w:val="20"/>
          <w:color w:val="auto"/>
        </w:rPr>
      </w:pPr>
    </w:p>
    <w:p>
      <w:pPr>
        <w:sectPr>
          <w:pgSz w:w="11900" w:h="16838" w:orient="portrait"/>
          <w:cols w:equalWidth="0" w:num="2">
            <w:col w:w="140" w:space="500"/>
            <w:col w:w="10600"/>
          </w:cols>
          <w:pgMar w:left="320" w:top="233" w:right="339" w:bottom="1440" w:gutter="0" w:footer="0" w:header="0"/>
          <w:type w:val="continuous"/>
        </w:sectPr>
      </w:pPr>
    </w:p>
    <w:p>
      <w:pPr>
        <w:ind w:right="120" w:firstLine="648"/>
        <w:spacing w:after="0" w:line="263" w:lineRule="auto"/>
        <w:rPr>
          <w:sz w:val="20"/>
          <w:szCs w:val="20"/>
          <w:color w:val="auto"/>
        </w:rPr>
      </w:pPr>
      <w:r>
        <w:rPr>
          <w:rFonts w:ascii="Arial" w:cs="Arial" w:eastAsia="Arial" w:hAnsi="Arial"/>
          <w:sz w:val="18"/>
          <w:szCs w:val="18"/>
          <w:color w:val="auto"/>
        </w:rPr>
        <w:t>In the normal course of our resort management business, we enter into purchase commitments on behalf of property owners’ associations to manage the daily operating needs of our resorts. Since we are reimbursed for these commitments from the cash flows of the resorts, these obligations have minimal impact on our net income and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That Have Not Yet Commenced</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first quarter of 2020, we entered into a finance lease arrangement for a new corporate office building in Orlando, Florida. The new Orlando corporate office building is currently expected to be completed in 2023, at which time the lease term will commence and a right-of-use asset and corresponding liability will be recorded on our balance sheet. The initial lease term is approximately 16 years with total lease payments of $129 million for the aforementioned period. See Footnote 11 “Contingencies and Commitments” to our Financial Statements for additional information on this lease, including additional arrangements made as a result of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15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9" w:name="page60"/>
    <w:bookmarkEnd w:id="59"/>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exposure to market risk has not changed materially from that disclosed in Part I, Item 7A of our Annual Report on Form 10-K for the year ended December 31, 2020, other than as set forth below.</w:t>
      </w:r>
    </w:p>
    <w:p>
      <w:pPr>
        <w:spacing w:after="0" w:line="6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During the first quarter of 2021, we issued $575 million of 2026 Convertible Notes. Holders may convert the 2026 Convertible Notes prior to maturity upon the occurrence of certain circumstances. Upon conversion, holders of the 2026 Convertible Notes will receive cash, shares of our common stock, or a combination of cash and shares of our common stock, at our election.</w:t>
      </w:r>
    </w:p>
    <w:p>
      <w:pPr>
        <w:spacing w:after="0" w:line="7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Concurrently with the issuance of the 2026 Convertible Notes, we entered into convertible note hedges and warrants as discussed further in Footnote 13 “Debt” to these Financial Statements. Taken together, these separate transactions were intended to reduce the potential economic dilution to our common stock from the conversion of the 2026 Convertible Notes.</w:t>
      </w:r>
    </w:p>
    <w:p>
      <w:pPr>
        <w:spacing w:after="0" w:line="7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2026 Convertible Notes have a fixed annual interest rate of 0.00 percent and, therefore, we do not have economic interest rate exposure on our 2026 Convertible Notes. However, the fair market value of the 2026 Convertible Notes is exposed to interest rate risk. Generally, the fair market value of the 2026 Convertible Notes will increase as interest rates fall and decrease as interest rates rise. In addition, the fair market value of the 2026 Convertible Notes is affected by our stock price and will increase as our stock price increases and decrease as our stock price decreases. The net carrying value of the 2026 Convertible Notes was $442 million as of March 31, 2021. This represents the liability component of the principal balance of the 2026 Convertible Notes, net of unamortized debt discount and issuance costs, as of March 31, 2021. The total estimated fair market value of the 2026 Convertible Notes was $684 million as of March 31, 2021, and the fair market value was determined based on the quoted market price of the 2026 Convertible Notes in an over-the-counter market as of the last day of trading for the quarter ended March 31, 2021. For further information see Footnote 7 “Financial Instruments” and Footnote 13 “Debt” to these Financial Statements.</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March 31, 2021,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11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7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December 31, 2020 (the “2020 Annual Report”). The COVID-19 pandemic has heightened, and in some cases, manifested, certain of the risks we normally face in our business, including those disclosed in the 2020 Annual Report.</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documents referenced below are being filed as a part of this Quarterly Report on Form 10-Q, unless otherwise noted.</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Filed</w:t>
            </w:r>
          </w:p>
        </w:tc>
        <w:tc>
          <w:tcPr>
            <w:tcW w:w="316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24"/>
        </w:trPr>
        <w:tc>
          <w:tcPr>
            <w:tcW w:w="1040" w:type="dxa"/>
            <w:vAlign w:val="bottom"/>
            <w:gridSpan w:val="2"/>
            <w:vMerge w:val="continue"/>
          </w:tcPr>
          <w:p>
            <w:pPr>
              <w:spacing w:after="0"/>
              <w:rPr>
                <w:sz w:val="2"/>
                <w:szCs w:val="2"/>
                <w:color w:val="auto"/>
              </w:rPr>
            </w:pPr>
          </w:p>
        </w:tc>
        <w:tc>
          <w:tcPr>
            <w:tcW w:w="5740" w:type="dxa"/>
            <w:vAlign w:val="bottom"/>
            <w:vMerge w:val="restart"/>
          </w:tcPr>
          <w:p>
            <w:pPr>
              <w:ind w:left="2460"/>
              <w:spacing w:after="0"/>
              <w:rPr>
                <w:sz w:val="20"/>
                <w:szCs w:val="20"/>
                <w:color w:val="auto"/>
              </w:rPr>
            </w:pPr>
            <w:r>
              <w:rPr>
                <w:rFonts w:ascii="Arial" w:cs="Arial" w:eastAsia="Arial" w:hAnsi="Arial"/>
                <w:sz w:val="16"/>
                <w:szCs w:val="16"/>
                <w:b w:val="1"/>
                <w:bCs w:val="1"/>
                <w:color w:val="auto"/>
              </w:rPr>
              <w:t>Description</w:t>
            </w:r>
          </w:p>
        </w:tc>
        <w:tc>
          <w:tcPr>
            <w:tcW w:w="100" w:type="dxa"/>
            <w:vAlign w:val="bottom"/>
            <w:vMerge w:val="restart"/>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90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Form</w:t>
            </w:r>
          </w:p>
        </w:tc>
        <w:tc>
          <w:tcPr>
            <w:tcW w:w="100" w:type="dxa"/>
            <w:vAlign w:val="bottom"/>
            <w:vMerge w:val="restart"/>
          </w:tcPr>
          <w:p>
            <w:pPr>
              <w:spacing w:after="0"/>
              <w:rPr>
                <w:sz w:val="2"/>
                <w:szCs w:val="2"/>
                <w:color w:val="auto"/>
              </w:rPr>
            </w:pPr>
          </w:p>
        </w:tc>
        <w:tc>
          <w:tcPr>
            <w:tcW w:w="8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Exhibit</w:t>
            </w:r>
          </w:p>
        </w:tc>
        <w:tc>
          <w:tcPr>
            <w:tcW w:w="120" w:type="dxa"/>
            <w:vAlign w:val="bottom"/>
            <w:vMerge w:val="restart"/>
          </w:tcPr>
          <w:p>
            <w:pPr>
              <w:spacing w:after="0"/>
              <w:rPr>
                <w:sz w:val="2"/>
                <w:szCs w:val="2"/>
                <w:color w:val="auto"/>
              </w:rPr>
            </w:pPr>
          </w:p>
        </w:tc>
        <w:tc>
          <w:tcPr>
            <w:tcW w:w="124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line="20" w:lineRule="exact"/>
              <w:rPr>
                <w:sz w:val="1"/>
                <w:szCs w:val="1"/>
                <w:color w:val="auto"/>
              </w:rPr>
            </w:pPr>
          </w:p>
        </w:tc>
      </w:tr>
      <w:tr>
        <w:trPr>
          <w:trHeight w:val="213"/>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100" w:type="dxa"/>
            <w:vAlign w:val="bottom"/>
          </w:tcPr>
          <w:p>
            <w:pPr>
              <w:spacing w:after="0"/>
              <w:rPr>
                <w:sz w:val="18"/>
                <w:szCs w:val="18"/>
                <w:color w:val="auto"/>
              </w:rPr>
            </w:pPr>
          </w:p>
        </w:tc>
        <w:tc>
          <w:tcPr>
            <w:tcW w:w="57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12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180"/>
          </w:cols>
          <w:pgMar w:left="320" w:top="233" w:right="399" w:bottom="1440" w:gutter="0" w:footer="0" w:header="0"/>
        </w:sectPr>
      </w:pPr>
    </w:p>
    <w:p>
      <w:pPr>
        <w:spacing w:after="0" w:line="257" w:lineRule="exact"/>
        <w:rPr>
          <w:sz w:val="20"/>
          <w:szCs w:val="20"/>
          <w:color w:val="auto"/>
        </w:rPr>
      </w:pPr>
    </w:p>
    <w:p>
      <w:pPr>
        <w:ind w:left="420"/>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2.1</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2.2</w:t>
        </w:r>
      </w:hyperlink>
    </w:p>
    <w:p>
      <w:pPr>
        <w:spacing w:after="0" w:line="200" w:lineRule="exact"/>
        <w:rPr>
          <w:sz w:val="20"/>
          <w:szCs w:val="20"/>
          <w:color w:val="auto"/>
        </w:rPr>
      </w:pPr>
    </w:p>
    <w:p>
      <w:pPr>
        <w:spacing w:after="0" w:line="228" w:lineRule="exact"/>
        <w:rPr>
          <w:sz w:val="20"/>
          <w:szCs w:val="20"/>
          <w:color w:val="auto"/>
        </w:rPr>
      </w:pPr>
    </w:p>
    <w:p>
      <w:pPr>
        <w:ind w:left="420"/>
        <w:spacing w:after="0"/>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3.1</w:t>
        </w:r>
      </w:hyperlink>
    </w:p>
    <w:p>
      <w:pPr>
        <w:spacing w:after="0" w:line="225" w:lineRule="exact"/>
        <w:rPr>
          <w:sz w:val="20"/>
          <w:szCs w:val="20"/>
          <w:color w:val="auto"/>
        </w:rPr>
      </w:pPr>
    </w:p>
    <w:p>
      <w:pPr>
        <w:ind w:left="420"/>
        <w:spacing w:after="0"/>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3.2</w:t>
        </w:r>
      </w:hyperlink>
    </w:p>
    <w:p>
      <w:pPr>
        <w:spacing w:after="0" w:line="212" w:lineRule="exact"/>
        <w:rPr>
          <w:sz w:val="20"/>
          <w:szCs w:val="20"/>
          <w:color w:val="auto"/>
        </w:rPr>
      </w:pPr>
    </w:p>
    <w:p>
      <w:pPr>
        <w:ind w:left="420"/>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4.1</w:t>
        </w:r>
      </w:hyperlink>
    </w:p>
    <w:p>
      <w:pPr>
        <w:spacing w:after="0" w:line="200" w:lineRule="exact"/>
        <w:rPr>
          <w:sz w:val="20"/>
          <w:szCs w:val="20"/>
          <w:color w:val="auto"/>
        </w:rPr>
      </w:pPr>
    </w:p>
    <w:p>
      <w:pPr>
        <w:spacing w:after="0" w:line="201" w:lineRule="exact"/>
        <w:rPr>
          <w:sz w:val="20"/>
          <w:szCs w:val="20"/>
          <w:color w:val="auto"/>
        </w:rPr>
      </w:pPr>
    </w:p>
    <w:p>
      <w:pPr>
        <w:ind w:left="420"/>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4.2</w:t>
        </w:r>
      </w:hyperlink>
    </w:p>
    <w:p>
      <w:pPr>
        <w:spacing w:after="0" w:line="387" w:lineRule="exact"/>
        <w:rPr>
          <w:sz w:val="20"/>
          <w:szCs w:val="20"/>
          <w:color w:val="auto"/>
        </w:rPr>
      </w:pPr>
    </w:p>
    <w:p>
      <w:pPr>
        <w:ind w:left="420"/>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4.3</w:t>
        </w:r>
      </w:hyperlink>
    </w:p>
    <w:p>
      <w:pPr>
        <w:spacing w:after="0" w:line="200" w:lineRule="exact"/>
        <w:rPr>
          <w:sz w:val="20"/>
          <w:szCs w:val="20"/>
          <w:color w:val="auto"/>
        </w:rPr>
      </w:pPr>
    </w:p>
    <w:p>
      <w:pPr>
        <w:spacing w:after="0" w:line="282" w:lineRule="exact"/>
        <w:rPr>
          <w:sz w:val="20"/>
          <w:szCs w:val="20"/>
          <w:color w:val="auto"/>
        </w:rPr>
      </w:pPr>
    </w:p>
    <w:p>
      <w:pPr>
        <w:ind w:left="420"/>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4.4</w:t>
        </w:r>
      </w:hyperlink>
    </w:p>
    <w:p>
      <w:pPr>
        <w:spacing w:after="0" w:line="200" w:lineRule="exact"/>
        <w:rPr>
          <w:sz w:val="20"/>
          <w:szCs w:val="20"/>
          <w:color w:val="auto"/>
        </w:rPr>
      </w:pPr>
    </w:p>
    <w:p>
      <w:pPr>
        <w:spacing w:after="0" w:line="376" w:lineRule="exact"/>
        <w:rPr>
          <w:sz w:val="20"/>
          <w:szCs w:val="20"/>
          <w:color w:val="auto"/>
        </w:rPr>
      </w:pPr>
    </w:p>
    <w:p>
      <w:pPr>
        <w:ind w:left="420"/>
        <w:spacing w:after="0"/>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4.5</w:t>
        </w:r>
      </w:hyperlink>
    </w:p>
    <w:p>
      <w:pPr>
        <w:spacing w:after="0" w:line="200" w:lineRule="exact"/>
        <w:rPr>
          <w:sz w:val="20"/>
          <w:szCs w:val="20"/>
          <w:color w:val="auto"/>
        </w:rPr>
      </w:pPr>
    </w:p>
    <w:p>
      <w:pPr>
        <w:spacing w:after="0" w:line="228" w:lineRule="exact"/>
        <w:rPr>
          <w:sz w:val="20"/>
          <w:szCs w:val="20"/>
          <w:color w:val="auto"/>
        </w:rPr>
      </w:pPr>
    </w:p>
    <w:p>
      <w:pPr>
        <w:ind w:left="420"/>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4.6</w:t>
        </w:r>
      </w:hyperlink>
    </w:p>
    <w:p>
      <w:pPr>
        <w:spacing w:after="0" w:line="374" w:lineRule="exact"/>
        <w:rPr>
          <w:sz w:val="20"/>
          <w:szCs w:val="20"/>
          <w:color w:val="auto"/>
        </w:rPr>
      </w:pPr>
    </w:p>
    <w:p>
      <w:pPr>
        <w:ind w:left="420"/>
        <w:spacing w:after="0"/>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4.7</w:t>
        </w:r>
      </w:hyperlink>
    </w:p>
    <w:p>
      <w:pPr>
        <w:spacing w:after="0" w:line="279" w:lineRule="exact"/>
        <w:rPr>
          <w:sz w:val="20"/>
          <w:szCs w:val="20"/>
          <w:color w:val="auto"/>
        </w:rPr>
      </w:pPr>
    </w:p>
    <w:p>
      <w:pPr>
        <w:ind w:left="420"/>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4.8</w:t>
        </w:r>
      </w:hyperlink>
    </w:p>
    <w:p>
      <w:pPr>
        <w:spacing w:after="0" w:line="374" w:lineRule="exact"/>
        <w:rPr>
          <w:sz w:val="20"/>
          <w:szCs w:val="20"/>
          <w:color w:val="auto"/>
        </w:rPr>
      </w:pPr>
    </w:p>
    <w:p>
      <w:pPr>
        <w:ind w:left="420"/>
        <w:spacing w:after="0"/>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4.9</w:t>
        </w:r>
      </w:hyperlink>
    </w:p>
    <w:p>
      <w:pPr>
        <w:spacing w:after="0" w:line="200" w:lineRule="exact"/>
        <w:rPr>
          <w:sz w:val="20"/>
          <w:szCs w:val="20"/>
          <w:color w:val="auto"/>
        </w:rPr>
      </w:pPr>
    </w:p>
    <w:p>
      <w:pPr>
        <w:spacing w:after="0" w:line="349" w:lineRule="exact"/>
        <w:rPr>
          <w:sz w:val="20"/>
          <w:szCs w:val="20"/>
          <w:color w:val="auto"/>
        </w:rPr>
      </w:pPr>
    </w:p>
    <w:p>
      <w:pPr>
        <w:ind w:left="380"/>
        <w:spacing w:after="0"/>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4.10</w:t>
        </w:r>
      </w:hyperlink>
    </w:p>
    <w:p>
      <w:pPr>
        <w:spacing w:after="0" w:line="20" w:lineRule="exact"/>
        <w:rPr>
          <w:sz w:val="20"/>
          <w:szCs w:val="20"/>
          <w:color w:val="auto"/>
        </w:rPr>
      </w:pPr>
      <w:r>
        <w:rPr>
          <w:sz w:val="20"/>
          <w:szCs w:val="20"/>
          <w:color w:val="auto"/>
        </w:rPr>
        <w:br w:type="column"/>
      </w:r>
    </w:p>
    <w:p>
      <w:pPr>
        <w:jc w:val="both"/>
        <w:ind w:right="1020"/>
        <w:spacing w:after="0" w:line="219" w:lineRule="auto"/>
        <w:rPr>
          <w:sz w:val="20"/>
          <w:szCs w:val="20"/>
          <w:color w:val="auto"/>
        </w:rPr>
      </w:pPr>
      <w:r>
        <w:rPr>
          <w:rFonts w:ascii="Arial" w:cs="Arial" w:eastAsia="Arial" w:hAnsi="Arial"/>
          <w:sz w:val="18"/>
          <w:szCs w:val="18"/>
          <w:color w:val="auto"/>
        </w:rPr>
        <w:t>Agreement and Plan of Merger, dated as of April 30, 2018, by and among Marriott Vacations Worldwide Corporation, ILG, Inc., Ignite Holdco, Inc., Ignite Holdco Subsidiary, Inc., Volt Merger Sub, Inc., and Volt Merger Sub LLC*</w:t>
      </w:r>
    </w:p>
    <w:p>
      <w:pPr>
        <w:spacing w:after="0" w:line="109" w:lineRule="exact"/>
        <w:rPr>
          <w:sz w:val="20"/>
          <w:szCs w:val="20"/>
          <w:color w:val="auto"/>
        </w:rPr>
      </w:pPr>
    </w:p>
    <w:p>
      <w:pPr>
        <w:ind w:right="900"/>
        <w:spacing w:after="0" w:line="219" w:lineRule="auto"/>
        <w:rPr>
          <w:sz w:val="20"/>
          <w:szCs w:val="20"/>
          <w:color w:val="auto"/>
        </w:rPr>
      </w:pPr>
      <w:r>
        <w:rPr>
          <w:rFonts w:ascii="Arial" w:cs="Arial" w:eastAsia="Arial" w:hAnsi="Arial"/>
          <w:sz w:val="18"/>
          <w:szCs w:val="18"/>
          <w:color w:val="auto"/>
        </w:rPr>
        <w:t>Agreement and Plan of Merger by and among Marriott Vacations Worldwide Corporation, Sommelier Acquisition Corp., Champagne Resorts, Inc., Welk Hospitality Group, Inc. and the Shareholder Representative, dated as of January 26, 2021</w:t>
      </w:r>
    </w:p>
    <w:p>
      <w:pPr>
        <w:spacing w:after="0" w:line="55" w:lineRule="exact"/>
        <w:rPr>
          <w:sz w:val="20"/>
          <w:szCs w:val="20"/>
          <w:color w:val="auto"/>
        </w:rPr>
      </w:pPr>
    </w:p>
    <w:p>
      <w:pPr>
        <w:ind w:right="1360"/>
        <w:spacing w:after="0" w:line="235" w:lineRule="auto"/>
        <w:rPr>
          <w:sz w:val="20"/>
          <w:szCs w:val="20"/>
          <w:color w:val="auto"/>
        </w:rPr>
      </w:pPr>
      <w:r>
        <w:rPr>
          <w:rFonts w:ascii="Arial" w:cs="Arial" w:eastAsia="Arial" w:hAnsi="Arial"/>
          <w:sz w:val="18"/>
          <w:szCs w:val="18"/>
          <w:color w:val="auto"/>
        </w:rPr>
        <w:t>Restated Certificate of Incorporation of Marriott Vacations Worldwide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Restated Bylaws of Marriott Vacations Worldwide Corporation</w:t>
      </w:r>
    </w:p>
    <w:p>
      <w:pPr>
        <w:spacing w:after="0" w:line="131" w:lineRule="exact"/>
        <w:rPr>
          <w:sz w:val="20"/>
          <w:szCs w:val="20"/>
          <w:color w:val="auto"/>
        </w:rPr>
      </w:pPr>
    </w:p>
    <w:p>
      <w:pPr>
        <w:ind w:right="860"/>
        <w:spacing w:after="0" w:line="235" w:lineRule="auto"/>
        <w:rPr>
          <w:sz w:val="20"/>
          <w:szCs w:val="20"/>
          <w:color w:val="auto"/>
        </w:rPr>
      </w:pPr>
      <w:r>
        <w:rPr>
          <w:rFonts w:ascii="Arial" w:cs="Arial" w:eastAsia="Arial" w:hAnsi="Arial"/>
          <w:sz w:val="18"/>
          <w:szCs w:val="18"/>
          <w:color w:val="auto"/>
        </w:rPr>
        <w:t>Form of certificate representing shares of common stock, par value $0.01 per share, of Marriott Vacations Worldwide Corporation</w:t>
      </w:r>
    </w:p>
    <w:p>
      <w:pPr>
        <w:spacing w:after="0" w:line="108" w:lineRule="exact"/>
        <w:rPr>
          <w:sz w:val="20"/>
          <w:szCs w:val="20"/>
          <w:color w:val="auto"/>
        </w:rPr>
      </w:pPr>
    </w:p>
    <w:p>
      <w:pPr>
        <w:ind w:right="880"/>
        <w:spacing w:after="0" w:line="224" w:lineRule="auto"/>
        <w:rPr>
          <w:sz w:val="20"/>
          <w:szCs w:val="20"/>
          <w:color w:val="auto"/>
        </w:rPr>
      </w:pPr>
      <w:r>
        <w:rPr>
          <w:rFonts w:ascii="Arial" w:cs="Arial" w:eastAsia="Arial" w:hAnsi="Arial"/>
          <w:sz w:val="18"/>
          <w:szCs w:val="18"/>
          <w:color w:val="auto"/>
        </w:rPr>
        <w:t>Indenture between Marriott Vacations Worldwide Corporation and The Bank of New York Mellon Trust Company, N.A., as trustee, dated September 25, 2017</w:t>
      </w:r>
    </w:p>
    <w:p>
      <w:pPr>
        <w:spacing w:after="0" w:line="109" w:lineRule="exact"/>
        <w:rPr>
          <w:sz w:val="20"/>
          <w:szCs w:val="20"/>
          <w:color w:val="auto"/>
        </w:rPr>
      </w:pPr>
    </w:p>
    <w:p>
      <w:pPr>
        <w:ind w:right="960"/>
        <w:spacing w:after="0" w:line="235" w:lineRule="auto"/>
        <w:rPr>
          <w:sz w:val="20"/>
          <w:szCs w:val="20"/>
          <w:color w:val="auto"/>
        </w:rPr>
      </w:pPr>
      <w:r>
        <w:rPr>
          <w:rFonts w:ascii="Arial" w:cs="Arial" w:eastAsia="Arial" w:hAnsi="Arial"/>
          <w:sz w:val="18"/>
          <w:szCs w:val="18"/>
          <w:color w:val="auto"/>
        </w:rPr>
        <w:t>Form of 1.50% Convertible Senior Note due 2022 (included as Exhibit A to Exhibit 4.2 above)</w:t>
      </w:r>
    </w:p>
    <w:p>
      <w:pPr>
        <w:spacing w:after="0" w:line="108" w:lineRule="exact"/>
        <w:rPr>
          <w:sz w:val="20"/>
          <w:szCs w:val="20"/>
          <w:color w:val="auto"/>
        </w:rPr>
      </w:pPr>
    </w:p>
    <w:p>
      <w:pPr>
        <w:ind w:right="1040"/>
        <w:spacing w:after="0" w:line="219" w:lineRule="auto"/>
        <w:rPr>
          <w:sz w:val="20"/>
          <w:szCs w:val="20"/>
          <w:color w:val="auto"/>
        </w:rPr>
      </w:pPr>
      <w:r>
        <w:rPr>
          <w:rFonts w:ascii="Arial" w:cs="Arial" w:eastAsia="Arial" w:hAnsi="Arial"/>
          <w:sz w:val="18"/>
          <w:szCs w:val="18"/>
          <w:color w:val="auto"/>
        </w:rPr>
        <w:t>Indenture, dated as of August 23, 2018, by and among Marriott Ownership Resorts, Inc., Marriott Vacations Worldwide Corporation, as guarantor, the other guarantors party thereto and the Bank of New York Mellon Trust Company, N.A., as trustee</w:t>
      </w:r>
    </w:p>
    <w:p>
      <w:pPr>
        <w:spacing w:after="0" w:line="109" w:lineRule="exact"/>
        <w:rPr>
          <w:sz w:val="20"/>
          <w:szCs w:val="20"/>
          <w:color w:val="auto"/>
        </w:rPr>
      </w:pPr>
    </w:p>
    <w:p>
      <w:pPr>
        <w:ind w:right="840"/>
        <w:spacing w:after="0" w:line="237" w:lineRule="auto"/>
        <w:rPr>
          <w:sz w:val="20"/>
          <w:szCs w:val="20"/>
          <w:color w:val="auto"/>
        </w:rPr>
      </w:pPr>
      <w:r>
        <w:rPr>
          <w:rFonts w:ascii="Arial" w:cs="Arial" w:eastAsia="Arial" w:hAnsi="Arial"/>
          <w:sz w:val="17"/>
          <w:szCs w:val="17"/>
          <w:color w:val="auto"/>
        </w:rPr>
        <w:t>First Supplemental Indenture, dated September 1, 2018, by and among Marriott Ownership Resorts, Inc., ILG, LLC, the guarantors party thereto and the Bank of New York Mellon Trust Company, N.A., as trustee</w:t>
      </w:r>
    </w:p>
    <w:p>
      <w:pPr>
        <w:spacing w:after="0" w:line="55" w:lineRule="exact"/>
        <w:rPr>
          <w:sz w:val="20"/>
          <w:szCs w:val="20"/>
          <w:color w:val="auto"/>
        </w:rPr>
      </w:pPr>
    </w:p>
    <w:p>
      <w:pPr>
        <w:ind w:right="920"/>
        <w:spacing w:after="0" w:line="237" w:lineRule="auto"/>
        <w:rPr>
          <w:sz w:val="20"/>
          <w:szCs w:val="20"/>
          <w:color w:val="auto"/>
        </w:rPr>
      </w:pPr>
      <w:r>
        <w:rPr>
          <w:rFonts w:ascii="Arial" w:cs="Arial" w:eastAsia="Arial" w:hAnsi="Arial"/>
          <w:sz w:val="17"/>
          <w:szCs w:val="17"/>
          <w:color w:val="auto"/>
        </w:rPr>
        <w:t>Second Supplemental Indenture, dated December 31, 2019, by and among Marriott Ownership Resorts, Inc., ILG, LLC, MVW Vacations, LLC and the Bank of New York Mellon Trust Company, N.A., as trustee</w:t>
      </w:r>
    </w:p>
    <w:p>
      <w:pPr>
        <w:spacing w:after="0" w:line="2" w:lineRule="exact"/>
        <w:rPr>
          <w:sz w:val="20"/>
          <w:szCs w:val="20"/>
          <w:color w:val="auto"/>
        </w:rPr>
      </w:pPr>
    </w:p>
    <w:p>
      <w:pPr>
        <w:ind w:right="740"/>
        <w:spacing w:after="0" w:line="237" w:lineRule="auto"/>
        <w:rPr>
          <w:sz w:val="20"/>
          <w:szCs w:val="20"/>
          <w:color w:val="auto"/>
        </w:rPr>
      </w:pPr>
      <w:r>
        <w:rPr>
          <w:rFonts w:ascii="Arial" w:cs="Arial" w:eastAsia="Arial" w:hAnsi="Arial"/>
          <w:sz w:val="17"/>
          <w:szCs w:val="17"/>
          <w:color w:val="auto"/>
        </w:rPr>
        <w:t>Third Supplemental Indenture, dated February 26, 2020, by and among Marriott Ownership Resorts, Inc., ILG, LLC, MVW Services Corporation, and the Bank of New York Mellon Trust Company, N.A., as trustee</w:t>
      </w:r>
    </w:p>
    <w:p>
      <w:pPr>
        <w:spacing w:after="0" w:line="1" w:lineRule="exact"/>
        <w:rPr>
          <w:sz w:val="20"/>
          <w:szCs w:val="20"/>
          <w:color w:val="auto"/>
        </w:rPr>
      </w:pPr>
    </w:p>
    <w:p>
      <w:pPr>
        <w:ind w:right="920"/>
        <w:spacing w:after="0" w:line="234" w:lineRule="auto"/>
        <w:rPr>
          <w:sz w:val="20"/>
          <w:szCs w:val="20"/>
          <w:color w:val="auto"/>
        </w:rPr>
      </w:pPr>
      <w:r>
        <w:rPr>
          <w:rFonts w:ascii="Arial" w:cs="Arial" w:eastAsia="Arial" w:hAnsi="Arial"/>
          <w:sz w:val="18"/>
          <w:szCs w:val="18"/>
          <w:color w:val="auto"/>
        </w:rPr>
        <w:t>Form of 6.500% Senior Note due 2026 (included as Exhibit A to Exhibit 4.4 above)</w:t>
      </w:r>
    </w:p>
    <w:p>
      <w:pPr>
        <w:spacing w:after="0" w:line="1" w:lineRule="exact"/>
        <w:rPr>
          <w:sz w:val="20"/>
          <w:szCs w:val="20"/>
          <w:color w:val="auto"/>
        </w:rPr>
      </w:pPr>
    </w:p>
    <w:p>
      <w:pPr>
        <w:ind w:right="800"/>
        <w:spacing w:after="0" w:line="219" w:lineRule="auto"/>
        <w:rPr>
          <w:sz w:val="20"/>
          <w:szCs w:val="20"/>
          <w:color w:val="auto"/>
        </w:rPr>
      </w:pPr>
      <w:r>
        <w:rPr>
          <w:rFonts w:ascii="Arial" w:cs="Arial" w:eastAsia="Arial" w:hAnsi="Arial"/>
          <w:sz w:val="18"/>
          <w:szCs w:val="18"/>
          <w:color w:val="auto"/>
        </w:rPr>
        <w:t>Registration Rights Agreement, dated as of August 23, 2018, by and among Marriott Ownership Resorts, Inc., Marriott Vacations Worldwide Corporation, as guarantor, the other guarantors party thereto and Merrill Lynch, Pierce, Fenner &amp; Smith Incorporated</w:t>
      </w:r>
    </w:p>
    <w:p>
      <w:pPr>
        <w:spacing w:after="0" w:line="1" w:lineRule="exact"/>
        <w:rPr>
          <w:sz w:val="20"/>
          <w:szCs w:val="20"/>
          <w:color w:val="auto"/>
        </w:rPr>
      </w:pPr>
    </w:p>
    <w:p>
      <w:pPr>
        <w:ind w:right="780"/>
        <w:spacing w:after="0" w:line="219" w:lineRule="auto"/>
        <w:rPr>
          <w:sz w:val="20"/>
          <w:szCs w:val="20"/>
          <w:color w:val="auto"/>
        </w:rPr>
      </w:pPr>
      <w:r>
        <w:rPr>
          <w:rFonts w:ascii="Arial" w:cs="Arial" w:eastAsia="Arial" w:hAnsi="Arial"/>
          <w:sz w:val="18"/>
          <w:szCs w:val="18"/>
          <w:color w:val="auto"/>
        </w:rPr>
        <w:t>Joinder Agreement to Registration Rights Agreement, dated as of September 1, 2018, by and among ILG, LLC, the guarantors party thereto and Merrill Lynch, Pierce, Fenner &amp; Smith Incorporated as the representative of the initial purchasers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1"/>
              </w:rPr>
              <w:t>5/1/2018</w:t>
            </w:r>
          </w:p>
        </w:tc>
      </w:tr>
      <w:tr>
        <w:trPr>
          <w:trHeight w:val="864"/>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1/26/2021</w:t>
            </w:r>
          </w:p>
        </w:tc>
      </w:tr>
      <w:tr>
        <w:trPr>
          <w:trHeight w:val="634"/>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11/22/2011</w:t>
            </w:r>
          </w:p>
        </w:tc>
      </w:tr>
      <w:tr>
        <w:trPr>
          <w:trHeight w:val="432"/>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11/22/2011</w:t>
            </w:r>
          </w:p>
        </w:tc>
      </w:tr>
      <w:tr>
        <w:trPr>
          <w:trHeight w:val="418"/>
        </w:trPr>
        <w:tc>
          <w:tcPr>
            <w:tcW w:w="700" w:type="dxa"/>
            <w:vAlign w:val="bottom"/>
          </w:tcPr>
          <w:p>
            <w:pPr>
              <w:jc w:val="center"/>
              <w:ind w:right="270"/>
              <w:spacing w:after="0"/>
              <w:rPr>
                <w:sz w:val="20"/>
                <w:szCs w:val="20"/>
                <w:color w:val="auto"/>
              </w:rPr>
            </w:pPr>
            <w:r>
              <w:rPr>
                <w:rFonts w:ascii="Arial" w:cs="Arial" w:eastAsia="Arial" w:hAnsi="Arial"/>
                <w:sz w:val="18"/>
                <w:szCs w:val="18"/>
                <w:color w:val="auto"/>
                <w:w w:val="89"/>
              </w:rPr>
              <w:t>10</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10/14/2011</w:t>
            </w:r>
          </w:p>
        </w:tc>
      </w:tr>
      <w:tr>
        <w:trPr>
          <w:trHeight w:val="607"/>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11/2/2017</w:t>
            </w:r>
          </w:p>
        </w:tc>
      </w:tr>
      <w:tr>
        <w:trPr>
          <w:trHeight w:val="594"/>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11/2/2017</w:t>
            </w:r>
          </w:p>
        </w:tc>
      </w:tr>
      <w:tr>
        <w:trPr>
          <w:trHeight w:val="688"/>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8/23/2018</w:t>
            </w:r>
          </w:p>
        </w:tc>
      </w:tr>
      <w:tr>
        <w:trPr>
          <w:trHeight w:val="783"/>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4.7</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1"/>
              </w:rPr>
              <w:t>9/5/2018</w:t>
            </w:r>
          </w:p>
        </w:tc>
      </w:tr>
      <w:tr>
        <w:trPr>
          <w:trHeight w:val="635"/>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4.6</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1"/>
              </w:rPr>
              <w:t>3/2/2020</w:t>
            </w:r>
          </w:p>
        </w:tc>
      </w:tr>
      <w:tr>
        <w:trPr>
          <w:trHeight w:val="58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4.7</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1"/>
              </w:rPr>
              <w:t>3/2/2020</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8/23/2018</w:t>
            </w:r>
          </w:p>
        </w:tc>
      </w:tr>
      <w:tr>
        <w:trPr>
          <w:trHeight w:val="58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8/23/2018</w:t>
            </w:r>
          </w:p>
        </w:tc>
      </w:tr>
      <w:tr>
        <w:trPr>
          <w:trHeight w:val="75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4.8</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1"/>
              </w:rPr>
              <w:t>9/5/2018</w:t>
            </w:r>
          </w:p>
        </w:tc>
      </w:tr>
    </w:tbl>
    <w:p>
      <w:pPr>
        <w:spacing w:after="0" w:line="469" w:lineRule="exact"/>
        <w:rPr>
          <w:sz w:val="20"/>
          <w:szCs w:val="20"/>
          <w:color w:val="auto"/>
        </w:rPr>
      </w:pPr>
    </w:p>
    <w:p>
      <w:pPr>
        <w:sectPr>
          <w:pgSz w:w="11900" w:h="16838" w:orient="portrait"/>
          <w:cols w:equalWidth="0" w:num="3">
            <w:col w:w="700" w:space="440"/>
            <w:col w:w="6420" w:space="720"/>
            <w:col w:w="2900"/>
          </w:cols>
          <w:pgMar w:left="320" w:top="233" w:right="399" w:bottom="1440" w:gutter="0" w:footer="0" w:header="0"/>
          <w:type w:val="continuous"/>
        </w:sectPr>
      </w:pPr>
    </w:p>
    <w:p>
      <w:pPr>
        <w:spacing w:after="0" w:line="7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61" w:name="page62"/>
    <w:bookmarkEnd w:id="61"/>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40" w:type="dxa"/>
            <w:vAlign w:val="bottom"/>
            <w:vMerge w:val="restart"/>
          </w:tcPr>
          <w:p>
            <w:pPr>
              <w:jc w:val="center"/>
              <w:ind w:right="1299"/>
              <w:spacing w:after="0"/>
              <w:rPr>
                <w:sz w:val="20"/>
                <w:szCs w:val="20"/>
                <w:color w:val="auto"/>
              </w:rPr>
            </w:pPr>
            <w:r>
              <w:rPr>
                <w:rFonts w:ascii="Arial" w:cs="Arial" w:eastAsia="Arial" w:hAnsi="Arial"/>
                <w:sz w:val="16"/>
                <w:szCs w:val="16"/>
                <w:b w:val="1"/>
                <w:bCs w:val="1"/>
                <w:color w:val="auto"/>
                <w:w w:val="97"/>
              </w:rPr>
              <w:t>Exhibit</w:t>
            </w:r>
          </w:p>
        </w:tc>
        <w:tc>
          <w:tcPr>
            <w:tcW w:w="3540" w:type="dxa"/>
            <w:vAlign w:val="bottom"/>
          </w:tcPr>
          <w:p>
            <w:pPr>
              <w:spacing w:after="0"/>
              <w:rPr>
                <w:sz w:val="18"/>
                <w:szCs w:val="18"/>
                <w:color w:val="auto"/>
              </w:rPr>
            </w:pPr>
          </w:p>
        </w:tc>
        <w:tc>
          <w:tcPr>
            <w:tcW w:w="2280" w:type="dxa"/>
            <w:vAlign w:val="bottom"/>
            <w:vMerge w:val="restart"/>
          </w:tcPr>
          <w:p>
            <w:pPr>
              <w:jc w:val="center"/>
              <w:ind w:left="1019"/>
              <w:spacing w:after="0"/>
              <w:rPr>
                <w:sz w:val="20"/>
                <w:szCs w:val="20"/>
                <w:color w:val="auto"/>
              </w:rPr>
            </w:pPr>
            <w:r>
              <w:rPr>
                <w:rFonts w:ascii="Arial" w:cs="Arial" w:eastAsia="Arial" w:hAnsi="Arial"/>
                <w:sz w:val="16"/>
                <w:szCs w:val="16"/>
                <w:b w:val="1"/>
                <w:bCs w:val="1"/>
                <w:color w:val="auto"/>
                <w:w w:val="90"/>
              </w:rPr>
              <w:t>Filed</w:t>
            </w:r>
          </w:p>
        </w:tc>
        <w:tc>
          <w:tcPr>
            <w:tcW w:w="316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23"/>
        </w:trPr>
        <w:tc>
          <w:tcPr>
            <w:tcW w:w="1940" w:type="dxa"/>
            <w:vAlign w:val="bottom"/>
            <w:vMerge w:val="continue"/>
          </w:tcPr>
          <w:p>
            <w:pPr>
              <w:spacing w:after="0"/>
              <w:rPr>
                <w:sz w:val="2"/>
                <w:szCs w:val="2"/>
                <w:color w:val="auto"/>
              </w:rPr>
            </w:pPr>
          </w:p>
        </w:tc>
        <w:tc>
          <w:tcPr>
            <w:tcW w:w="3540" w:type="dxa"/>
            <w:vAlign w:val="bottom"/>
            <w:vMerge w:val="restart"/>
          </w:tcPr>
          <w:p>
            <w:pPr>
              <w:ind w:left="1380"/>
              <w:spacing w:after="0"/>
              <w:rPr>
                <w:sz w:val="20"/>
                <w:szCs w:val="20"/>
                <w:color w:val="auto"/>
              </w:rPr>
            </w:pPr>
            <w:r>
              <w:rPr>
                <w:rFonts w:ascii="Arial" w:cs="Arial" w:eastAsia="Arial" w:hAnsi="Arial"/>
                <w:sz w:val="16"/>
                <w:szCs w:val="16"/>
                <w:b w:val="1"/>
                <w:bCs w:val="1"/>
                <w:color w:val="auto"/>
              </w:rPr>
              <w:t>Description</w:t>
            </w:r>
          </w:p>
        </w:tc>
        <w:tc>
          <w:tcPr>
            <w:tcW w:w="2280" w:type="dxa"/>
            <w:vAlign w:val="bottom"/>
            <w:vMerge w:val="continue"/>
          </w:tcPr>
          <w:p>
            <w:pPr>
              <w:spacing w:after="0"/>
              <w:rPr>
                <w:sz w:val="2"/>
                <w:szCs w:val="2"/>
                <w:color w:val="auto"/>
              </w:rPr>
            </w:pPr>
          </w:p>
        </w:tc>
        <w:tc>
          <w:tcPr>
            <w:tcW w:w="88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Form</w:t>
            </w:r>
          </w:p>
        </w:tc>
        <w:tc>
          <w:tcPr>
            <w:tcW w:w="104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Exhibit</w:t>
            </w:r>
          </w:p>
        </w:tc>
        <w:tc>
          <w:tcPr>
            <w:tcW w:w="124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line="20" w:lineRule="exact"/>
              <w:rPr>
                <w:sz w:val="1"/>
                <w:szCs w:val="1"/>
                <w:color w:val="auto"/>
              </w:rPr>
            </w:pPr>
          </w:p>
        </w:tc>
      </w:tr>
      <w:tr>
        <w:trPr>
          <w:trHeight w:val="210"/>
        </w:trPr>
        <w:tc>
          <w:tcPr>
            <w:tcW w:w="1940" w:type="dxa"/>
            <w:vAlign w:val="bottom"/>
          </w:tcPr>
          <w:p>
            <w:pPr>
              <w:jc w:val="center"/>
              <w:ind w:right="1299"/>
              <w:spacing w:after="0"/>
              <w:rPr>
                <w:sz w:val="20"/>
                <w:szCs w:val="20"/>
                <w:color w:val="auto"/>
              </w:rPr>
            </w:pPr>
            <w:r>
              <w:rPr>
                <w:rFonts w:ascii="Arial" w:cs="Arial" w:eastAsia="Arial" w:hAnsi="Arial"/>
                <w:sz w:val="16"/>
                <w:szCs w:val="16"/>
                <w:b w:val="1"/>
                <w:bCs w:val="1"/>
                <w:color w:val="auto"/>
                <w:w w:val="92"/>
              </w:rPr>
              <w:t>Number</w:t>
            </w:r>
          </w:p>
        </w:tc>
        <w:tc>
          <w:tcPr>
            <w:tcW w:w="3540" w:type="dxa"/>
            <w:vAlign w:val="bottom"/>
            <w:vMerge w:val="continue"/>
          </w:tcPr>
          <w:p>
            <w:pPr>
              <w:spacing w:after="0"/>
              <w:rPr>
                <w:sz w:val="18"/>
                <w:szCs w:val="18"/>
                <w:color w:val="auto"/>
              </w:rPr>
            </w:pPr>
          </w:p>
        </w:tc>
        <w:tc>
          <w:tcPr>
            <w:tcW w:w="2280" w:type="dxa"/>
            <w:vAlign w:val="bottom"/>
          </w:tcPr>
          <w:p>
            <w:pPr>
              <w:jc w:val="center"/>
              <w:ind w:left="999"/>
              <w:spacing w:after="0"/>
              <w:rPr>
                <w:sz w:val="20"/>
                <w:szCs w:val="20"/>
                <w:color w:val="auto"/>
              </w:rPr>
            </w:pPr>
            <w:r>
              <w:rPr>
                <w:rFonts w:ascii="Arial" w:cs="Arial" w:eastAsia="Arial" w:hAnsi="Arial"/>
                <w:sz w:val="16"/>
                <w:szCs w:val="16"/>
                <w:b w:val="1"/>
                <w:bCs w:val="1"/>
                <w:color w:val="auto"/>
                <w:w w:val="94"/>
              </w:rPr>
              <w:t>Herewith</w:t>
            </w:r>
          </w:p>
        </w:tc>
        <w:tc>
          <w:tcPr>
            <w:tcW w:w="88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3810</wp:posOffset>
            </wp:positionV>
            <wp:extent cx="70548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ectPr>
          <w:pgSz w:w="11900" w:h="16838" w:orient="portrait"/>
          <w:cols w:equalWidth="0" w:num="1">
            <w:col w:w="10920"/>
          </w:cols>
          <w:pgMar w:left="580" w:top="233" w:right="399" w:bottom="1440" w:gutter="0" w:footer="0" w:header="0"/>
        </w:sectPr>
      </w:pPr>
    </w:p>
    <w:p>
      <w:pPr>
        <w:spacing w:after="0" w:line="275" w:lineRule="exact"/>
        <w:rPr>
          <w:sz w:val="20"/>
          <w:szCs w:val="20"/>
          <w:color w:val="auto"/>
        </w:rPr>
      </w:pPr>
    </w:p>
    <w:p>
      <w:pPr>
        <w:ind w:left="120"/>
        <w:spacing w:after="0"/>
        <w:rPr>
          <w:rFonts w:ascii="Arial" w:cs="Arial" w:eastAsia="Arial" w:hAnsi="Arial"/>
          <w:sz w:val="16"/>
          <w:szCs w:val="16"/>
          <w:u w:val="single" w:color="auto"/>
          <w:color w:val="0000FF"/>
        </w:rPr>
      </w:pPr>
      <w:hyperlink r:id="rId111">
        <w:r>
          <w:rPr>
            <w:rFonts w:ascii="Arial" w:cs="Arial" w:eastAsia="Arial" w:hAnsi="Arial"/>
            <w:sz w:val="16"/>
            <w:szCs w:val="16"/>
            <w:u w:val="single" w:color="auto"/>
            <w:color w:val="0000FF"/>
          </w:rPr>
          <w:t>4.11</w:t>
        </w:r>
      </w:hyperlink>
    </w:p>
    <w:p>
      <w:pPr>
        <w:spacing w:after="0" w:line="200" w:lineRule="exact"/>
        <w:rPr>
          <w:sz w:val="20"/>
          <w:szCs w:val="20"/>
          <w:color w:val="auto"/>
        </w:rPr>
      </w:pPr>
    </w:p>
    <w:p>
      <w:pPr>
        <w:spacing w:after="0" w:line="291" w:lineRule="exact"/>
        <w:rPr>
          <w:sz w:val="20"/>
          <w:szCs w:val="20"/>
          <w:color w:val="auto"/>
        </w:rPr>
      </w:pPr>
    </w:p>
    <w:p>
      <w:pPr>
        <w:ind w:left="120"/>
        <w:spacing w:after="0"/>
        <w:rPr>
          <w:rFonts w:ascii="Arial" w:cs="Arial" w:eastAsia="Arial" w:hAnsi="Arial"/>
          <w:sz w:val="16"/>
          <w:szCs w:val="16"/>
          <w:u w:val="single" w:color="auto"/>
          <w:color w:val="0000FF"/>
        </w:rPr>
      </w:pPr>
      <w:hyperlink r:id="rId112">
        <w:r>
          <w:rPr>
            <w:rFonts w:ascii="Arial" w:cs="Arial" w:eastAsia="Arial" w:hAnsi="Arial"/>
            <w:sz w:val="16"/>
            <w:szCs w:val="16"/>
            <w:u w:val="single" w:color="auto"/>
            <w:color w:val="0000FF"/>
          </w:rPr>
          <w:t>4.12</w:t>
        </w:r>
      </w:hyperlink>
    </w:p>
    <w:p>
      <w:pPr>
        <w:spacing w:after="0" w:line="397" w:lineRule="exact"/>
        <w:rPr>
          <w:sz w:val="20"/>
          <w:szCs w:val="20"/>
          <w:color w:val="auto"/>
        </w:rPr>
      </w:pPr>
    </w:p>
    <w:p>
      <w:pPr>
        <w:ind w:left="120"/>
        <w:spacing w:after="0"/>
        <w:rPr>
          <w:rFonts w:ascii="Arial" w:cs="Arial" w:eastAsia="Arial" w:hAnsi="Arial"/>
          <w:sz w:val="16"/>
          <w:szCs w:val="16"/>
          <w:u w:val="single" w:color="auto"/>
          <w:color w:val="0000FF"/>
        </w:rPr>
      </w:pPr>
      <w:hyperlink r:id="rId113">
        <w:r>
          <w:rPr>
            <w:rFonts w:ascii="Arial" w:cs="Arial" w:eastAsia="Arial" w:hAnsi="Arial"/>
            <w:sz w:val="16"/>
            <w:szCs w:val="16"/>
            <w:u w:val="single" w:color="auto"/>
            <w:color w:val="0000FF"/>
          </w:rPr>
          <w:t>4.13</w:t>
        </w:r>
      </w:hyperlink>
    </w:p>
    <w:p>
      <w:pPr>
        <w:spacing w:after="0" w:line="302" w:lineRule="exact"/>
        <w:rPr>
          <w:sz w:val="20"/>
          <w:szCs w:val="20"/>
          <w:color w:val="auto"/>
        </w:rPr>
      </w:pPr>
    </w:p>
    <w:p>
      <w:pPr>
        <w:ind w:left="120"/>
        <w:spacing w:after="0"/>
        <w:rPr>
          <w:rFonts w:ascii="Arial" w:cs="Arial" w:eastAsia="Arial" w:hAnsi="Arial"/>
          <w:sz w:val="16"/>
          <w:szCs w:val="16"/>
          <w:u w:val="single" w:color="auto"/>
          <w:color w:val="0000FF"/>
        </w:rPr>
      </w:pPr>
      <w:hyperlink r:id="rId111">
        <w:r>
          <w:rPr>
            <w:rFonts w:ascii="Arial" w:cs="Arial" w:eastAsia="Arial" w:hAnsi="Arial"/>
            <w:sz w:val="16"/>
            <w:szCs w:val="16"/>
            <w:u w:val="single" w:color="auto"/>
            <w:color w:val="0000FF"/>
          </w:rPr>
          <w:t>4.14</w:t>
        </w:r>
      </w:hyperlink>
    </w:p>
    <w:p>
      <w:pPr>
        <w:spacing w:after="0" w:line="397" w:lineRule="exact"/>
        <w:rPr>
          <w:sz w:val="20"/>
          <w:szCs w:val="20"/>
          <w:color w:val="auto"/>
        </w:rPr>
      </w:pPr>
    </w:p>
    <w:p>
      <w:pPr>
        <w:ind w:left="120"/>
        <w:spacing w:after="0"/>
        <w:rPr>
          <w:rFonts w:ascii="Arial" w:cs="Arial" w:eastAsia="Arial" w:hAnsi="Arial"/>
          <w:sz w:val="16"/>
          <w:szCs w:val="16"/>
          <w:u w:val="single" w:color="auto"/>
          <w:color w:val="0000FF"/>
        </w:rPr>
      </w:pPr>
      <w:hyperlink r:id="rId114">
        <w:r>
          <w:rPr>
            <w:rFonts w:ascii="Arial" w:cs="Arial" w:eastAsia="Arial" w:hAnsi="Arial"/>
            <w:sz w:val="16"/>
            <w:szCs w:val="16"/>
            <w:u w:val="single" w:color="auto"/>
            <w:color w:val="0000FF"/>
          </w:rPr>
          <w:t>4.15</w:t>
        </w:r>
      </w:hyperlink>
    </w:p>
    <w:p>
      <w:pPr>
        <w:spacing w:after="0" w:line="200" w:lineRule="exact"/>
        <w:rPr>
          <w:sz w:val="20"/>
          <w:szCs w:val="20"/>
          <w:color w:val="auto"/>
        </w:rPr>
      </w:pPr>
    </w:p>
    <w:p>
      <w:pPr>
        <w:spacing w:after="0" w:line="372" w:lineRule="exact"/>
        <w:rPr>
          <w:sz w:val="20"/>
          <w:szCs w:val="20"/>
          <w:color w:val="auto"/>
        </w:rPr>
      </w:pPr>
    </w:p>
    <w:p>
      <w:pPr>
        <w:ind w:left="120"/>
        <w:spacing w:after="0"/>
        <w:rPr>
          <w:rFonts w:ascii="Arial" w:cs="Arial" w:eastAsia="Arial" w:hAnsi="Arial"/>
          <w:sz w:val="16"/>
          <w:szCs w:val="16"/>
          <w:u w:val="single" w:color="auto"/>
          <w:color w:val="0000FF"/>
        </w:rPr>
      </w:pPr>
      <w:hyperlink r:id="rId115">
        <w:r>
          <w:rPr>
            <w:rFonts w:ascii="Arial" w:cs="Arial" w:eastAsia="Arial" w:hAnsi="Arial"/>
            <w:sz w:val="16"/>
            <w:szCs w:val="16"/>
            <w:u w:val="single" w:color="auto"/>
            <w:color w:val="0000FF"/>
          </w:rPr>
          <w:t>4.16</w:t>
        </w:r>
      </w:hyperlink>
    </w:p>
    <w:p>
      <w:pPr>
        <w:spacing w:after="0" w:line="397" w:lineRule="exact"/>
        <w:rPr>
          <w:sz w:val="20"/>
          <w:szCs w:val="20"/>
          <w:color w:val="auto"/>
        </w:rPr>
      </w:pPr>
    </w:p>
    <w:p>
      <w:pPr>
        <w:ind w:left="120"/>
        <w:spacing w:after="0"/>
        <w:rPr>
          <w:rFonts w:ascii="Arial" w:cs="Arial" w:eastAsia="Arial" w:hAnsi="Arial"/>
          <w:sz w:val="16"/>
          <w:szCs w:val="16"/>
          <w:u w:val="single" w:color="auto"/>
          <w:color w:val="0000FF"/>
        </w:rPr>
      </w:pPr>
      <w:hyperlink r:id="rId115">
        <w:r>
          <w:rPr>
            <w:rFonts w:ascii="Arial" w:cs="Arial" w:eastAsia="Arial" w:hAnsi="Arial"/>
            <w:sz w:val="16"/>
            <w:szCs w:val="16"/>
            <w:u w:val="single" w:color="auto"/>
            <w:color w:val="0000FF"/>
          </w:rPr>
          <w:t>4.17</w:t>
        </w:r>
      </w:hyperlink>
    </w:p>
    <w:p>
      <w:pPr>
        <w:spacing w:after="0" w:line="397" w:lineRule="exact"/>
        <w:rPr>
          <w:sz w:val="20"/>
          <w:szCs w:val="20"/>
          <w:color w:val="auto"/>
        </w:rPr>
      </w:pPr>
    </w:p>
    <w:p>
      <w:pPr>
        <w:ind w:left="120"/>
        <w:spacing w:after="0"/>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4.18</w:t>
        </w:r>
      </w:hyperlink>
    </w:p>
    <w:p>
      <w:pPr>
        <w:spacing w:after="0" w:line="397" w:lineRule="exact"/>
        <w:rPr>
          <w:sz w:val="20"/>
          <w:szCs w:val="20"/>
          <w:color w:val="auto"/>
        </w:rPr>
      </w:pPr>
    </w:p>
    <w:p>
      <w:pPr>
        <w:ind w:left="120"/>
        <w:spacing w:after="0"/>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4.19</w:t>
        </w:r>
      </w:hyperlink>
    </w:p>
    <w:p>
      <w:pPr>
        <w:spacing w:after="0" w:line="397" w:lineRule="exact"/>
        <w:rPr>
          <w:sz w:val="20"/>
          <w:szCs w:val="20"/>
          <w:color w:val="auto"/>
        </w:rPr>
      </w:pPr>
    </w:p>
    <w:p>
      <w:pPr>
        <w:ind w:left="120"/>
        <w:spacing w:after="0"/>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10.1</w:t>
        </w:r>
      </w:hyperlink>
    </w:p>
    <w:p>
      <w:pPr>
        <w:spacing w:after="0" w:line="20" w:lineRule="exact"/>
        <w:rPr>
          <w:sz w:val="20"/>
          <w:szCs w:val="20"/>
          <w:color w:val="auto"/>
        </w:rPr>
      </w:pPr>
      <w:r>
        <w:rPr>
          <w:sz w:val="20"/>
          <w:szCs w:val="20"/>
          <w:color w:val="auto"/>
        </w:rPr>
        <w:br w:type="column"/>
      </w:r>
    </w:p>
    <w:p>
      <w:pPr>
        <w:ind w:right="1060"/>
        <w:spacing w:after="0" w:line="219" w:lineRule="auto"/>
        <w:rPr>
          <w:sz w:val="20"/>
          <w:szCs w:val="20"/>
          <w:color w:val="auto"/>
        </w:rPr>
      </w:pPr>
      <w:r>
        <w:rPr>
          <w:rFonts w:ascii="Arial" w:cs="Arial" w:eastAsia="Arial" w:hAnsi="Arial"/>
          <w:sz w:val="18"/>
          <w:szCs w:val="18"/>
          <w:color w:val="auto"/>
        </w:rPr>
        <w:t>Indenture, dated as of October 1, 2019, by and among Marriott Ownership Resorts, Inc., Marriott Vacations Worldwide Corporation, as guarantor, the other guarantors party thereto and The Bank of New York Mellon Trust Company, N.A., as trustee</w:t>
      </w:r>
    </w:p>
    <w:p>
      <w:pPr>
        <w:spacing w:after="0" w:line="1" w:lineRule="exact"/>
        <w:rPr>
          <w:sz w:val="20"/>
          <w:szCs w:val="20"/>
          <w:color w:val="auto"/>
        </w:rPr>
      </w:pPr>
    </w:p>
    <w:p>
      <w:pPr>
        <w:jc w:val="both"/>
        <w:ind w:right="980"/>
        <w:spacing w:after="0" w:line="224" w:lineRule="auto"/>
        <w:rPr>
          <w:sz w:val="20"/>
          <w:szCs w:val="20"/>
          <w:color w:val="auto"/>
        </w:rPr>
      </w:pPr>
      <w:r>
        <w:rPr>
          <w:rFonts w:ascii="Arial" w:cs="Arial" w:eastAsia="Arial" w:hAnsi="Arial"/>
          <w:sz w:val="18"/>
          <w:szCs w:val="18"/>
          <w:color w:val="auto"/>
        </w:rPr>
        <w:t>Supplemental Indenture, dated December 31, 2019, by and among Marriott Ownership Resorts, Inc., MVW Vacations, LLC and the Bank of New York Mellon Trust Company, N.A., as trustee</w:t>
      </w:r>
    </w:p>
    <w:p>
      <w:pPr>
        <w:spacing w:after="0" w:line="1" w:lineRule="exact"/>
        <w:rPr>
          <w:sz w:val="20"/>
          <w:szCs w:val="20"/>
          <w:color w:val="auto"/>
        </w:rPr>
      </w:pPr>
    </w:p>
    <w:p>
      <w:pPr>
        <w:ind w:right="880"/>
        <w:spacing w:after="0" w:line="224" w:lineRule="auto"/>
        <w:rPr>
          <w:sz w:val="20"/>
          <w:szCs w:val="20"/>
          <w:color w:val="auto"/>
        </w:rPr>
      </w:pPr>
      <w:r>
        <w:rPr>
          <w:rFonts w:ascii="Arial" w:cs="Arial" w:eastAsia="Arial" w:hAnsi="Arial"/>
          <w:sz w:val="18"/>
          <w:szCs w:val="18"/>
          <w:color w:val="auto"/>
        </w:rPr>
        <w:t>Second Supplemental Indenture, dated February 26, 2020, by and among Marriott Ownership Resorts, Inc., MVW Services Corporation, and the Bank of New York Mellow Trust Company, N.A., as trustee</w:t>
      </w:r>
    </w:p>
    <w:p>
      <w:pPr>
        <w:spacing w:after="0" w:line="1" w:lineRule="exact"/>
        <w:rPr>
          <w:sz w:val="20"/>
          <w:szCs w:val="20"/>
          <w:color w:val="auto"/>
        </w:rPr>
      </w:pPr>
    </w:p>
    <w:p>
      <w:pPr>
        <w:ind w:right="760"/>
        <w:spacing w:after="0" w:line="234" w:lineRule="auto"/>
        <w:rPr>
          <w:sz w:val="20"/>
          <w:szCs w:val="20"/>
          <w:color w:val="auto"/>
        </w:rPr>
      </w:pPr>
      <w:r>
        <w:rPr>
          <w:rFonts w:ascii="Arial" w:cs="Arial" w:eastAsia="Arial" w:hAnsi="Arial"/>
          <w:sz w:val="18"/>
          <w:szCs w:val="18"/>
          <w:color w:val="auto"/>
        </w:rPr>
        <w:t>Form of 4.750% Senior Notes due 2028 (included as Exhibit A to Exhibit 4.11 above)</w:t>
      </w:r>
    </w:p>
    <w:p>
      <w:pPr>
        <w:spacing w:after="0" w:line="1" w:lineRule="exact"/>
        <w:rPr>
          <w:sz w:val="20"/>
          <w:szCs w:val="20"/>
          <w:color w:val="auto"/>
        </w:rPr>
      </w:pPr>
    </w:p>
    <w:p>
      <w:pPr>
        <w:ind w:right="800"/>
        <w:spacing w:after="0" w:line="219" w:lineRule="auto"/>
        <w:rPr>
          <w:sz w:val="20"/>
          <w:szCs w:val="20"/>
          <w:color w:val="auto"/>
        </w:rPr>
      </w:pPr>
      <w:r>
        <w:rPr>
          <w:rFonts w:ascii="Arial" w:cs="Arial" w:eastAsia="Arial" w:hAnsi="Arial"/>
          <w:sz w:val="18"/>
          <w:szCs w:val="18"/>
          <w:color w:val="auto"/>
        </w:rPr>
        <w:t>Registration Rights Agreement, dated as of October 1, 2019, by and among Marriott Ownership Resorts, Inc., Marriott Vacations Worldwide Corporation, as guarantor, the other guarantors party thereto and J.P. Morgan Securities LLC</w:t>
      </w:r>
    </w:p>
    <w:p>
      <w:pPr>
        <w:spacing w:after="0" w:line="1" w:lineRule="exact"/>
        <w:rPr>
          <w:sz w:val="20"/>
          <w:szCs w:val="20"/>
          <w:color w:val="auto"/>
        </w:rPr>
      </w:pPr>
    </w:p>
    <w:p>
      <w:pPr>
        <w:ind w:right="1060"/>
        <w:spacing w:after="0" w:line="232" w:lineRule="auto"/>
        <w:rPr>
          <w:sz w:val="20"/>
          <w:szCs w:val="20"/>
          <w:color w:val="auto"/>
        </w:rPr>
      </w:pPr>
      <w:r>
        <w:rPr>
          <w:rFonts w:ascii="Arial" w:cs="Arial" w:eastAsia="Arial" w:hAnsi="Arial"/>
          <w:sz w:val="17"/>
          <w:szCs w:val="17"/>
          <w:color w:val="auto"/>
        </w:rPr>
        <w:t>Indenture, dated as of May 13, 2020, by and among Marriott Ownership Resorts, Inc., Marriott Vacations Worldwide Corporation, as guarantor, the other guarantors party thereto and The Bank of New York Mellon Trust Company, N.A., as trustee and collateral agent</w:t>
      </w:r>
    </w:p>
    <w:p>
      <w:pPr>
        <w:ind w:right="1060"/>
        <w:spacing w:after="0" w:line="234" w:lineRule="auto"/>
        <w:rPr>
          <w:sz w:val="20"/>
          <w:szCs w:val="20"/>
          <w:color w:val="auto"/>
        </w:rPr>
      </w:pPr>
      <w:r>
        <w:rPr>
          <w:rFonts w:ascii="Arial" w:cs="Arial" w:eastAsia="Arial" w:hAnsi="Arial"/>
          <w:sz w:val="18"/>
          <w:szCs w:val="18"/>
          <w:color w:val="auto"/>
        </w:rPr>
        <w:t>Form of 6.125% Senior Secured Notes due 2025 (included as Exhibit A to Exhibit 4.16)</w:t>
      </w:r>
    </w:p>
    <w:p>
      <w:pPr>
        <w:spacing w:after="0" w:line="1" w:lineRule="exact"/>
        <w:rPr>
          <w:sz w:val="20"/>
          <w:szCs w:val="20"/>
          <w:color w:val="auto"/>
        </w:rPr>
      </w:pPr>
    </w:p>
    <w:p>
      <w:pPr>
        <w:ind w:right="900"/>
        <w:spacing w:after="0" w:line="219" w:lineRule="auto"/>
        <w:rPr>
          <w:sz w:val="20"/>
          <w:szCs w:val="20"/>
          <w:color w:val="auto"/>
        </w:rPr>
      </w:pPr>
      <w:r>
        <w:rPr>
          <w:rFonts w:ascii="Arial" w:cs="Arial" w:eastAsia="Arial" w:hAnsi="Arial"/>
          <w:sz w:val="18"/>
          <w:szCs w:val="18"/>
          <w:color w:val="auto"/>
        </w:rPr>
        <w:t>Indenture, dated as of February 2, 2021, by and among Marriott Vacations Worldwide Corporation, Marriott Ownership Resorts, Inc. and the other guarantors party thereto and The Bank of New York Mellon Trust Company, N.A., as trustee</w:t>
      </w:r>
    </w:p>
    <w:p>
      <w:pPr>
        <w:spacing w:after="0" w:line="1" w:lineRule="exact"/>
        <w:rPr>
          <w:sz w:val="20"/>
          <w:szCs w:val="20"/>
          <w:color w:val="auto"/>
        </w:rPr>
      </w:pPr>
    </w:p>
    <w:p>
      <w:pPr>
        <w:ind w:right="960"/>
        <w:spacing w:after="0" w:line="234" w:lineRule="auto"/>
        <w:rPr>
          <w:sz w:val="20"/>
          <w:szCs w:val="20"/>
          <w:color w:val="auto"/>
        </w:rPr>
      </w:pPr>
      <w:r>
        <w:rPr>
          <w:rFonts w:ascii="Arial" w:cs="Arial" w:eastAsia="Arial" w:hAnsi="Arial"/>
          <w:sz w:val="18"/>
          <w:szCs w:val="18"/>
          <w:color w:val="auto"/>
        </w:rPr>
        <w:t>Form of 0.00% Convertible Senior Note due 2026 (included as Exhibit A to Exhibit 4.18 above)</w:t>
      </w:r>
    </w:p>
    <w:p>
      <w:pPr>
        <w:spacing w:after="0" w:line="1" w:lineRule="exact"/>
        <w:rPr>
          <w:sz w:val="20"/>
          <w:szCs w:val="20"/>
          <w:color w:val="auto"/>
        </w:rPr>
      </w:pPr>
    </w:p>
    <w:p>
      <w:pPr>
        <w:ind w:right="800"/>
        <w:spacing w:after="0" w:line="219" w:lineRule="auto"/>
        <w:rPr>
          <w:sz w:val="20"/>
          <w:szCs w:val="20"/>
          <w:color w:val="auto"/>
        </w:rPr>
      </w:pPr>
      <w:r>
        <w:rPr>
          <w:rFonts w:ascii="Arial" w:cs="Arial" w:eastAsia="Arial" w:hAnsi="Arial"/>
          <w:sz w:val="18"/>
          <w:szCs w:val="18"/>
          <w:color w:val="auto"/>
        </w:rPr>
        <w:t>Waiver to Credit Agreement, dated as of May 14, 2020, by and among Marriott Vacations Worldwide Corporation, Marriott Ownership Resorts, Inc., the Revolving Credit Lenders party thereto and JPMorgan Chase Bank, N.A., as administrative agent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40"/>
        <w:spacing w:after="0"/>
        <w:tabs>
          <w:tab w:leader="none" w:pos="1000" w:val="left"/>
          <w:tab w:leader="none" w:pos="18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10/1/2019</w:t>
      </w:r>
    </w:p>
    <w:p>
      <w:pPr>
        <w:spacing w:after="0" w:line="200" w:lineRule="exact"/>
        <w:rPr>
          <w:sz w:val="20"/>
          <w:szCs w:val="20"/>
          <w:color w:val="auto"/>
        </w:rPr>
      </w:pPr>
    </w:p>
    <w:p>
      <w:pPr>
        <w:spacing w:after="0" w:line="268" w:lineRule="exact"/>
        <w:rPr>
          <w:sz w:val="20"/>
          <w:szCs w:val="20"/>
          <w:color w:val="auto"/>
        </w:rPr>
      </w:pPr>
    </w:p>
    <w:p>
      <w:pPr>
        <w:spacing w:after="0"/>
        <w:tabs>
          <w:tab w:leader="none" w:pos="960" w:val="left"/>
          <w:tab w:leader="none" w:pos="19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3/2/2020</w:t>
      </w:r>
    </w:p>
    <w:p>
      <w:pPr>
        <w:spacing w:after="0" w:line="374" w:lineRule="exact"/>
        <w:rPr>
          <w:sz w:val="20"/>
          <w:szCs w:val="20"/>
          <w:color w:val="auto"/>
        </w:rPr>
      </w:pPr>
    </w:p>
    <w:p>
      <w:pPr>
        <w:spacing w:after="0"/>
        <w:tabs>
          <w:tab w:leader="none" w:pos="960" w:val="left"/>
          <w:tab w:leader="none" w:pos="19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3/2/2020</w:t>
      </w:r>
    </w:p>
    <w:p>
      <w:pPr>
        <w:spacing w:after="0" w:line="279" w:lineRule="exact"/>
        <w:rPr>
          <w:sz w:val="20"/>
          <w:szCs w:val="20"/>
          <w:color w:val="auto"/>
        </w:rPr>
      </w:pPr>
    </w:p>
    <w:p>
      <w:pPr>
        <w:ind w:left="40"/>
        <w:spacing w:after="0"/>
        <w:tabs>
          <w:tab w:leader="none" w:pos="1000" w:val="left"/>
          <w:tab w:leader="none" w:pos="18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10/1/2019</w:t>
      </w:r>
    </w:p>
    <w:p>
      <w:pPr>
        <w:spacing w:after="0" w:line="374" w:lineRule="exact"/>
        <w:rPr>
          <w:sz w:val="20"/>
          <w:szCs w:val="20"/>
          <w:color w:val="auto"/>
        </w:rPr>
      </w:pPr>
    </w:p>
    <w:p>
      <w:pPr>
        <w:ind w:left="40"/>
        <w:spacing w:after="0"/>
        <w:tabs>
          <w:tab w:leader="none" w:pos="1000" w:val="left"/>
          <w:tab w:leader="none" w:pos="18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10/1/2019</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000" w:val="left"/>
          <w:tab w:leader="none" w:pos="18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5/15/2020</w:t>
      </w:r>
    </w:p>
    <w:p>
      <w:pPr>
        <w:spacing w:after="0" w:line="374" w:lineRule="exact"/>
        <w:rPr>
          <w:sz w:val="20"/>
          <w:szCs w:val="20"/>
          <w:color w:val="auto"/>
        </w:rPr>
      </w:pPr>
    </w:p>
    <w:p>
      <w:pPr>
        <w:ind w:left="40"/>
        <w:spacing w:after="0"/>
        <w:tabs>
          <w:tab w:leader="none" w:pos="1000" w:val="left"/>
          <w:tab w:leader="none" w:pos="18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5/15/2020</w:t>
      </w:r>
    </w:p>
    <w:p>
      <w:pPr>
        <w:spacing w:after="0" w:line="374" w:lineRule="exact"/>
        <w:rPr>
          <w:sz w:val="20"/>
          <w:szCs w:val="20"/>
          <w:color w:val="auto"/>
        </w:rPr>
      </w:pPr>
    </w:p>
    <w:p>
      <w:pPr>
        <w:ind w:left="40"/>
        <w:spacing w:after="0"/>
        <w:tabs>
          <w:tab w:leader="none" w:pos="1000" w:val="left"/>
          <w:tab w:leader="none" w:pos="19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2/3/2021</w:t>
      </w:r>
    </w:p>
    <w:p>
      <w:pPr>
        <w:spacing w:after="0" w:line="374" w:lineRule="exact"/>
        <w:rPr>
          <w:sz w:val="20"/>
          <w:szCs w:val="20"/>
          <w:color w:val="auto"/>
        </w:rPr>
      </w:pPr>
    </w:p>
    <w:p>
      <w:pPr>
        <w:ind w:left="40"/>
        <w:spacing w:after="0"/>
        <w:tabs>
          <w:tab w:leader="none" w:pos="1000" w:val="left"/>
          <w:tab w:leader="none" w:pos="19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2/3/2021</w:t>
      </w:r>
    </w:p>
    <w:p>
      <w:pPr>
        <w:spacing w:after="0" w:line="374" w:lineRule="exact"/>
        <w:rPr>
          <w:sz w:val="20"/>
          <w:szCs w:val="20"/>
          <w:color w:val="auto"/>
        </w:rPr>
      </w:pPr>
    </w:p>
    <w:p>
      <w:pPr>
        <w:ind w:left="40"/>
        <w:spacing w:after="0"/>
        <w:tabs>
          <w:tab w:leader="none" w:pos="1000" w:val="left"/>
          <w:tab w:leader="none" w:pos="18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5/15/2020</w:t>
      </w:r>
    </w:p>
    <w:p>
      <w:pPr>
        <w:spacing w:after="0" w:line="293" w:lineRule="exact"/>
        <w:rPr>
          <w:sz w:val="20"/>
          <w:szCs w:val="20"/>
          <w:color w:val="auto"/>
        </w:rPr>
      </w:pPr>
    </w:p>
    <w:p>
      <w:pPr>
        <w:sectPr>
          <w:pgSz w:w="11900" w:h="16838" w:orient="portrait"/>
          <w:cols w:equalWidth="0" w:num="3">
            <w:col w:w="440" w:space="440"/>
            <w:col w:w="6420" w:space="720"/>
            <w:col w:w="2900"/>
          </w:cols>
          <w:pgMar w:left="580" w:top="233" w:right="399" w:bottom="1440" w:gutter="0" w:footer="0" w:header="0"/>
          <w:type w:val="continuous"/>
        </w:sectPr>
      </w:pPr>
    </w:p>
    <w:p>
      <w:pPr>
        <w:ind w:left="120"/>
        <w:spacing w:after="0"/>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4.19</w:t>
        </w:r>
      </w:hyperlink>
    </w:p>
    <w:p>
      <w:pPr>
        <w:spacing w:after="0" w:line="46" w:lineRule="exact"/>
        <w:rPr>
          <w:sz w:val="20"/>
          <w:szCs w:val="20"/>
          <w:color w:val="auto"/>
        </w:rPr>
      </w:pPr>
    </w:p>
    <w:p>
      <w:pPr>
        <w:ind w:left="120"/>
        <w:spacing w:after="0"/>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22.1</w:t>
        </w:r>
      </w:hyperlink>
    </w:p>
    <w:p>
      <w:pPr>
        <w:spacing w:after="0" w:line="126" w:lineRule="exact"/>
        <w:rPr>
          <w:sz w:val="20"/>
          <w:szCs w:val="20"/>
          <w:color w:val="auto"/>
        </w:rPr>
      </w:pPr>
    </w:p>
    <w:p>
      <w:pPr>
        <w:ind w:left="120"/>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31.1</w:t>
        </w:r>
      </w:hyperlink>
    </w:p>
    <w:p>
      <w:pPr>
        <w:spacing w:after="0" w:line="221" w:lineRule="exact"/>
        <w:rPr>
          <w:sz w:val="20"/>
          <w:szCs w:val="20"/>
          <w:color w:val="auto"/>
        </w:rPr>
      </w:pPr>
    </w:p>
    <w:p>
      <w:pPr>
        <w:ind w:left="120"/>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31.2</w:t>
        </w:r>
      </w:hyperlink>
    </w:p>
    <w:p>
      <w:pPr>
        <w:spacing w:after="0" w:line="221" w:lineRule="exact"/>
        <w:rPr>
          <w:sz w:val="20"/>
          <w:szCs w:val="20"/>
          <w:color w:val="auto"/>
        </w:rPr>
      </w:pPr>
    </w:p>
    <w:p>
      <w:pPr>
        <w:ind w:left="120"/>
        <w:spacing w:after="0"/>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32.1</w:t>
        </w:r>
      </w:hyperlink>
    </w:p>
    <w:p>
      <w:pPr>
        <w:spacing w:after="0" w:line="221" w:lineRule="exact"/>
        <w:rPr>
          <w:sz w:val="20"/>
          <w:szCs w:val="20"/>
          <w:color w:val="auto"/>
        </w:rPr>
      </w:pPr>
    </w:p>
    <w:p>
      <w:pPr>
        <w:ind w:left="120"/>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32.2</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Description of Registered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List of the Issuer and its Guarantor Subsidiaries</w:t>
      </w:r>
    </w:p>
    <w:p>
      <w:pPr>
        <w:spacing w:after="0" w:line="23"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p>
      <w:pPr>
        <w:spacing w:after="0" w:line="1"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p>
      <w:pPr>
        <w:spacing w:after="0" w:line="1"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p>
      <w:pPr>
        <w:spacing w:after="0" w:line="1"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20" w:type="dxa"/>
        <w:tblCellMar>
          <w:top w:w="0" w:type="dxa"/>
          <w:left w:w="0" w:type="dxa"/>
          <w:bottom w:w="0" w:type="dxa"/>
          <w:right w:w="0" w:type="dxa"/>
        </w:tblCellMar>
      </w:tblPr>
      <w:tr>
        <w:trPr>
          <w:trHeight w:val="229"/>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4.16</w:t>
            </w:r>
          </w:p>
        </w:tc>
        <w:tc>
          <w:tcPr>
            <w:tcW w:w="1040" w:type="dxa"/>
            <w:vAlign w:val="bottom"/>
          </w:tcPr>
          <w:p>
            <w:pPr>
              <w:jc w:val="right"/>
              <w:spacing w:after="0"/>
              <w:rPr>
                <w:sz w:val="20"/>
                <w:szCs w:val="20"/>
                <w:color w:val="auto"/>
              </w:rPr>
            </w:pPr>
            <w:r>
              <w:rPr>
                <w:rFonts w:ascii="Arial" w:cs="Arial" w:eastAsia="Arial" w:hAnsi="Arial"/>
                <w:sz w:val="18"/>
                <w:szCs w:val="18"/>
                <w:color w:val="auto"/>
              </w:rPr>
              <w:t>3/2/2020</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22.1</w:t>
            </w:r>
          </w:p>
        </w:tc>
        <w:tc>
          <w:tcPr>
            <w:tcW w:w="1040" w:type="dxa"/>
            <w:vAlign w:val="bottom"/>
          </w:tcPr>
          <w:p>
            <w:pPr>
              <w:jc w:val="right"/>
              <w:spacing w:after="0"/>
              <w:rPr>
                <w:sz w:val="20"/>
                <w:szCs w:val="20"/>
                <w:color w:val="auto"/>
              </w:rPr>
            </w:pPr>
            <w:r>
              <w:rPr>
                <w:rFonts w:ascii="Arial" w:cs="Arial" w:eastAsia="Arial" w:hAnsi="Arial"/>
                <w:sz w:val="18"/>
                <w:szCs w:val="18"/>
                <w:color w:val="auto"/>
              </w:rPr>
              <w:t>11/5/2020</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Furnished</w:t>
      </w:r>
    </w:p>
    <w:p>
      <w:pPr>
        <w:spacing w:after="0" w:line="19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Furnished</w:t>
      </w:r>
    </w:p>
    <w:p>
      <w:pPr>
        <w:spacing w:after="0" w:line="117" w:lineRule="exact"/>
        <w:rPr>
          <w:sz w:val="20"/>
          <w:szCs w:val="20"/>
          <w:color w:val="auto"/>
        </w:rPr>
      </w:pPr>
    </w:p>
    <w:p>
      <w:pPr>
        <w:sectPr>
          <w:pgSz w:w="11900" w:h="16838" w:orient="portrait"/>
          <w:cols w:equalWidth="0" w:num="3">
            <w:col w:w="440" w:space="440"/>
            <w:col w:w="5500" w:space="720"/>
            <w:col w:w="3820"/>
          </w:cols>
          <w:pgMar w:left="580" w:top="233" w:right="39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The following financial statements from the Company’s Quarterly Report on Form 10-Q for the quarter ended March 31, 2021, formatted</w:t>
      </w:r>
    </w:p>
    <w:p>
      <w:pPr>
        <w:spacing w:after="0" w:line="7" w:lineRule="exact"/>
        <w:rPr>
          <w:sz w:val="20"/>
          <w:szCs w:val="20"/>
          <w:color w:val="auto"/>
        </w:rPr>
      </w:pPr>
    </w:p>
    <w:p>
      <w:pPr>
        <w:ind w:left="880" w:right="440" w:hanging="734"/>
        <w:spacing w:after="0" w:line="184" w:lineRule="auto"/>
        <w:tabs>
          <w:tab w:leader="none" w:pos="880" w:val="left"/>
        </w:tabs>
        <w:numPr>
          <w:ilvl w:val="0"/>
          <w:numId w:val="34"/>
        </w:numPr>
        <w:rPr>
          <w:rFonts w:ascii="Arial" w:cs="Arial" w:eastAsia="Arial" w:hAnsi="Arial"/>
          <w:sz w:val="32"/>
          <w:szCs w:val="32"/>
          <w:color w:val="auto"/>
          <w:vertAlign w:val="subscript"/>
        </w:rPr>
      </w:pPr>
      <w:r>
        <w:rPr>
          <w:rFonts w:ascii="Arial" w:cs="Arial" w:eastAsia="Arial" w:hAnsi="Arial"/>
          <w:sz w:val="16"/>
          <w:szCs w:val="16"/>
          <w:color w:val="auto"/>
        </w:rPr>
        <w:t>in Inline XBRL: (i) Interim Consolidated Statements of Income, (ii) Interim Consolidated Statements of Comprehensive Income, (iii) Interim Consolidated Balance Sheets, (iv) Interim Consolidated Statements of Cash Flows, (v) Interim Consolidated Statements of Shareholders’ Equity, and (vi) Notes to Interim Consolidated Financial Statements</w:t>
      </w:r>
    </w:p>
    <w:p>
      <w:pPr>
        <w:spacing w:after="0" w:line="1" w:lineRule="exact"/>
        <w:rPr>
          <w:sz w:val="20"/>
          <w:szCs w:val="20"/>
          <w:color w:val="auto"/>
        </w:rPr>
      </w:pPr>
    </w:p>
    <w:p>
      <w:pPr>
        <w:ind w:left="880" w:right="60" w:hanging="734"/>
        <w:spacing w:after="0" w:line="183" w:lineRule="auto"/>
        <w:tabs>
          <w:tab w:leader="none" w:pos="880" w:val="left"/>
        </w:tabs>
        <w:numPr>
          <w:ilvl w:val="0"/>
          <w:numId w:val="35"/>
        </w:numPr>
        <w:rPr>
          <w:rFonts w:ascii="Arial" w:cs="Arial" w:eastAsia="Arial" w:hAnsi="Arial"/>
          <w:sz w:val="30"/>
          <w:szCs w:val="30"/>
          <w:color w:val="auto"/>
          <w:vertAlign w:val="subscript"/>
        </w:rPr>
      </w:pPr>
      <w:r>
        <w:rPr>
          <w:rFonts w:ascii="Arial" w:cs="Arial" w:eastAsia="Arial" w:hAnsi="Arial"/>
          <w:sz w:val="16"/>
          <w:szCs w:val="16"/>
          <w:color w:val="auto"/>
        </w:rPr>
        <w:t>The cover page from the Company’s Quarterly Report on Form 10-Q for the quarter ended March 31, 2021, formatted in Inline XBRL and contained in Exhibit 101</w:t>
      </w:r>
    </w:p>
    <w:p>
      <w:pPr>
        <w:spacing w:after="0" w:line="217" w:lineRule="exact"/>
        <w:rPr>
          <w:sz w:val="20"/>
          <w:szCs w:val="20"/>
          <w:color w:val="auto"/>
        </w:rPr>
      </w:pPr>
    </w:p>
    <w:p>
      <w:pPr>
        <w:ind w:left="840" w:right="340" w:hanging="624"/>
        <w:spacing w:after="0" w:line="180" w:lineRule="auto"/>
        <w:tabs>
          <w:tab w:leader="none" w:pos="840" w:val="left"/>
        </w:tabs>
        <w:numPr>
          <w:ilvl w:val="0"/>
          <w:numId w:val="36"/>
        </w:numPr>
        <w:rPr>
          <w:rFonts w:ascii="Arial" w:cs="Arial" w:eastAsia="Arial" w:hAnsi="Arial"/>
          <w:sz w:val="31"/>
          <w:szCs w:val="31"/>
          <w:color w:val="auto"/>
          <w:vertAlign w:val="subscript"/>
        </w:rPr>
      </w:pPr>
      <w:r>
        <w:rPr>
          <w:rFonts w:ascii="Arial" w:cs="Arial" w:eastAsia="Arial" w:hAnsi="Arial"/>
          <w:sz w:val="16"/>
          <w:szCs w:val="16"/>
          <w:color w:val="auto"/>
        </w:rPr>
        <w:t>Schedules have been omitted pursuant to Item 601(b)(2) of Regulation S-K. The Company agrees to furnish supplemental copies to the SEC of any omitted schedule upon request by the SEC.</w:t>
      </w:r>
    </w:p>
    <w:p>
      <w:pPr>
        <w:spacing w:after="0" w:line="28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293370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80" w:top="233" w:right="399" w:bottom="1440" w:gutter="0" w:footer="0" w:header="0"/>
          <w:type w:val="continuous"/>
        </w:sectPr>
      </w:pPr>
    </w:p>
    <w:bookmarkStart w:id="62" w:name="page63"/>
    <w:bookmarkEnd w:id="6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8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MARRIOTT VACATIONS WORLDWIDE CORPORATION</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820" w:type="dxa"/>
            <w:vAlign w:val="bottom"/>
          </w:tcPr>
          <w:p>
            <w:pPr>
              <w:ind w:left="120"/>
              <w:spacing w:after="0"/>
              <w:rPr>
                <w:sz w:val="20"/>
                <w:szCs w:val="20"/>
                <w:color w:val="auto"/>
              </w:rPr>
            </w:pPr>
            <w:r>
              <w:rPr>
                <w:rFonts w:ascii="Arial" w:cs="Arial" w:eastAsia="Arial" w:hAnsi="Arial"/>
                <w:sz w:val="18"/>
                <w:szCs w:val="18"/>
                <w:color w:val="auto"/>
              </w:rPr>
              <w:t>May 7, 2021</w:t>
            </w:r>
          </w:p>
        </w:tc>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P. Weisz</w:t>
            </w:r>
          </w:p>
        </w:tc>
      </w:tr>
      <w:tr>
        <w:trPr>
          <w:trHeight w:val="222"/>
        </w:trPr>
        <w:tc>
          <w:tcPr>
            <w:tcW w:w="5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Stephen P. Weisz</w:t>
            </w:r>
          </w:p>
        </w:tc>
      </w:tr>
      <w:tr>
        <w:trPr>
          <w:trHeight w:val="230"/>
        </w:trPr>
        <w:tc>
          <w:tcPr>
            <w:tcW w:w="5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26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14605</wp:posOffset>
            </wp:positionV>
            <wp:extent cx="43548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President and Chief Financial Officer</w:t>
      </w:r>
    </w:p>
    <w:p>
      <w:pPr>
        <w:spacing w:after="0" w:line="29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10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21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14605</wp:posOffset>
            </wp:positionV>
            <wp:extent cx="4200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1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20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14605</wp:posOffset>
            </wp:positionV>
            <wp:extent cx="43802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President and Chief Financial Officer</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17" w:lineRule="exact"/>
        <w:rPr>
          <w:sz w:val="20"/>
          <w:szCs w:val="20"/>
          <w:color w:val="auto"/>
        </w:rPr>
      </w:pPr>
    </w:p>
    <w:p>
      <w:pPr>
        <w:ind w:left="660" w:right="5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2021 (the “Quarterly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24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2021</w:t>
      </w:r>
    </w:p>
    <w:p>
      <w:pPr>
        <w:spacing w:after="0" w:line="200" w:lineRule="exact"/>
        <w:rPr>
          <w:sz w:val="20"/>
          <w:szCs w:val="20"/>
          <w:color w:val="auto"/>
        </w:rPr>
      </w:pPr>
    </w:p>
    <w:p>
      <w:pPr>
        <w:spacing w:after="0" w:line="25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14605</wp:posOffset>
            </wp:positionV>
            <wp:extent cx="34544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 that:</w:t>
      </w:r>
    </w:p>
    <w:p>
      <w:pPr>
        <w:spacing w:after="0" w:line="129" w:lineRule="exact"/>
        <w:rPr>
          <w:sz w:val="20"/>
          <w:szCs w:val="20"/>
          <w:color w:val="auto"/>
        </w:rPr>
      </w:pPr>
    </w:p>
    <w:p>
      <w:pPr>
        <w:ind w:left="660" w:right="5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2021 (the “Quarterly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24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2021</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36004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John E. Geller, Jr.</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President and Chief Financial Officer</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6"/>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7"/>
    </w:lvl>
  </w:abstractNum>
  <w:abstractNum w:abstractNumId="12">
    <w:nsid w:val="189A769B"/>
    <w:multiLevelType w:val="hybridMultilevel"/>
    <w:lvl w:ilvl="0">
      <w:lvlJc w:val="left"/>
      <w:lvlText w:val="%1."/>
      <w:numFmt w:val="decimal"/>
      <w:start w:val="8"/>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0"/>
    </w:lvl>
  </w:abstractNum>
  <w:abstractNum w:abstractNumId="16">
    <w:nsid w:val="836C40E"/>
    <w:multiLevelType w:val="hybridMultilevel"/>
    <w:lvl w:ilvl="0">
      <w:lvlJc w:val="left"/>
      <w:lvlText w:val="%1."/>
      <w:numFmt w:val="decimal"/>
      <w:start w:val="1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2"/>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3"/>
    </w:lvl>
  </w:abstractNum>
  <w:abstractNum w:abstractNumId="21">
    <w:nsid w:val="7C3DBD3D"/>
    <w:multiLevelType w:val="hybridMultilevel"/>
    <w:lvl w:ilvl="0">
      <w:lvlJc w:val="left"/>
      <w:lvlText w:val="•"/>
      <w:numFmt w:val="bullet"/>
      <w:start w:val="1"/>
    </w:lvl>
    <w:lvl w:ilvl="1">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14"/>
    </w:lvl>
  </w:abstractNum>
  <w:abstractNum w:abstractNumId="24">
    <w:nsid w:val="22221A70"/>
    <w:multiLevelType w:val="hybridMultilevel"/>
    <w:lvl w:ilvl="0">
      <w:lvlJc w:val="left"/>
      <w:lvlText w:val="%1."/>
      <w:numFmt w:val="decimal"/>
      <w:start w:val="15"/>
    </w:lvl>
  </w:abstractNum>
  <w:abstractNum w:abstractNumId="25">
    <w:nsid w:val="4516DDE9"/>
    <w:multiLevelType w:val="hybridMultilevel"/>
    <w:lvl w:ilvl="0">
      <w:lvlJc w:val="left"/>
      <w:lvlText w:val="%1."/>
      <w:numFmt w:val="decimal"/>
      <w:start w:val="16"/>
    </w:lvl>
  </w:abstractNum>
  <w:abstractNum w:abstractNumId="26">
    <w:nsid w:val="3006C83E"/>
    <w:multiLevelType w:val="hybridMultilevel"/>
    <w:lvl w:ilvl="0">
      <w:lvlJc w:val="left"/>
      <w:lvlText w:val="%1."/>
      <w:numFmt w:val="decimal"/>
      <w:start w:val="17"/>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lvl w:ilvl="1">
      <w:lvlJc w:val="left"/>
      <w:lvlText w:val="•"/>
      <w:numFmt w:val="bullet"/>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01"/>
    </w:lvl>
  </w:abstractNum>
  <w:abstractNum w:abstractNumId="34">
    <w:nsid w:val="7724C67E"/>
    <w:multiLevelType w:val="hybridMultilevel"/>
    <w:lvl w:ilvl="0">
      <w:lvlJc w:val="left"/>
      <w:lvlText w:val="%1"/>
      <w:numFmt w:val="decimal"/>
      <w:start w:val="104"/>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96" Type="http://schemas.openxmlformats.org/officeDocument/2006/relationships/hyperlink" Target="http://www.sec.gov/Archives/edgar/data/1524358/000119312518144431/d577638dex21.htm" TargetMode="External"/><Relationship Id="rId97" Type="http://schemas.openxmlformats.org/officeDocument/2006/relationships/hyperlink" Target="https://www.sec.gov/Archives/edgar/data/0001524358/000152435821000007/projectchampagne-mergeragr.htm" TargetMode="External"/><Relationship Id="rId98" Type="http://schemas.openxmlformats.org/officeDocument/2006/relationships/hyperlink" Target="http://www.sec.gov/Archives/edgar/data/1524358/000119312511320045/d256766dex31.htm" TargetMode="External"/><Relationship Id="rId99" Type="http://schemas.openxmlformats.org/officeDocument/2006/relationships/hyperlink" Target="http://www.sec.gov/Archives/edgar/data/1524358/000119312511320045/d256766dex32.htm" TargetMode="External"/><Relationship Id="rId100" Type="http://schemas.openxmlformats.org/officeDocument/2006/relationships/hyperlink" Target="http://www.sec.gov/Archives/edgar/data/1524358/000119312511271851/d197736dex41.htm" TargetMode="External"/><Relationship Id="rId101" Type="http://schemas.openxmlformats.org/officeDocument/2006/relationships/hyperlink" Target="http://www.sec.gov/Archives/edgar/data/1524358/000152435817000036/q3201710-qexhibit41xindent.htm" TargetMode="External"/><Relationship Id="rId102" Type="http://schemas.openxmlformats.org/officeDocument/2006/relationships/hyperlink" Target="http://www.sec.gov/Archives/edgar/data/1524358/000152435817000036/q3201710-qexhibit41xindent.htm#s5A3ABC734649FE299B9DF361BE642613" TargetMode="External"/><Relationship Id="rId103" Type="http://schemas.openxmlformats.org/officeDocument/2006/relationships/hyperlink" Target="http://www.sec.gov/Archives/edgar/data/1524358/000119312518256374/d608569dex41.htm" TargetMode="External"/><Relationship Id="rId104" Type="http://schemas.openxmlformats.org/officeDocument/2006/relationships/hyperlink" Target="http://www.sec.gov/Archives/edgar/data/1524358/000119312518266807/d597652dex47.htm" TargetMode="External"/><Relationship Id="rId105" Type="http://schemas.openxmlformats.org/officeDocument/2006/relationships/hyperlink" Target="http://www.sec.gov/Archives/edgar/data/1524358/000152435820000011/a201910-kex46xsecondsu.htm" TargetMode="External"/><Relationship Id="rId106" Type="http://schemas.openxmlformats.org/officeDocument/2006/relationships/hyperlink" Target="http://www.sec.gov/Archives/edgar/data/1524358/000152435820000011/a201910-kex47thirdsupp.htm" TargetMode="External"/><Relationship Id="rId107" Type="http://schemas.openxmlformats.org/officeDocument/2006/relationships/hyperlink" Target="http://www.sec.gov/Archives/edgar/data/1524358/000119312518256374/d608569dex43.htm" TargetMode="External"/><Relationship Id="rId108" Type="http://schemas.openxmlformats.org/officeDocument/2006/relationships/hyperlink" Target="http://www.sec.gov/Archives/edgar/data/1524358/000119312518266807/d597652dex48.htm" TargetMode="External"/><Relationship Id="rId111" Type="http://schemas.openxmlformats.org/officeDocument/2006/relationships/hyperlink" Target="http://www.sec.gov/Archives/edgar/data/1524358/000119312519259964/d812229dex41.htm" TargetMode="External"/><Relationship Id="rId112" Type="http://schemas.openxmlformats.org/officeDocument/2006/relationships/hyperlink" Target="http://www.sec.gov/Archives/edgar/data/1524358/000152435820000011/a201910-kex412suppleme.htm" TargetMode="External"/><Relationship Id="rId113" Type="http://schemas.openxmlformats.org/officeDocument/2006/relationships/hyperlink" Target="http://www.sec.gov/Archives/edgar/data/1524358/000152435820000011/a201910-kex413xseconds.htm" TargetMode="External"/><Relationship Id="rId114" Type="http://schemas.openxmlformats.org/officeDocument/2006/relationships/hyperlink" Target="http://www.sec.gov/Archives/edgar/data/1524358/000119312519259964/d812229dex43.htm" TargetMode="External"/><Relationship Id="rId115" Type="http://schemas.openxmlformats.org/officeDocument/2006/relationships/hyperlink" Target="http://www.sec.gov/Archives/edgar/data/1524358/000119312520143993/d931016dex41.htm" TargetMode="External"/><Relationship Id="rId116" Type="http://schemas.openxmlformats.org/officeDocument/2006/relationships/hyperlink" Target="https://www.sec.gov/Archives/edgar/data/0001524358/000119312521027303/d41256dex41.htm" TargetMode="External"/><Relationship Id="rId117" Type="http://schemas.openxmlformats.org/officeDocument/2006/relationships/hyperlink" Target="https://www.sec.gov/Archives/edgar/data/0001524358/000119312521027303/d41256dex41.htm#exa" TargetMode="External"/><Relationship Id="rId118" Type="http://schemas.openxmlformats.org/officeDocument/2006/relationships/hyperlink" Target="http://www.sec.gov/Archives/edgar/data/1524358/000119312520143993/d931016dex43.htm" TargetMode="External"/><Relationship Id="rId119" Type="http://schemas.openxmlformats.org/officeDocument/2006/relationships/hyperlink" Target="http://www.sec.gov/Archives/edgar/data/1524358/000152435820000011/a201910-kex416descript.htm" TargetMode="External"/><Relationship Id="rId120" Type="http://schemas.openxmlformats.org/officeDocument/2006/relationships/hyperlink" Target="https://www.sec.gov/Archives/edgar/data/0001524358/000152435820000044/a2020q3ex221xlistofth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2021-05-07T10:10:33Z</dcterms:created>
  <dcterms:modified xsi:type="dcterms:W3CDTF">2021-05-07T10:10:33Z</dcterms:modified>
</cp:coreProperties>
</file>