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37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371590"/>
                    </a:xfrm>
                    <a:prstGeom prst="rect">
                      <a:avLst/>
                    </a:prstGeom>
                    <a:noFill/>
                  </pic:spPr>
                </pic:pic>
              </a:graphicData>
            </a:graphic>
          </wp:anchor>
        </w:drawing>
      </w:r>
    </w:p>
    <w:p>
      <w:pPr>
        <w:sectPr>
          <w:pgSz w:w="11900" w:h="16838" w:orient="portrait"/>
          <w:cols w:equalWidth="0" w:num="1">
            <w:col w:w="11420"/>
          </w:cols>
          <w:pgMar w:left="240" w:top="226" w:right="239" w:bottom="837"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Marriott Stephen G</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680" w:type="dxa"/>
            <w:vAlign w:val="bottom"/>
            <w:tcBorders>
              <w:top w:val="single" w:sz="8" w:color="0000EE"/>
            </w:tcBorders>
          </w:tcPr>
          <w:p>
            <w:pPr>
              <w:spacing w:after="0"/>
              <w:rPr>
                <w:sz w:val="13"/>
                <w:szCs w:val="13"/>
                <w:color w:val="auto"/>
              </w:rPr>
            </w:pPr>
          </w:p>
        </w:tc>
        <w:tc>
          <w:tcPr>
            <w:tcW w:w="1280" w:type="dxa"/>
            <w:vAlign w:val="bottom"/>
          </w:tcPr>
          <w:p>
            <w:pPr>
              <w:spacing w:after="0"/>
              <w:rPr>
                <w:sz w:val="13"/>
                <w:szCs w:val="13"/>
                <w:color w:val="auto"/>
              </w:rPr>
            </w:pPr>
          </w:p>
        </w:tc>
        <w:tc>
          <w:tcPr>
            <w:tcW w:w="1640" w:type="dxa"/>
            <w:vAlign w:val="bottom"/>
          </w:tcPr>
          <w:p>
            <w:pPr>
              <w:ind w:left="420"/>
              <w:spacing w:after="0" w:line="155" w:lineRule="exact"/>
              <w:rPr>
                <w:sz w:val="20"/>
                <w:szCs w:val="20"/>
                <w:color w:val="auto"/>
              </w:rPr>
            </w:pPr>
            <w:r>
              <w:rPr>
                <w:rFonts w:ascii="Arial" w:cs="Arial" w:eastAsia="Arial" w:hAnsi="Arial"/>
                <w:sz w:val="16"/>
                <w:szCs w:val="16"/>
                <w:color w:val="0000FF"/>
              </w:rPr>
              <w:t>11/21/2011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Marriott Vacations Worldwide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VAC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44" w:lineRule="exact"/>
        <w:rPr>
          <w:sz w:val="24"/>
          <w:szCs w:val="24"/>
          <w:color w:val="auto"/>
        </w:rPr>
      </w:pPr>
    </w:p>
    <w:p>
      <w:pPr>
        <w:sectPr>
          <w:pgSz w:w="11900" w:h="16838" w:orient="portrait"/>
          <w:cols w:equalWidth="0" w:num="2">
            <w:col w:w="4720" w:space="480"/>
            <w:col w:w="6220"/>
          </w:cols>
          <w:pgMar w:left="240" w:top="226" w:right="239" w:bottom="837" w:gutter="0" w:footer="0" w:header="0"/>
          <w:type w:val="continuous"/>
        </w:sectPr>
      </w:pPr>
    </w:p>
    <w:p>
      <w:pPr>
        <w:spacing w:after="0" w:line="18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4"/>
              </w:rPr>
              <w:t>10400 FERNWOOD ROAD</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BETHESDA</w:t>
            </w:r>
          </w:p>
        </w:tc>
        <w:tc>
          <w:tcPr>
            <w:tcW w:w="1100" w:type="dxa"/>
            <w:vAlign w:val="bottom"/>
          </w:tcPr>
          <w:p>
            <w:pPr>
              <w:ind w:left="100"/>
              <w:spacing w:after="0"/>
              <w:rPr>
                <w:sz w:val="20"/>
                <w:szCs w:val="20"/>
                <w:color w:val="auto"/>
              </w:rPr>
            </w:pPr>
            <w:r>
              <w:rPr>
                <w:rFonts w:ascii="Arial" w:cs="Arial" w:eastAsia="Arial" w:hAnsi="Arial"/>
                <w:sz w:val="18"/>
                <w:szCs w:val="18"/>
                <w:color w:val="0000FF"/>
              </w:rPr>
              <w:t>MD</w:t>
            </w:r>
          </w:p>
        </w:tc>
        <w:tc>
          <w:tcPr>
            <w:tcW w:w="1120" w:type="dxa"/>
            <w:vAlign w:val="bottom"/>
          </w:tcPr>
          <w:p>
            <w:pPr>
              <w:ind w:left="80"/>
              <w:spacing w:after="0"/>
              <w:rPr>
                <w:sz w:val="20"/>
                <w:szCs w:val="20"/>
                <w:color w:val="auto"/>
              </w:rPr>
            </w:pPr>
            <w:r>
              <w:rPr>
                <w:rFonts w:ascii="Arial" w:cs="Arial" w:eastAsia="Arial" w:hAnsi="Arial"/>
                <w:sz w:val="18"/>
                <w:szCs w:val="18"/>
                <w:color w:val="0000FF"/>
              </w:rPr>
              <w:t>20817</w:t>
            </w: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0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6"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2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26"/>
        <w:spacing w:after="0"/>
        <w:rPr>
          <w:sz w:val="20"/>
          <w:szCs w:val="20"/>
          <w:color w:val="auto"/>
        </w:rPr>
      </w:pPr>
      <w:r>
        <w:rPr>
          <w:rFonts w:ascii="Arial" w:cs="Arial" w:eastAsia="Arial" w:hAnsi="Arial"/>
          <w:sz w:val="16"/>
          <w:szCs w:val="16"/>
          <w:color w:val="0000FF"/>
        </w:rPr>
        <w:t>13D Group Owning More Than 10%</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11/30/2011</w:t>
      </w:r>
    </w:p>
    <w:p>
      <w:pPr>
        <w:spacing w:after="0" w:line="246"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60" w:lineRule="exact"/>
        <w:rPr>
          <w:sz w:val="24"/>
          <w:szCs w:val="24"/>
          <w:color w:val="auto"/>
        </w:rPr>
      </w:pPr>
    </w:p>
    <w:p>
      <w:pPr>
        <w:sectPr>
          <w:pgSz w:w="11900" w:h="16838" w:orient="portrait"/>
          <w:cols w:equalWidth="0" w:num="3">
            <w:col w:w="4474" w:space="720"/>
            <w:col w:w="3006" w:space="397"/>
            <w:col w:w="2823"/>
          </w:cols>
          <w:pgMar w:left="240" w:top="226" w:right="239" w:bottom="837"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6"/>
              </w:rPr>
              <w:t>105,378</w:t>
            </w:r>
            <w:r>
              <w:rPr>
                <w:rFonts w:ascii="Arial" w:cs="Arial" w:eastAsia="Arial" w:hAnsi="Arial"/>
                <w:sz w:val="22"/>
                <w:szCs w:val="22"/>
                <w:color w:val="008000"/>
                <w:w w:val="86"/>
                <w:vertAlign w:val="superscript"/>
              </w:rPr>
              <w:t>(1)</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7"/>
              </w:rPr>
              <w:t>79,582</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1965 Trusts</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7"/>
              </w:rPr>
              <w:t>55,825</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1974 Trusts</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4,370</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Spouse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9"/>
              </w:rPr>
              <w:t>1,082,798</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JWMFE, Inc.</w:t>
            </w:r>
            <w:r>
              <w:rPr>
                <w:rFonts w:ascii="Arial" w:cs="Arial" w:eastAsia="Arial" w:hAnsi="Arial"/>
                <w:sz w:val="22"/>
                <w:szCs w:val="22"/>
                <w:color w:val="008000"/>
                <w:vertAlign w:val="superscript"/>
              </w:rPr>
              <w:t>(2)(3)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6"/>
              </w:rPr>
              <w:t>919,999</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TPV, LP</w:t>
            </w:r>
            <w:r>
              <w:rPr>
                <w:rFonts w:ascii="Arial" w:cs="Arial" w:eastAsia="Arial" w:hAnsi="Arial"/>
                <w:sz w:val="22"/>
                <w:szCs w:val="22"/>
                <w:color w:val="008000"/>
                <w:vertAlign w:val="superscript"/>
              </w:rPr>
              <w:t>(2)(4)</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1,322</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4"/>
              </w:rPr>
              <w:t>Sp Trustee 1 for Trust f/b/o his child</w:t>
            </w:r>
            <w:r>
              <w:rPr>
                <w:rFonts w:ascii="Arial" w:cs="Arial" w:eastAsia="Arial" w:hAnsi="Arial"/>
                <w:sz w:val="22"/>
                <w:szCs w:val="22"/>
                <w:color w:val="008000"/>
                <w:w w:val="94"/>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1,668</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4"/>
              </w:rPr>
              <w:t>Sp Trustee 2 for Trust f/b/o his child</w:t>
            </w:r>
            <w:r>
              <w:rPr>
                <w:rFonts w:ascii="Arial" w:cs="Arial" w:eastAsia="Arial" w:hAnsi="Arial"/>
                <w:sz w:val="22"/>
                <w:szCs w:val="22"/>
                <w:color w:val="008000"/>
                <w:w w:val="94"/>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1,668</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4"/>
              </w:rPr>
              <w:t>Sp Trustee 3 for Trust f/b/o his child</w:t>
            </w:r>
            <w:r>
              <w:rPr>
                <w:rFonts w:ascii="Arial" w:cs="Arial" w:eastAsia="Arial" w:hAnsi="Arial"/>
                <w:sz w:val="22"/>
                <w:szCs w:val="22"/>
                <w:color w:val="008000"/>
                <w:w w:val="94"/>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7,982</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Trustee 1 of Trust f/b/o his child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7,541</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Trustee 2 of Trust f/b/o his child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6,599</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Trustee 3 of Trust f/b/o his child</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36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This amended Form 3 is being filed solely to include 111 shares of Common Stock that were inadvertently omitted from the reporting person's original Form 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reported securities except to the extent of his pecuniary interest therein.</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Represents shares held by JWM Family Enterprises, L.P. JWM Family Enterprises, Inc. is the sole general partner of JWM Family Enterprises, L.P. J.W. Marriott, Jr., John W. Marriott, III, Deborah Marriott Harrison, Stephen Garff Marriott and David Sheets Marriott are each shareholders of JWM Family Enterprises,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Represents shares held by Thomas Point Ventures, L.P., whose general partner is JWM Family Enterprises, L.P.</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Catherine Meeker,</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59808" TargetMode="External"/><Relationship Id="rId12" Type="http://schemas.openxmlformats.org/officeDocument/2006/relationships/hyperlink" Target="http://www.sec.gov/cgi-bin/browse-edgar?action=getcompany&amp;CIK=0001524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2019-12-18T02:49:21Z</dcterms:created>
  <dcterms:modified xsi:type="dcterms:W3CDTF">2019-12-18T02:49:21Z</dcterms:modified>
</cp:coreProperties>
</file>