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Filed by Marriott Vacations Worldwide Corporation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Pursuant to Rule 425 under the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Securities Act of 1933, as amended,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and deemed filed pursuant to Rule 14a-6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under the Securities Exchange Act of 1934 as amended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8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Subject Company: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ILG, Inc.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Commission File No.: 001-34062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220980</wp:posOffset>
            </wp:positionH>
            <wp:positionV relativeFrom="paragraph">
              <wp:posOffset>160020</wp:posOffset>
            </wp:positionV>
            <wp:extent cx="5291455" cy="70319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1455" cy="7031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020"/>
          </w:cols>
          <w:pgMar w:left="1440" w:top="229" w:right="439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89165" cy="84988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165" cy="8498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89165" cy="84988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165" cy="8498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89165" cy="84988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165" cy="8498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" w:name="page5"/>
    <w:bookmarkEnd w:id="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89165" cy="84988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165" cy="8498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89165" cy="849884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165" cy="8498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89165" cy="849884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165" cy="8498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" w:name="page8"/>
    <w:bookmarkEnd w:id="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89165" cy="849884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165" cy="8498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" w:name="page9"/>
    <w:bookmarkEnd w:id="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89165" cy="849884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165" cy="8498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" w:name="page10"/>
    <w:bookmarkEnd w:id="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89165" cy="849884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165" cy="8498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" w:name="page11"/>
    <w:bookmarkEnd w:id="1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89165" cy="849884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165" cy="8498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" w:name="page12"/>
    <w:bookmarkEnd w:id="1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89165" cy="849884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165" cy="8498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" w:name="page13"/>
    <w:bookmarkEnd w:id="1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89165" cy="849884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165" cy="8498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" w:name="page14"/>
    <w:bookmarkEnd w:id="1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89165" cy="849884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165" cy="8498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4" w:name="page15"/>
    <w:bookmarkEnd w:id="1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89165" cy="849884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165" cy="8498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5" w:name="page16"/>
    <w:bookmarkEnd w:id="1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89165" cy="849884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165" cy="8498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6" w:name="page17"/>
    <w:bookmarkEnd w:id="1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89165" cy="849884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165" cy="8498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7" w:name="page18"/>
    <w:bookmarkEnd w:id="1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89165" cy="849884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165" cy="8498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8" w:name="page19"/>
    <w:bookmarkEnd w:id="1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89165" cy="849884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165" cy="8498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image" Target="media/image19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2019-12-07T13:20:36Z</dcterms:created>
  <dcterms:modified xsi:type="dcterms:W3CDTF">2019-12-07T13:20:36Z</dcterms:modified>
</cp:coreProperties>
</file>