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500"/>
        <w:spacing w:after="0"/>
        <w:rPr>
          <w:sz w:val="20"/>
          <w:szCs w:val="20"/>
          <w:color w:val="auto"/>
        </w:rPr>
      </w:pPr>
      <w:r>
        <w:rPr>
          <w:rFonts w:ascii="Arial" w:cs="Arial" w:eastAsia="Arial" w:hAnsi="Arial"/>
          <w:sz w:val="18"/>
          <w:szCs w:val="18"/>
          <w:color w:val="auto"/>
        </w:rPr>
        <w:t>_________________________</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1"/>
          <w:szCs w:val="11"/>
          <w:color w:val="auto"/>
        </w:rPr>
        <w:t>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15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1"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2019</w:t>
      </w:r>
    </w:p>
    <w:p>
      <w:pPr>
        <w:spacing w:after="0" w:line="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-14605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153"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4080" w:type="dxa"/>
            <w:vAlign w:val="bottom"/>
          </w:tcPr>
          <w:p>
            <w:pPr>
              <w:jc w:val="center"/>
              <w:ind w:right="1201"/>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jc w:val="right"/>
              <w:ind w:right="41"/>
              <w:spacing w:after="0"/>
              <w:rPr>
                <w:sz w:val="20"/>
                <w:szCs w:val="20"/>
                <w:color w:val="auto"/>
              </w:rPr>
            </w:pPr>
            <w:r>
              <w:rPr>
                <w:rFonts w:ascii="Arial" w:cs="Arial" w:eastAsia="Arial" w:hAnsi="Arial"/>
                <w:sz w:val="18"/>
                <w:szCs w:val="18"/>
                <w:b w:val="1"/>
                <w:bCs w:val="1"/>
                <w:color w:val="auto"/>
              </w:rPr>
              <w:t>45-2598330</w:t>
            </w:r>
          </w:p>
        </w:tc>
      </w:tr>
      <w:tr>
        <w:trPr>
          <w:trHeight w:val="180"/>
        </w:trPr>
        <w:tc>
          <w:tcPr>
            <w:tcW w:w="4080" w:type="dxa"/>
            <w:vAlign w:val="bottom"/>
          </w:tcPr>
          <w:p>
            <w:pPr>
              <w:jc w:val="center"/>
              <w:ind w:right="1201"/>
              <w:spacing w:after="0"/>
              <w:rPr>
                <w:sz w:val="20"/>
                <w:szCs w:val="20"/>
                <w:color w:val="auto"/>
              </w:rPr>
            </w:pPr>
            <w:r>
              <w:rPr>
                <w:rFonts w:ascii="Arial" w:cs="Arial" w:eastAsia="Arial" w:hAnsi="Arial"/>
                <w:sz w:val="14"/>
                <w:szCs w:val="14"/>
                <w:b w:val="1"/>
                <w:bCs w:val="1"/>
                <w:color w:val="auto"/>
                <w:w w:val="93"/>
              </w:rPr>
              <w:t>(State or other jurisdiction of</w:t>
            </w:r>
          </w:p>
        </w:tc>
        <w:tc>
          <w:tcPr>
            <w:tcW w:w="2380" w:type="dxa"/>
            <w:vAlign w:val="bottom"/>
          </w:tcPr>
          <w:p>
            <w:pPr>
              <w:jc w:val="center"/>
              <w:ind w:left="1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80" w:type="dxa"/>
            <w:vAlign w:val="bottom"/>
          </w:tcPr>
          <w:p>
            <w:pPr>
              <w:jc w:val="center"/>
              <w:ind w:right="1201"/>
              <w:spacing w:after="0"/>
              <w:rPr>
                <w:sz w:val="20"/>
                <w:szCs w:val="20"/>
                <w:color w:val="auto"/>
              </w:rPr>
            </w:pPr>
            <w:r>
              <w:rPr>
                <w:rFonts w:ascii="Arial" w:cs="Arial" w:eastAsia="Arial" w:hAnsi="Arial"/>
                <w:sz w:val="14"/>
                <w:szCs w:val="14"/>
                <w:b w:val="1"/>
                <w:bCs w:val="1"/>
                <w:color w:val="auto"/>
                <w:w w:val="94"/>
              </w:rPr>
              <w:t>incorporation or organization)</w:t>
            </w:r>
          </w:p>
        </w:tc>
        <w:tc>
          <w:tcPr>
            <w:tcW w:w="2380" w:type="dxa"/>
            <w:vAlign w:val="bottom"/>
          </w:tcPr>
          <w:p>
            <w:pPr>
              <w:jc w:val="center"/>
              <w:ind w:left="1181"/>
              <w:spacing w:after="0"/>
              <w:rPr>
                <w:sz w:val="20"/>
                <w:szCs w:val="20"/>
                <w:color w:val="auto"/>
              </w:rPr>
            </w:pPr>
            <w:r>
              <w:rPr>
                <w:rFonts w:ascii="Arial" w:cs="Arial" w:eastAsia="Arial" w:hAnsi="Arial"/>
                <w:sz w:val="14"/>
                <w:szCs w:val="14"/>
                <w:b w:val="1"/>
                <w:bCs w:val="1"/>
                <w:color w:val="auto"/>
                <w:w w:val="94"/>
              </w:rPr>
              <w:t>Identification No.)</w:t>
            </w:r>
          </w:p>
        </w:tc>
      </w:tr>
      <w:tr>
        <w:trPr>
          <w:trHeight w:val="255"/>
        </w:trPr>
        <w:tc>
          <w:tcPr>
            <w:tcW w:w="4080" w:type="dxa"/>
            <w:vAlign w:val="bottom"/>
          </w:tcPr>
          <w:p>
            <w:pPr>
              <w:jc w:val="center"/>
              <w:ind w:right="1181"/>
              <w:spacing w:after="0"/>
              <w:rPr>
                <w:sz w:val="20"/>
                <w:szCs w:val="20"/>
                <w:color w:val="auto"/>
              </w:rPr>
            </w:pPr>
            <w:r>
              <w:rPr>
                <w:rFonts w:ascii="Arial" w:cs="Arial" w:eastAsia="Arial" w:hAnsi="Arial"/>
                <w:sz w:val="18"/>
                <w:szCs w:val="18"/>
                <w:b w:val="1"/>
                <w:bCs w:val="1"/>
                <w:color w:val="auto"/>
                <w:w w:val="97"/>
              </w:rPr>
              <w:t>6649 Westwood Blvd. Orlando  FL</w:t>
            </w:r>
          </w:p>
        </w:tc>
        <w:tc>
          <w:tcPr>
            <w:tcW w:w="2380" w:type="dxa"/>
            <w:vAlign w:val="bottom"/>
          </w:tcPr>
          <w:p>
            <w:pPr>
              <w:jc w:val="right"/>
              <w:ind w:right="261"/>
              <w:spacing w:after="0"/>
              <w:rPr>
                <w:sz w:val="20"/>
                <w:szCs w:val="20"/>
                <w:color w:val="auto"/>
              </w:rPr>
            </w:pPr>
            <w:r>
              <w:rPr>
                <w:rFonts w:ascii="Arial" w:cs="Arial" w:eastAsia="Arial" w:hAnsi="Arial"/>
                <w:sz w:val="18"/>
                <w:szCs w:val="18"/>
                <w:b w:val="1"/>
                <w:bCs w:val="1"/>
                <w:color w:val="auto"/>
              </w:rPr>
              <w:t>32821</w:t>
            </w:r>
          </w:p>
        </w:tc>
      </w:tr>
      <w:tr>
        <w:trPr>
          <w:trHeight w:val="217"/>
        </w:trPr>
        <w:tc>
          <w:tcPr>
            <w:tcW w:w="4080" w:type="dxa"/>
            <w:vAlign w:val="bottom"/>
          </w:tcPr>
          <w:p>
            <w:pPr>
              <w:jc w:val="center"/>
              <w:ind w:right="11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jc w:val="center"/>
              <w:ind w:left="1181"/>
              <w:spacing w:after="0"/>
              <w:rPr>
                <w:sz w:val="20"/>
                <w:szCs w:val="20"/>
                <w:color w:val="auto"/>
              </w:rPr>
            </w:pPr>
            <w:r>
              <w:rPr>
                <w:rFonts w:ascii="Arial" w:cs="Arial" w:eastAsia="Arial" w:hAnsi="Arial"/>
                <w:sz w:val="14"/>
                <w:szCs w:val="14"/>
                <w:b w:val="1"/>
                <w:bCs w:val="1"/>
                <w:color w:val="auto"/>
                <w:w w:val="98"/>
              </w:rPr>
              <w:t>(Zip Code)</w:t>
            </w:r>
          </w:p>
        </w:tc>
      </w:tr>
    </w:tbl>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(407) 206-6000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8"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4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5"/>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$0.01 Par Value</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VAC</w:t>
            </w:r>
          </w:p>
        </w:tc>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New York Stock Exchange</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2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14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jc w:val="both"/>
        <w:ind w:right="16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480" w:type="dxa"/>
        <w:tblCellMar>
          <w:top w:w="0" w:type="dxa"/>
          <w:left w:w="0" w:type="dxa"/>
          <w:bottom w:w="0" w:type="dxa"/>
          <w:right w:w="0" w:type="dxa"/>
        </w:tblCellMar>
      </w:tblPr>
      <w:tr>
        <w:trPr>
          <w:trHeight w:val="249"/>
        </w:trPr>
        <w:tc>
          <w:tcPr>
            <w:tcW w:w="25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0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760"/>
              <w:spacing w:after="0"/>
              <w:rPr>
                <w:sz w:val="20"/>
                <w:szCs w:val="20"/>
                <w:color w:val="auto"/>
              </w:rPr>
            </w:pPr>
            <w:r>
              <w:rPr>
                <w:rFonts w:ascii="Arial" w:cs="Arial" w:eastAsia="Arial" w:hAnsi="Arial"/>
                <w:sz w:val="17"/>
                <w:szCs w:val="17"/>
                <w:color w:val="auto"/>
              </w:rPr>
              <w:t>Accelerated filer</w:t>
            </w:r>
          </w:p>
        </w:tc>
        <w:tc>
          <w:tcPr>
            <w:tcW w:w="10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520" w:type="dxa"/>
            <w:vAlign w:val="bottom"/>
          </w:tcPr>
          <w:p>
            <w:pPr>
              <w:spacing w:after="0"/>
              <w:rPr>
                <w:sz w:val="20"/>
                <w:szCs w:val="20"/>
                <w:color w:val="auto"/>
              </w:rPr>
            </w:pPr>
            <w:r>
              <w:rPr>
                <w:rFonts w:ascii="Arial" w:cs="Arial" w:eastAsia="Arial" w:hAnsi="Arial"/>
                <w:sz w:val="17"/>
                <w:szCs w:val="17"/>
                <w:color w:val="auto"/>
              </w:rPr>
              <w:t>Non-accelerated filer</w:t>
            </w:r>
          </w:p>
        </w:tc>
        <w:tc>
          <w:tcPr>
            <w:tcW w:w="190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760"/>
              <w:spacing w:after="0"/>
              <w:rPr>
                <w:sz w:val="20"/>
                <w:szCs w:val="20"/>
                <w:color w:val="auto"/>
              </w:rPr>
            </w:pPr>
            <w:r>
              <w:rPr>
                <w:rFonts w:ascii="Arial" w:cs="Arial" w:eastAsia="Arial" w:hAnsi="Arial"/>
                <w:sz w:val="17"/>
                <w:szCs w:val="17"/>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00" w:type="dxa"/>
            <w:vAlign w:val="bottom"/>
          </w:tcPr>
          <w:p>
            <w:pPr>
              <w:ind w:left="760"/>
              <w:spacing w:after="0"/>
              <w:rPr>
                <w:sz w:val="20"/>
                <w:szCs w:val="20"/>
                <w:color w:val="auto"/>
              </w:rPr>
            </w:pPr>
            <w:r>
              <w:rPr>
                <w:rFonts w:ascii="Arial" w:cs="Arial" w:eastAsia="Arial" w:hAnsi="Arial"/>
                <w:sz w:val="17"/>
                <w:szCs w:val="17"/>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2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3" w:lineRule="exact"/>
        <w:rPr>
          <w:sz w:val="24"/>
          <w:szCs w:val="24"/>
          <w:color w:val="auto"/>
        </w:rPr>
      </w:pPr>
    </w:p>
    <w:p>
      <w:pPr>
        <w:ind w:right="218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r>
        <w:rPr>
          <w:rFonts w:ascii="Arial" w:cs="Arial" w:eastAsia="Arial" w:hAnsi="Arial"/>
          <w:sz w:val="15"/>
          <w:szCs w:val="15"/>
          <w:color w:val="auto"/>
        </w:rPr>
        <w:t xml:space="preserve"> The number of shares outstanding of the issuer’s common stock, par value $0.01 per share, as of November 8, 2019 was 42,041,736.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03" w:right="3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Page</w:t>
            </w:r>
          </w:p>
        </w:tc>
      </w:tr>
      <w:tr>
        <w:trPr>
          <w:trHeight w:val="225"/>
        </w:trPr>
        <w:tc>
          <w:tcPr>
            <w:tcW w:w="1000" w:type="dxa"/>
            <w:vAlign w:val="bottom"/>
          </w:tcPr>
          <w:p>
            <w:pPr>
              <w:spacing w:after="0"/>
              <w:rPr>
                <w:sz w:val="20"/>
                <w:szCs w:val="20"/>
                <w:color w:val="auto"/>
              </w:rPr>
            </w:pPr>
            <w:r>
              <w:rPr>
                <w:rFonts w:ascii="Arial" w:cs="Arial" w:eastAsia="Arial" w:hAnsi="Arial"/>
                <w:sz w:val="17"/>
                <w:szCs w:val="17"/>
                <w:b w:val="1"/>
                <w:bCs w:val="1"/>
                <w:color w:val="auto"/>
              </w:rPr>
              <w:t>Part I.</w:t>
            </w:r>
          </w:p>
        </w:tc>
        <w:tc>
          <w:tcPr>
            <w:tcW w:w="8440" w:type="dxa"/>
            <w:vAlign w:val="bottom"/>
            <w:gridSpan w:val="3"/>
          </w:tcPr>
          <w:p>
            <w:pPr>
              <w:ind w:left="160"/>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FINANCIAL INFORMATION (UNAUDITED)</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1</w:t>
              </w:r>
            </w:hyperlink>
          </w:p>
        </w:tc>
      </w:tr>
      <w:tr>
        <w:trPr>
          <w:trHeight w:val="257"/>
        </w:trPr>
        <w:tc>
          <w:tcPr>
            <w:tcW w:w="1000" w:type="dxa"/>
            <w:vAlign w:val="bottom"/>
          </w:tcPr>
          <w:p>
            <w:pPr>
              <w:ind w:left="240"/>
              <w:spacing w:after="0"/>
              <w:rPr>
                <w:sz w:val="20"/>
                <w:szCs w:val="20"/>
                <w:color w:val="auto"/>
              </w:rPr>
            </w:pPr>
            <w:r>
              <w:rPr>
                <w:rFonts w:ascii="Arial" w:cs="Arial" w:eastAsia="Arial" w:hAnsi="Arial"/>
                <w:sz w:val="17"/>
                <w:szCs w:val="17"/>
                <w:color w:val="auto"/>
              </w:rPr>
              <w:t>Item 1.</w:t>
            </w:r>
          </w:p>
        </w:tc>
        <w:tc>
          <w:tcPr>
            <w:tcW w:w="8440" w:type="dxa"/>
            <w:vAlign w:val="bottom"/>
            <w:gridSpan w:val="3"/>
          </w:tcPr>
          <w:p>
            <w:pPr>
              <w:ind w:left="40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Financial Statements</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1</w:t>
              </w:r>
            </w:hyperlink>
          </w:p>
        </w:tc>
      </w:tr>
      <w:tr>
        <w:trPr>
          <w:trHeight w:val="257"/>
        </w:trPr>
        <w:tc>
          <w:tcPr>
            <w:tcW w:w="1000" w:type="dxa"/>
            <w:vAlign w:val="bottom"/>
          </w:tcPr>
          <w:p>
            <w:pPr>
              <w:spacing w:after="0"/>
              <w:rPr>
                <w:sz w:val="22"/>
                <w:szCs w:val="22"/>
                <w:color w:val="auto"/>
              </w:rPr>
            </w:pPr>
          </w:p>
        </w:tc>
        <w:tc>
          <w:tcPr>
            <w:tcW w:w="8440" w:type="dxa"/>
            <w:vAlign w:val="bottom"/>
            <w:gridSpan w:val="3"/>
          </w:tcPr>
          <w:p>
            <w:pPr>
              <w:ind w:left="62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Interim Consolidated Statements of Income</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1</w:t>
              </w:r>
            </w:hyperlink>
          </w:p>
        </w:tc>
      </w:tr>
      <w:tr>
        <w:trPr>
          <w:trHeight w:val="270"/>
        </w:trPr>
        <w:tc>
          <w:tcPr>
            <w:tcW w:w="1000" w:type="dxa"/>
            <w:vAlign w:val="bottom"/>
          </w:tcPr>
          <w:p>
            <w:pPr>
              <w:spacing w:after="0"/>
              <w:rPr>
                <w:sz w:val="23"/>
                <w:szCs w:val="23"/>
                <w:color w:val="auto"/>
              </w:rPr>
            </w:pPr>
          </w:p>
        </w:tc>
        <w:tc>
          <w:tcPr>
            <w:tcW w:w="8440" w:type="dxa"/>
            <w:vAlign w:val="bottom"/>
            <w:gridSpan w:val="3"/>
          </w:tcPr>
          <w:p>
            <w:pPr>
              <w:ind w:left="62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Interim Consolidated Statements of Comprehensive Income</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2</w:t>
              </w:r>
            </w:hyperlink>
          </w:p>
        </w:tc>
      </w:tr>
      <w:tr>
        <w:trPr>
          <w:trHeight w:val="270"/>
        </w:trPr>
        <w:tc>
          <w:tcPr>
            <w:tcW w:w="1000" w:type="dxa"/>
            <w:vAlign w:val="bottom"/>
          </w:tcPr>
          <w:p>
            <w:pPr>
              <w:spacing w:after="0"/>
              <w:rPr>
                <w:sz w:val="23"/>
                <w:szCs w:val="23"/>
                <w:color w:val="auto"/>
              </w:rPr>
            </w:pPr>
          </w:p>
        </w:tc>
        <w:tc>
          <w:tcPr>
            <w:tcW w:w="8440" w:type="dxa"/>
            <w:vAlign w:val="bottom"/>
            <w:gridSpan w:val="3"/>
          </w:tcPr>
          <w:p>
            <w:pPr>
              <w:ind w:left="62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Interim Consolidated Balance Sheets</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3</w:t>
              </w:r>
            </w:hyperlink>
          </w:p>
        </w:tc>
      </w:tr>
      <w:tr>
        <w:trPr>
          <w:trHeight w:val="270"/>
        </w:trPr>
        <w:tc>
          <w:tcPr>
            <w:tcW w:w="1000" w:type="dxa"/>
            <w:vAlign w:val="bottom"/>
          </w:tcPr>
          <w:p>
            <w:pPr>
              <w:spacing w:after="0"/>
              <w:rPr>
                <w:sz w:val="23"/>
                <w:szCs w:val="23"/>
                <w:color w:val="auto"/>
              </w:rPr>
            </w:pPr>
          </w:p>
        </w:tc>
        <w:tc>
          <w:tcPr>
            <w:tcW w:w="8440" w:type="dxa"/>
            <w:vAlign w:val="bottom"/>
            <w:gridSpan w:val="3"/>
          </w:tcPr>
          <w:p>
            <w:pPr>
              <w:ind w:left="620"/>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Interim Consolidated Statements of Cash Flows</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4</w:t>
              </w:r>
            </w:hyperlink>
          </w:p>
        </w:tc>
      </w:tr>
      <w:tr>
        <w:trPr>
          <w:trHeight w:val="270"/>
        </w:trPr>
        <w:tc>
          <w:tcPr>
            <w:tcW w:w="1000" w:type="dxa"/>
            <w:vAlign w:val="bottom"/>
          </w:tcPr>
          <w:p>
            <w:pPr>
              <w:spacing w:after="0"/>
              <w:rPr>
                <w:sz w:val="23"/>
                <w:szCs w:val="23"/>
                <w:color w:val="auto"/>
              </w:rPr>
            </w:pPr>
          </w:p>
        </w:tc>
        <w:tc>
          <w:tcPr>
            <w:tcW w:w="8440" w:type="dxa"/>
            <w:vAlign w:val="bottom"/>
            <w:gridSpan w:val="3"/>
          </w:tcPr>
          <w:p>
            <w:pPr>
              <w:ind w:left="620"/>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Interim Consolidated Statements of Shareholders’ Equity</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6</w:t>
              </w:r>
            </w:hyperlink>
          </w:p>
        </w:tc>
      </w:tr>
      <w:tr>
        <w:trPr>
          <w:trHeight w:val="270"/>
        </w:trPr>
        <w:tc>
          <w:tcPr>
            <w:tcW w:w="1000" w:type="dxa"/>
            <w:vAlign w:val="bottom"/>
          </w:tcPr>
          <w:p>
            <w:pPr>
              <w:spacing w:after="0"/>
              <w:rPr>
                <w:sz w:val="23"/>
                <w:szCs w:val="23"/>
                <w:color w:val="auto"/>
              </w:rPr>
            </w:pPr>
          </w:p>
        </w:tc>
        <w:tc>
          <w:tcPr>
            <w:tcW w:w="8440" w:type="dxa"/>
            <w:vAlign w:val="bottom"/>
            <w:gridSpan w:val="3"/>
          </w:tcPr>
          <w:p>
            <w:pPr>
              <w:ind w:left="400"/>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Notes to Interim Consolidated Financial Statements</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8</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10">
              <w:r>
                <w:rPr>
                  <w:rFonts w:ascii="Arial" w:cs="Arial" w:eastAsia="Arial" w:hAnsi="Arial"/>
                  <w:sz w:val="17"/>
                  <w:szCs w:val="17"/>
                  <w:u w:val="single" w:color="auto"/>
                  <w:color w:val="0000EE"/>
                  <w:w w:val="84"/>
                </w:rPr>
                <w:t>1.</w:t>
              </w:r>
            </w:hyperlink>
          </w:p>
        </w:tc>
        <w:tc>
          <w:tcPr>
            <w:tcW w:w="7680" w:type="dxa"/>
            <w:vAlign w:val="bottom"/>
            <w:gridSpan w:val="2"/>
          </w:tcPr>
          <w:p>
            <w:pPr>
              <w:ind w:left="20"/>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Basis of Presentation</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10">
              <w:r>
                <w:rPr>
                  <w:rFonts w:ascii="Arial" w:cs="Arial" w:eastAsia="Arial" w:hAnsi="Arial"/>
                  <w:sz w:val="17"/>
                  <w:szCs w:val="17"/>
                  <w:u w:val="single" w:color="auto"/>
                  <w:color w:val="0000EE"/>
                </w:rPr>
                <w:t>8</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11">
              <w:r>
                <w:rPr>
                  <w:rFonts w:ascii="Arial" w:cs="Arial" w:eastAsia="Arial" w:hAnsi="Arial"/>
                  <w:sz w:val="17"/>
                  <w:szCs w:val="17"/>
                  <w:u w:val="single" w:color="auto"/>
                  <w:color w:val="0000EE"/>
                  <w:w w:val="84"/>
                </w:rPr>
                <w:t>2.</w:t>
              </w:r>
            </w:hyperlink>
          </w:p>
        </w:tc>
        <w:tc>
          <w:tcPr>
            <w:tcW w:w="7680" w:type="dxa"/>
            <w:vAlign w:val="bottom"/>
            <w:gridSpan w:val="2"/>
          </w:tcPr>
          <w:p>
            <w:pPr>
              <w:ind w:left="20"/>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Significant Accounting Policies and Recent Accounting Standards</w:t>
              </w:r>
            </w:hyperlink>
          </w:p>
        </w:tc>
        <w:tc>
          <w:tcPr>
            <w:tcW w:w="1060" w:type="dxa"/>
            <w:vAlign w:val="bottom"/>
          </w:tcPr>
          <w:p>
            <w:pPr>
              <w:jc w:val="center"/>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9</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12">
              <w:r>
                <w:rPr>
                  <w:rFonts w:ascii="Arial" w:cs="Arial" w:eastAsia="Arial" w:hAnsi="Arial"/>
                  <w:sz w:val="17"/>
                  <w:szCs w:val="17"/>
                  <w:u w:val="single" w:color="auto"/>
                  <w:color w:val="0000EE"/>
                  <w:w w:val="84"/>
                </w:rPr>
                <w:t>3.</w:t>
              </w:r>
            </w:hyperlink>
          </w:p>
        </w:tc>
        <w:tc>
          <w:tcPr>
            <w:tcW w:w="7680" w:type="dxa"/>
            <w:vAlign w:val="bottom"/>
            <w:gridSpan w:val="2"/>
          </w:tcPr>
          <w:p>
            <w:pPr>
              <w:ind w:left="20"/>
              <w:spacing w:after="0"/>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Acquisitions and Dispositions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12">
              <w:r>
                <w:rPr>
                  <w:rFonts w:ascii="Arial" w:cs="Arial" w:eastAsia="Arial" w:hAnsi="Arial"/>
                  <w:sz w:val="17"/>
                  <w:szCs w:val="17"/>
                  <w:u w:val="single" w:color="auto"/>
                  <w:color w:val="0000EE"/>
                  <w:w w:val="94"/>
                </w:rPr>
                <w:t>10</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16">
              <w:r>
                <w:rPr>
                  <w:rFonts w:ascii="Arial" w:cs="Arial" w:eastAsia="Arial" w:hAnsi="Arial"/>
                  <w:sz w:val="17"/>
                  <w:szCs w:val="17"/>
                  <w:u w:val="single" w:color="auto"/>
                  <w:color w:val="0000EE"/>
                  <w:w w:val="84"/>
                </w:rPr>
                <w:t>4.</w:t>
              </w:r>
            </w:hyperlink>
          </w:p>
        </w:tc>
        <w:tc>
          <w:tcPr>
            <w:tcW w:w="7680" w:type="dxa"/>
            <w:vAlign w:val="bottom"/>
            <w:gridSpan w:val="2"/>
          </w:tcPr>
          <w:p>
            <w:pPr>
              <w:ind w:left="20"/>
              <w:spacing w:after="0"/>
              <w:rPr>
                <w:rFonts w:ascii="Arial" w:cs="Arial" w:eastAsia="Arial" w:hAnsi="Arial"/>
                <w:sz w:val="17"/>
                <w:szCs w:val="17"/>
                <w:u w:val="single" w:color="auto"/>
                <w:color w:val="0000EE"/>
              </w:rPr>
            </w:pPr>
            <w:hyperlink w:anchor="page16">
              <w:r>
                <w:rPr>
                  <w:rFonts w:ascii="Arial" w:cs="Arial" w:eastAsia="Arial" w:hAnsi="Arial"/>
                  <w:sz w:val="17"/>
                  <w:szCs w:val="17"/>
                  <w:u w:val="single" w:color="auto"/>
                  <w:color w:val="0000EE"/>
                </w:rPr>
                <w:t>Revenue</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16">
              <w:r>
                <w:rPr>
                  <w:rFonts w:ascii="Arial" w:cs="Arial" w:eastAsia="Arial" w:hAnsi="Arial"/>
                  <w:sz w:val="17"/>
                  <w:szCs w:val="17"/>
                  <w:u w:val="single" w:color="auto"/>
                  <w:color w:val="0000EE"/>
                  <w:w w:val="94"/>
                </w:rPr>
                <w:t>14</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19">
              <w:r>
                <w:rPr>
                  <w:rFonts w:ascii="Arial" w:cs="Arial" w:eastAsia="Arial" w:hAnsi="Arial"/>
                  <w:sz w:val="17"/>
                  <w:szCs w:val="17"/>
                  <w:u w:val="single" w:color="auto"/>
                  <w:color w:val="0000EE"/>
                  <w:w w:val="84"/>
                </w:rPr>
                <w:t>5.</w:t>
              </w:r>
            </w:hyperlink>
          </w:p>
        </w:tc>
        <w:tc>
          <w:tcPr>
            <w:tcW w:w="7680" w:type="dxa"/>
            <w:vAlign w:val="bottom"/>
            <w:gridSpan w:val="2"/>
          </w:tcPr>
          <w:p>
            <w:pPr>
              <w:ind w:left="20"/>
              <w:spacing w:after="0"/>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Income Taxes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19">
              <w:r>
                <w:rPr>
                  <w:rFonts w:ascii="Arial" w:cs="Arial" w:eastAsia="Arial" w:hAnsi="Arial"/>
                  <w:sz w:val="17"/>
                  <w:szCs w:val="17"/>
                  <w:u w:val="single" w:color="auto"/>
                  <w:color w:val="0000EE"/>
                  <w:w w:val="94"/>
                </w:rPr>
                <w:t>17</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20">
              <w:r>
                <w:rPr>
                  <w:rFonts w:ascii="Arial" w:cs="Arial" w:eastAsia="Arial" w:hAnsi="Arial"/>
                  <w:sz w:val="17"/>
                  <w:szCs w:val="17"/>
                  <w:u w:val="single" w:color="auto"/>
                  <w:color w:val="0000EE"/>
                  <w:w w:val="84"/>
                </w:rPr>
                <w:t>6.</w:t>
              </w:r>
            </w:hyperlink>
          </w:p>
        </w:tc>
        <w:tc>
          <w:tcPr>
            <w:tcW w:w="7680" w:type="dxa"/>
            <w:vAlign w:val="bottom"/>
            <w:gridSpan w:val="2"/>
          </w:tcPr>
          <w:p>
            <w:pPr>
              <w:ind w:left="20"/>
              <w:spacing w:after="0"/>
              <w:rPr>
                <w:rFonts w:ascii="Arial" w:cs="Arial" w:eastAsia="Arial" w:hAnsi="Arial"/>
                <w:sz w:val="17"/>
                <w:szCs w:val="17"/>
                <w:u w:val="single" w:color="auto"/>
                <w:color w:val="0000EE"/>
              </w:rPr>
            </w:pPr>
            <w:hyperlink w:anchor="page20">
              <w:r>
                <w:rPr>
                  <w:rFonts w:ascii="Arial" w:cs="Arial" w:eastAsia="Arial" w:hAnsi="Arial"/>
                  <w:sz w:val="17"/>
                  <w:szCs w:val="17"/>
                  <w:u w:val="single" w:color="auto"/>
                  <w:color w:val="0000EE"/>
                </w:rPr>
                <w:t>Vacation Ownership Notes Receivable</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0">
              <w:r>
                <w:rPr>
                  <w:rFonts w:ascii="Arial" w:cs="Arial" w:eastAsia="Arial" w:hAnsi="Arial"/>
                  <w:sz w:val="17"/>
                  <w:szCs w:val="17"/>
                  <w:u w:val="single" w:color="auto"/>
                  <w:color w:val="0000EE"/>
                  <w:w w:val="94"/>
                </w:rPr>
                <w:t>18</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26">
              <w:r>
                <w:rPr>
                  <w:rFonts w:ascii="Arial" w:cs="Arial" w:eastAsia="Arial" w:hAnsi="Arial"/>
                  <w:sz w:val="17"/>
                  <w:szCs w:val="17"/>
                  <w:u w:val="single" w:color="auto"/>
                  <w:color w:val="0000EE"/>
                  <w:w w:val="84"/>
                </w:rPr>
                <w:t>7.</w:t>
              </w:r>
            </w:hyperlink>
          </w:p>
        </w:tc>
        <w:tc>
          <w:tcPr>
            <w:tcW w:w="7680" w:type="dxa"/>
            <w:vAlign w:val="bottom"/>
            <w:gridSpan w:val="2"/>
          </w:tcPr>
          <w:p>
            <w:pPr>
              <w:ind w:left="20"/>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Financial Instruments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6">
              <w:r>
                <w:rPr>
                  <w:rFonts w:ascii="Arial" w:cs="Arial" w:eastAsia="Arial" w:hAnsi="Arial"/>
                  <w:sz w:val="17"/>
                  <w:szCs w:val="17"/>
                  <w:u w:val="single" w:color="auto"/>
                  <w:color w:val="0000EE"/>
                  <w:w w:val="94"/>
                </w:rPr>
                <w:t>24</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28">
              <w:r>
                <w:rPr>
                  <w:rFonts w:ascii="Arial" w:cs="Arial" w:eastAsia="Arial" w:hAnsi="Arial"/>
                  <w:sz w:val="17"/>
                  <w:szCs w:val="17"/>
                  <w:u w:val="single" w:color="auto"/>
                  <w:color w:val="0000EE"/>
                  <w:w w:val="84"/>
                </w:rPr>
                <w:t>8.</w:t>
              </w:r>
            </w:hyperlink>
          </w:p>
        </w:tc>
        <w:tc>
          <w:tcPr>
            <w:tcW w:w="7680" w:type="dxa"/>
            <w:vAlign w:val="bottom"/>
            <w:gridSpan w:val="2"/>
          </w:tcPr>
          <w:p>
            <w:pPr>
              <w:ind w:left="20"/>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Earnings Per Share</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8">
              <w:r>
                <w:rPr>
                  <w:rFonts w:ascii="Arial" w:cs="Arial" w:eastAsia="Arial" w:hAnsi="Arial"/>
                  <w:sz w:val="17"/>
                  <w:szCs w:val="17"/>
                  <w:u w:val="single" w:color="auto"/>
                  <w:color w:val="0000EE"/>
                  <w:w w:val="94"/>
                </w:rPr>
                <w:t>26</w:t>
              </w:r>
            </w:hyperlink>
          </w:p>
        </w:tc>
      </w:tr>
      <w:tr>
        <w:trPr>
          <w:trHeight w:val="270"/>
        </w:trPr>
        <w:tc>
          <w:tcPr>
            <w:tcW w:w="1000" w:type="dxa"/>
            <w:vAlign w:val="bottom"/>
          </w:tcPr>
          <w:p>
            <w:pPr>
              <w:spacing w:after="0"/>
              <w:rPr>
                <w:sz w:val="23"/>
                <w:szCs w:val="23"/>
                <w:color w:val="auto"/>
              </w:rPr>
            </w:pPr>
          </w:p>
        </w:tc>
        <w:tc>
          <w:tcPr>
            <w:tcW w:w="760" w:type="dxa"/>
            <w:vAlign w:val="bottom"/>
          </w:tcPr>
          <w:p>
            <w:pPr>
              <w:ind w:left="620"/>
              <w:spacing w:after="0"/>
              <w:rPr>
                <w:rFonts w:ascii="Arial" w:cs="Arial" w:eastAsia="Arial" w:hAnsi="Arial"/>
                <w:sz w:val="17"/>
                <w:szCs w:val="17"/>
                <w:u w:val="single" w:color="auto"/>
                <w:color w:val="0000EE"/>
                <w:w w:val="84"/>
              </w:rPr>
            </w:pPr>
            <w:hyperlink w:anchor="page29">
              <w:r>
                <w:rPr>
                  <w:rFonts w:ascii="Arial" w:cs="Arial" w:eastAsia="Arial" w:hAnsi="Arial"/>
                  <w:sz w:val="17"/>
                  <w:szCs w:val="17"/>
                  <w:u w:val="single" w:color="auto"/>
                  <w:color w:val="0000EE"/>
                  <w:w w:val="84"/>
                </w:rPr>
                <w:t>9.</w:t>
              </w:r>
            </w:hyperlink>
          </w:p>
        </w:tc>
        <w:tc>
          <w:tcPr>
            <w:tcW w:w="7680" w:type="dxa"/>
            <w:vAlign w:val="bottom"/>
            <w:gridSpan w:val="2"/>
          </w:tcPr>
          <w:p>
            <w:pPr>
              <w:ind w:left="20"/>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Inventory</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9">
              <w:r>
                <w:rPr>
                  <w:rFonts w:ascii="Arial" w:cs="Arial" w:eastAsia="Arial" w:hAnsi="Arial"/>
                  <w:sz w:val="17"/>
                  <w:szCs w:val="17"/>
                  <w:u w:val="single" w:color="auto"/>
                  <w:color w:val="0000EE"/>
                  <w:w w:val="94"/>
                </w:rPr>
                <w:t>27</w:t>
              </w:r>
            </w:hyperlink>
          </w:p>
        </w:tc>
      </w:tr>
      <w:tr>
        <w:trPr>
          <w:trHeight w:val="270"/>
        </w:trPr>
        <w:tc>
          <w:tcPr>
            <w:tcW w:w="1000" w:type="dxa"/>
            <w:vAlign w:val="bottom"/>
          </w:tcPr>
          <w:p>
            <w:pPr>
              <w:spacing w:after="0"/>
              <w:rPr>
                <w:sz w:val="23"/>
                <w:szCs w:val="23"/>
                <w:color w:val="auto"/>
              </w:rPr>
            </w:pPr>
          </w:p>
        </w:tc>
        <w:tc>
          <w:tcPr>
            <w:tcW w:w="840" w:type="dxa"/>
            <w:vAlign w:val="bottom"/>
            <w:gridSpan w:val="2"/>
          </w:tcPr>
          <w:p>
            <w:pPr>
              <w:ind w:left="620"/>
              <w:spacing w:after="0"/>
              <w:rPr>
                <w:rFonts w:ascii="Arial" w:cs="Arial" w:eastAsia="Arial" w:hAnsi="Arial"/>
                <w:sz w:val="17"/>
                <w:szCs w:val="17"/>
                <w:u w:val="single" w:color="auto"/>
                <w:color w:val="0000EE"/>
                <w:w w:val="84"/>
              </w:rPr>
            </w:pPr>
            <w:hyperlink w:anchor="page29">
              <w:r>
                <w:rPr>
                  <w:rFonts w:ascii="Arial" w:cs="Arial" w:eastAsia="Arial" w:hAnsi="Arial"/>
                  <w:sz w:val="17"/>
                  <w:szCs w:val="17"/>
                  <w:u w:val="single" w:color="auto"/>
                  <w:color w:val="0000EE"/>
                  <w:w w:val="84"/>
                </w:rPr>
                <w:t>10.</w:t>
              </w:r>
            </w:hyperlink>
          </w:p>
        </w:tc>
        <w:tc>
          <w:tcPr>
            <w:tcW w:w="7600" w:type="dxa"/>
            <w:vAlign w:val="bottom"/>
          </w:tcPr>
          <w:p>
            <w:pPr>
              <w:ind w:left="40"/>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Property and Equipment</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29">
              <w:r>
                <w:rPr>
                  <w:rFonts w:ascii="Arial" w:cs="Arial" w:eastAsia="Arial" w:hAnsi="Arial"/>
                  <w:sz w:val="17"/>
                  <w:szCs w:val="17"/>
                  <w:u w:val="single" w:color="auto"/>
                  <w:color w:val="0000EE"/>
                  <w:w w:val="94"/>
                </w:rPr>
                <w:t>27</w:t>
              </w:r>
            </w:hyperlink>
          </w:p>
        </w:tc>
      </w:tr>
      <w:tr>
        <w:trPr>
          <w:trHeight w:val="270"/>
        </w:trPr>
        <w:tc>
          <w:tcPr>
            <w:tcW w:w="1000" w:type="dxa"/>
            <w:vAlign w:val="bottom"/>
          </w:tcPr>
          <w:p>
            <w:pPr>
              <w:spacing w:after="0"/>
              <w:rPr>
                <w:sz w:val="23"/>
                <w:szCs w:val="23"/>
                <w:color w:val="auto"/>
              </w:rPr>
            </w:pPr>
          </w:p>
        </w:tc>
        <w:tc>
          <w:tcPr>
            <w:tcW w:w="8440" w:type="dxa"/>
            <w:vAlign w:val="bottom"/>
            <w:gridSpan w:val="3"/>
          </w:tcPr>
          <w:p>
            <w:pPr>
              <w:ind w:left="620"/>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11. Contingencies and Commitments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30">
              <w:r>
                <w:rPr>
                  <w:rFonts w:ascii="Arial" w:cs="Arial" w:eastAsia="Arial" w:hAnsi="Arial"/>
                  <w:sz w:val="17"/>
                  <w:szCs w:val="17"/>
                  <w:u w:val="single" w:color="auto"/>
                  <w:color w:val="0000EE"/>
                  <w:w w:val="94"/>
                </w:rPr>
                <w:t>28</w:t>
              </w:r>
            </w:hyperlink>
          </w:p>
        </w:tc>
      </w:tr>
      <w:tr>
        <w:trPr>
          <w:trHeight w:val="270"/>
        </w:trPr>
        <w:tc>
          <w:tcPr>
            <w:tcW w:w="1000" w:type="dxa"/>
            <w:vAlign w:val="bottom"/>
          </w:tcPr>
          <w:p>
            <w:pPr>
              <w:spacing w:after="0"/>
              <w:rPr>
                <w:sz w:val="23"/>
                <w:szCs w:val="23"/>
                <w:color w:val="auto"/>
              </w:rPr>
            </w:pPr>
          </w:p>
        </w:tc>
        <w:tc>
          <w:tcPr>
            <w:tcW w:w="840" w:type="dxa"/>
            <w:vAlign w:val="bottom"/>
            <w:gridSpan w:val="2"/>
          </w:tcPr>
          <w:p>
            <w:pPr>
              <w:ind w:left="620"/>
              <w:spacing w:after="0"/>
              <w:rPr>
                <w:rFonts w:ascii="Arial" w:cs="Arial" w:eastAsia="Arial" w:hAnsi="Arial"/>
                <w:sz w:val="17"/>
                <w:szCs w:val="17"/>
                <w:u w:val="single" w:color="auto"/>
                <w:color w:val="0000EE"/>
                <w:w w:val="84"/>
              </w:rPr>
            </w:pPr>
            <w:hyperlink w:anchor="page33">
              <w:r>
                <w:rPr>
                  <w:rFonts w:ascii="Arial" w:cs="Arial" w:eastAsia="Arial" w:hAnsi="Arial"/>
                  <w:sz w:val="17"/>
                  <w:szCs w:val="17"/>
                  <w:u w:val="single" w:color="auto"/>
                  <w:color w:val="0000EE"/>
                  <w:w w:val="84"/>
                </w:rPr>
                <w:t>12.</w:t>
              </w:r>
            </w:hyperlink>
          </w:p>
        </w:tc>
        <w:tc>
          <w:tcPr>
            <w:tcW w:w="7600" w:type="dxa"/>
            <w:vAlign w:val="bottom"/>
          </w:tcPr>
          <w:p>
            <w:pPr>
              <w:ind w:left="40"/>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Leases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33">
              <w:r>
                <w:rPr>
                  <w:rFonts w:ascii="Arial" w:cs="Arial" w:eastAsia="Arial" w:hAnsi="Arial"/>
                  <w:sz w:val="17"/>
                  <w:szCs w:val="17"/>
                  <w:u w:val="single" w:color="auto"/>
                  <w:color w:val="0000EE"/>
                  <w:w w:val="94"/>
                </w:rPr>
                <w:t>31</w:t>
              </w:r>
            </w:hyperlink>
          </w:p>
        </w:tc>
      </w:tr>
      <w:tr>
        <w:trPr>
          <w:trHeight w:val="270"/>
        </w:trPr>
        <w:tc>
          <w:tcPr>
            <w:tcW w:w="1000" w:type="dxa"/>
            <w:vAlign w:val="bottom"/>
          </w:tcPr>
          <w:p>
            <w:pPr>
              <w:spacing w:after="0"/>
              <w:rPr>
                <w:sz w:val="23"/>
                <w:szCs w:val="23"/>
                <w:color w:val="auto"/>
              </w:rPr>
            </w:pPr>
          </w:p>
        </w:tc>
        <w:tc>
          <w:tcPr>
            <w:tcW w:w="840" w:type="dxa"/>
            <w:vAlign w:val="bottom"/>
            <w:gridSpan w:val="2"/>
          </w:tcPr>
          <w:p>
            <w:pPr>
              <w:ind w:left="620"/>
              <w:spacing w:after="0"/>
              <w:rPr>
                <w:rFonts w:ascii="Arial" w:cs="Arial" w:eastAsia="Arial" w:hAnsi="Arial"/>
                <w:sz w:val="17"/>
                <w:szCs w:val="17"/>
                <w:u w:val="single" w:color="auto"/>
                <w:color w:val="0000EE"/>
                <w:w w:val="84"/>
              </w:rPr>
            </w:pPr>
            <w:hyperlink w:anchor="page35">
              <w:r>
                <w:rPr>
                  <w:rFonts w:ascii="Arial" w:cs="Arial" w:eastAsia="Arial" w:hAnsi="Arial"/>
                  <w:sz w:val="17"/>
                  <w:szCs w:val="17"/>
                  <w:u w:val="single" w:color="auto"/>
                  <w:color w:val="0000EE"/>
                  <w:w w:val="84"/>
                </w:rPr>
                <w:t>13.</w:t>
              </w:r>
            </w:hyperlink>
          </w:p>
        </w:tc>
        <w:tc>
          <w:tcPr>
            <w:tcW w:w="7600" w:type="dxa"/>
            <w:vAlign w:val="bottom"/>
          </w:tcPr>
          <w:p>
            <w:pPr>
              <w:ind w:left="40"/>
              <w:spacing w:after="0"/>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Securitized Debt</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35">
              <w:r>
                <w:rPr>
                  <w:rFonts w:ascii="Arial" w:cs="Arial" w:eastAsia="Arial" w:hAnsi="Arial"/>
                  <w:sz w:val="17"/>
                  <w:szCs w:val="17"/>
                  <w:u w:val="single" w:color="auto"/>
                  <w:color w:val="0000EE"/>
                  <w:w w:val="94"/>
                </w:rPr>
                <w:t>33</w:t>
              </w:r>
            </w:hyperlink>
          </w:p>
        </w:tc>
      </w:tr>
      <w:tr>
        <w:trPr>
          <w:trHeight w:val="270"/>
        </w:trPr>
        <w:tc>
          <w:tcPr>
            <w:tcW w:w="1000" w:type="dxa"/>
            <w:vAlign w:val="bottom"/>
          </w:tcPr>
          <w:p>
            <w:pPr>
              <w:spacing w:after="0"/>
              <w:rPr>
                <w:sz w:val="23"/>
                <w:szCs w:val="23"/>
                <w:color w:val="auto"/>
              </w:rPr>
            </w:pPr>
          </w:p>
        </w:tc>
        <w:tc>
          <w:tcPr>
            <w:tcW w:w="840" w:type="dxa"/>
            <w:vAlign w:val="bottom"/>
            <w:gridSpan w:val="2"/>
          </w:tcPr>
          <w:p>
            <w:pPr>
              <w:ind w:left="620"/>
              <w:spacing w:after="0"/>
              <w:rPr>
                <w:rFonts w:ascii="Arial" w:cs="Arial" w:eastAsia="Arial" w:hAnsi="Arial"/>
                <w:sz w:val="17"/>
                <w:szCs w:val="17"/>
                <w:u w:val="single" w:color="auto"/>
                <w:color w:val="0000EE"/>
                <w:w w:val="84"/>
              </w:rPr>
            </w:pPr>
            <w:hyperlink w:anchor="page37">
              <w:r>
                <w:rPr>
                  <w:rFonts w:ascii="Arial" w:cs="Arial" w:eastAsia="Arial" w:hAnsi="Arial"/>
                  <w:sz w:val="17"/>
                  <w:szCs w:val="17"/>
                  <w:u w:val="single" w:color="auto"/>
                  <w:color w:val="0000EE"/>
                  <w:w w:val="84"/>
                </w:rPr>
                <w:t>14.</w:t>
              </w:r>
            </w:hyperlink>
          </w:p>
        </w:tc>
        <w:tc>
          <w:tcPr>
            <w:tcW w:w="7600" w:type="dxa"/>
            <w:vAlign w:val="bottom"/>
          </w:tcPr>
          <w:p>
            <w:pPr>
              <w:ind w:left="40"/>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Debt</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37">
              <w:r>
                <w:rPr>
                  <w:rFonts w:ascii="Arial" w:cs="Arial" w:eastAsia="Arial" w:hAnsi="Arial"/>
                  <w:sz w:val="17"/>
                  <w:szCs w:val="17"/>
                  <w:u w:val="single" w:color="auto"/>
                  <w:color w:val="0000EE"/>
                  <w:w w:val="94"/>
                </w:rPr>
                <w:t>35</w:t>
              </w:r>
            </w:hyperlink>
          </w:p>
        </w:tc>
      </w:tr>
      <w:tr>
        <w:trPr>
          <w:trHeight w:val="270"/>
        </w:trPr>
        <w:tc>
          <w:tcPr>
            <w:tcW w:w="1000" w:type="dxa"/>
            <w:vAlign w:val="bottom"/>
          </w:tcPr>
          <w:p>
            <w:pPr>
              <w:spacing w:after="0"/>
              <w:rPr>
                <w:sz w:val="23"/>
                <w:szCs w:val="23"/>
                <w:color w:val="auto"/>
              </w:rPr>
            </w:pPr>
          </w:p>
        </w:tc>
        <w:tc>
          <w:tcPr>
            <w:tcW w:w="840" w:type="dxa"/>
            <w:vAlign w:val="bottom"/>
            <w:gridSpan w:val="2"/>
          </w:tcPr>
          <w:p>
            <w:pPr>
              <w:ind w:left="620"/>
              <w:spacing w:after="0"/>
              <w:rPr>
                <w:rFonts w:ascii="Arial" w:cs="Arial" w:eastAsia="Arial" w:hAnsi="Arial"/>
                <w:sz w:val="17"/>
                <w:szCs w:val="17"/>
                <w:u w:val="single" w:color="auto"/>
                <w:color w:val="0000EE"/>
                <w:w w:val="84"/>
              </w:rPr>
            </w:pPr>
            <w:hyperlink w:anchor="page40">
              <w:r>
                <w:rPr>
                  <w:rFonts w:ascii="Arial" w:cs="Arial" w:eastAsia="Arial" w:hAnsi="Arial"/>
                  <w:sz w:val="17"/>
                  <w:szCs w:val="17"/>
                  <w:u w:val="single" w:color="auto"/>
                  <w:color w:val="0000EE"/>
                  <w:w w:val="84"/>
                </w:rPr>
                <w:t>15.</w:t>
              </w:r>
            </w:hyperlink>
          </w:p>
        </w:tc>
        <w:tc>
          <w:tcPr>
            <w:tcW w:w="7600" w:type="dxa"/>
            <w:vAlign w:val="bottom"/>
          </w:tcPr>
          <w:p>
            <w:pPr>
              <w:ind w:left="40"/>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Shareholders’ Equity</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40">
              <w:r>
                <w:rPr>
                  <w:rFonts w:ascii="Arial" w:cs="Arial" w:eastAsia="Arial" w:hAnsi="Arial"/>
                  <w:sz w:val="17"/>
                  <w:szCs w:val="17"/>
                  <w:u w:val="single" w:color="auto"/>
                  <w:color w:val="0000EE"/>
                  <w:w w:val="94"/>
                </w:rPr>
                <w:t>38</w:t>
              </w:r>
            </w:hyperlink>
          </w:p>
        </w:tc>
      </w:tr>
      <w:tr>
        <w:trPr>
          <w:trHeight w:val="270"/>
        </w:trPr>
        <w:tc>
          <w:tcPr>
            <w:tcW w:w="1000" w:type="dxa"/>
            <w:vAlign w:val="bottom"/>
          </w:tcPr>
          <w:p>
            <w:pPr>
              <w:spacing w:after="0"/>
              <w:rPr>
                <w:sz w:val="23"/>
                <w:szCs w:val="23"/>
                <w:color w:val="auto"/>
              </w:rPr>
            </w:pPr>
          </w:p>
        </w:tc>
        <w:tc>
          <w:tcPr>
            <w:tcW w:w="840" w:type="dxa"/>
            <w:vAlign w:val="bottom"/>
            <w:gridSpan w:val="2"/>
          </w:tcPr>
          <w:p>
            <w:pPr>
              <w:ind w:left="620"/>
              <w:spacing w:after="0"/>
              <w:rPr>
                <w:rFonts w:ascii="Arial" w:cs="Arial" w:eastAsia="Arial" w:hAnsi="Arial"/>
                <w:sz w:val="17"/>
                <w:szCs w:val="17"/>
                <w:u w:val="single" w:color="auto"/>
                <w:color w:val="0000EE"/>
                <w:w w:val="84"/>
              </w:rPr>
            </w:pPr>
            <w:hyperlink w:anchor="page41">
              <w:r>
                <w:rPr>
                  <w:rFonts w:ascii="Arial" w:cs="Arial" w:eastAsia="Arial" w:hAnsi="Arial"/>
                  <w:sz w:val="17"/>
                  <w:szCs w:val="17"/>
                  <w:u w:val="single" w:color="auto"/>
                  <w:color w:val="0000EE"/>
                  <w:w w:val="84"/>
                </w:rPr>
                <w:t>16.</w:t>
              </w:r>
            </w:hyperlink>
          </w:p>
        </w:tc>
        <w:tc>
          <w:tcPr>
            <w:tcW w:w="7600" w:type="dxa"/>
            <w:vAlign w:val="bottom"/>
          </w:tcPr>
          <w:p>
            <w:pPr>
              <w:ind w:left="40"/>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Share-Based Compensation</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41">
              <w:r>
                <w:rPr>
                  <w:rFonts w:ascii="Arial" w:cs="Arial" w:eastAsia="Arial" w:hAnsi="Arial"/>
                  <w:sz w:val="17"/>
                  <w:szCs w:val="17"/>
                  <w:u w:val="single" w:color="auto"/>
                  <w:color w:val="0000EE"/>
                  <w:w w:val="94"/>
                </w:rPr>
                <w:t>39</w:t>
              </w:r>
            </w:hyperlink>
          </w:p>
        </w:tc>
      </w:tr>
      <w:tr>
        <w:trPr>
          <w:trHeight w:val="270"/>
        </w:trPr>
        <w:tc>
          <w:tcPr>
            <w:tcW w:w="1000" w:type="dxa"/>
            <w:vAlign w:val="bottom"/>
          </w:tcPr>
          <w:p>
            <w:pPr>
              <w:spacing w:after="0"/>
              <w:rPr>
                <w:sz w:val="23"/>
                <w:szCs w:val="23"/>
                <w:color w:val="auto"/>
              </w:rPr>
            </w:pPr>
          </w:p>
        </w:tc>
        <w:tc>
          <w:tcPr>
            <w:tcW w:w="840" w:type="dxa"/>
            <w:vAlign w:val="bottom"/>
            <w:gridSpan w:val="2"/>
          </w:tcPr>
          <w:p>
            <w:pPr>
              <w:ind w:left="620"/>
              <w:spacing w:after="0"/>
              <w:rPr>
                <w:rFonts w:ascii="Arial" w:cs="Arial" w:eastAsia="Arial" w:hAnsi="Arial"/>
                <w:sz w:val="17"/>
                <w:szCs w:val="17"/>
                <w:u w:val="single" w:color="auto"/>
                <w:color w:val="0000EE"/>
                <w:w w:val="84"/>
              </w:rPr>
            </w:pPr>
            <w:hyperlink w:anchor="page42">
              <w:r>
                <w:rPr>
                  <w:rFonts w:ascii="Arial" w:cs="Arial" w:eastAsia="Arial" w:hAnsi="Arial"/>
                  <w:sz w:val="17"/>
                  <w:szCs w:val="17"/>
                  <w:u w:val="single" w:color="auto"/>
                  <w:color w:val="0000EE"/>
                  <w:w w:val="84"/>
                </w:rPr>
                <w:t>17.</w:t>
              </w:r>
            </w:hyperlink>
          </w:p>
        </w:tc>
        <w:tc>
          <w:tcPr>
            <w:tcW w:w="7600" w:type="dxa"/>
            <w:vAlign w:val="bottom"/>
          </w:tcPr>
          <w:p>
            <w:pPr>
              <w:ind w:left="40"/>
              <w:spacing w:after="0"/>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Variable Interest Entities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42">
              <w:r>
                <w:rPr>
                  <w:rFonts w:ascii="Arial" w:cs="Arial" w:eastAsia="Arial" w:hAnsi="Arial"/>
                  <w:sz w:val="17"/>
                  <w:szCs w:val="17"/>
                  <w:u w:val="single" w:color="auto"/>
                  <w:color w:val="0000EE"/>
                  <w:w w:val="94"/>
                </w:rPr>
                <w:t>40</w:t>
              </w:r>
            </w:hyperlink>
          </w:p>
        </w:tc>
      </w:tr>
      <w:tr>
        <w:trPr>
          <w:trHeight w:val="270"/>
        </w:trPr>
        <w:tc>
          <w:tcPr>
            <w:tcW w:w="1000" w:type="dxa"/>
            <w:vAlign w:val="bottom"/>
          </w:tcPr>
          <w:p>
            <w:pPr>
              <w:spacing w:after="0"/>
              <w:rPr>
                <w:sz w:val="23"/>
                <w:szCs w:val="23"/>
                <w:color w:val="auto"/>
              </w:rPr>
            </w:pPr>
          </w:p>
        </w:tc>
        <w:tc>
          <w:tcPr>
            <w:tcW w:w="840" w:type="dxa"/>
            <w:vAlign w:val="bottom"/>
            <w:gridSpan w:val="2"/>
          </w:tcPr>
          <w:p>
            <w:pPr>
              <w:ind w:left="620"/>
              <w:spacing w:after="0"/>
              <w:rPr>
                <w:rFonts w:ascii="Arial" w:cs="Arial" w:eastAsia="Arial" w:hAnsi="Arial"/>
                <w:sz w:val="17"/>
                <w:szCs w:val="17"/>
                <w:u w:val="single" w:color="auto"/>
                <w:color w:val="0000EE"/>
                <w:w w:val="84"/>
              </w:rPr>
            </w:pPr>
            <w:hyperlink w:anchor="page45">
              <w:r>
                <w:rPr>
                  <w:rFonts w:ascii="Arial" w:cs="Arial" w:eastAsia="Arial" w:hAnsi="Arial"/>
                  <w:sz w:val="17"/>
                  <w:szCs w:val="17"/>
                  <w:u w:val="single" w:color="auto"/>
                  <w:color w:val="0000EE"/>
                  <w:w w:val="84"/>
                </w:rPr>
                <w:t>18.</w:t>
              </w:r>
            </w:hyperlink>
          </w:p>
        </w:tc>
        <w:tc>
          <w:tcPr>
            <w:tcW w:w="7600" w:type="dxa"/>
            <w:vAlign w:val="bottom"/>
          </w:tcPr>
          <w:p>
            <w:pPr>
              <w:ind w:left="40"/>
              <w:spacing w:after="0"/>
              <w:rPr>
                <w:rFonts w:ascii="Arial" w:cs="Arial" w:eastAsia="Arial" w:hAnsi="Arial"/>
                <w:sz w:val="17"/>
                <w:szCs w:val="17"/>
                <w:u w:val="single" w:color="auto"/>
                <w:color w:val="0000EE"/>
              </w:rPr>
            </w:pPr>
            <w:hyperlink w:anchor="page45">
              <w:r>
                <w:rPr>
                  <w:rFonts w:ascii="Arial" w:cs="Arial" w:eastAsia="Arial" w:hAnsi="Arial"/>
                  <w:sz w:val="17"/>
                  <w:szCs w:val="17"/>
                  <w:u w:val="single" w:color="auto"/>
                  <w:color w:val="0000EE"/>
                </w:rPr>
                <w:t>Business Segments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45">
              <w:r>
                <w:rPr>
                  <w:rFonts w:ascii="Arial" w:cs="Arial" w:eastAsia="Arial" w:hAnsi="Arial"/>
                  <w:sz w:val="17"/>
                  <w:szCs w:val="17"/>
                  <w:u w:val="single" w:color="auto"/>
                  <w:color w:val="0000EE"/>
                  <w:w w:val="94"/>
                </w:rPr>
                <w:t>43</w:t>
              </w:r>
            </w:hyperlink>
          </w:p>
        </w:tc>
      </w:tr>
      <w:tr>
        <w:trPr>
          <w:trHeight w:val="270"/>
        </w:trPr>
        <w:tc>
          <w:tcPr>
            <w:tcW w:w="1000" w:type="dxa"/>
            <w:vAlign w:val="bottom"/>
          </w:tcPr>
          <w:p>
            <w:pPr>
              <w:spacing w:after="0"/>
              <w:rPr>
                <w:sz w:val="23"/>
                <w:szCs w:val="23"/>
                <w:color w:val="auto"/>
              </w:rPr>
            </w:pPr>
          </w:p>
        </w:tc>
        <w:tc>
          <w:tcPr>
            <w:tcW w:w="840" w:type="dxa"/>
            <w:vAlign w:val="bottom"/>
            <w:gridSpan w:val="2"/>
          </w:tcPr>
          <w:p>
            <w:pPr>
              <w:ind w:left="620"/>
              <w:spacing w:after="0"/>
              <w:rPr>
                <w:rFonts w:ascii="Arial" w:cs="Arial" w:eastAsia="Arial" w:hAnsi="Arial"/>
                <w:sz w:val="17"/>
                <w:szCs w:val="17"/>
                <w:u w:val="single" w:color="auto"/>
                <w:color w:val="0000EE"/>
                <w:w w:val="84"/>
              </w:rPr>
            </w:pPr>
            <w:hyperlink w:anchor="page47">
              <w:r>
                <w:rPr>
                  <w:rFonts w:ascii="Arial" w:cs="Arial" w:eastAsia="Arial" w:hAnsi="Arial"/>
                  <w:sz w:val="17"/>
                  <w:szCs w:val="17"/>
                  <w:u w:val="single" w:color="auto"/>
                  <w:color w:val="0000EE"/>
                  <w:w w:val="84"/>
                </w:rPr>
                <w:t>19.</w:t>
              </w:r>
            </w:hyperlink>
          </w:p>
        </w:tc>
        <w:tc>
          <w:tcPr>
            <w:tcW w:w="7600" w:type="dxa"/>
            <w:vAlign w:val="bottom"/>
          </w:tcPr>
          <w:p>
            <w:pPr>
              <w:ind w:left="40"/>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Supplemental Guarantor Information</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47">
              <w:r>
                <w:rPr>
                  <w:rFonts w:ascii="Arial" w:cs="Arial" w:eastAsia="Arial" w:hAnsi="Arial"/>
                  <w:sz w:val="17"/>
                  <w:szCs w:val="17"/>
                  <w:u w:val="single" w:color="auto"/>
                  <w:color w:val="0000EE"/>
                  <w:w w:val="94"/>
                </w:rPr>
                <w:t>45</w:t>
              </w:r>
            </w:hyperlink>
          </w:p>
        </w:tc>
      </w:tr>
      <w:tr>
        <w:trPr>
          <w:trHeight w:val="270"/>
        </w:trPr>
        <w:tc>
          <w:tcPr>
            <w:tcW w:w="1000" w:type="dxa"/>
            <w:vAlign w:val="bottom"/>
          </w:tcPr>
          <w:p>
            <w:pPr>
              <w:ind w:left="240"/>
              <w:spacing w:after="0"/>
              <w:rPr>
                <w:sz w:val="20"/>
                <w:szCs w:val="20"/>
                <w:color w:val="auto"/>
              </w:rPr>
            </w:pPr>
            <w:r>
              <w:rPr>
                <w:rFonts w:ascii="Arial" w:cs="Arial" w:eastAsia="Arial" w:hAnsi="Arial"/>
                <w:sz w:val="17"/>
                <w:szCs w:val="17"/>
                <w:color w:val="auto"/>
              </w:rPr>
              <w:t>Item 2.</w:t>
            </w:r>
          </w:p>
        </w:tc>
        <w:tc>
          <w:tcPr>
            <w:tcW w:w="8440" w:type="dxa"/>
            <w:vAlign w:val="bottom"/>
            <w:gridSpan w:val="3"/>
          </w:tcPr>
          <w:p>
            <w:pPr>
              <w:ind w:left="400"/>
              <w:spacing w:after="0"/>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Management’s Discussion and Analysis of Financial Condition and Results of Operations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57">
              <w:r>
                <w:rPr>
                  <w:rFonts w:ascii="Arial" w:cs="Arial" w:eastAsia="Arial" w:hAnsi="Arial"/>
                  <w:sz w:val="17"/>
                  <w:szCs w:val="17"/>
                  <w:u w:val="single" w:color="auto"/>
                  <w:color w:val="0000EE"/>
                  <w:w w:val="94"/>
                </w:rPr>
                <w:t>55</w:t>
              </w:r>
            </w:hyperlink>
          </w:p>
        </w:tc>
      </w:tr>
      <w:tr>
        <w:trPr>
          <w:trHeight w:val="256"/>
        </w:trPr>
        <w:tc>
          <w:tcPr>
            <w:tcW w:w="1000" w:type="dxa"/>
            <w:vAlign w:val="bottom"/>
          </w:tcPr>
          <w:p>
            <w:pPr>
              <w:ind w:left="240"/>
              <w:spacing w:after="0"/>
              <w:rPr>
                <w:sz w:val="20"/>
                <w:szCs w:val="20"/>
                <w:color w:val="auto"/>
              </w:rPr>
            </w:pPr>
            <w:r>
              <w:rPr>
                <w:rFonts w:ascii="Arial" w:cs="Arial" w:eastAsia="Arial" w:hAnsi="Arial"/>
                <w:sz w:val="17"/>
                <w:szCs w:val="17"/>
                <w:color w:val="auto"/>
              </w:rPr>
              <w:t>Item 3.</w:t>
            </w:r>
          </w:p>
        </w:tc>
        <w:tc>
          <w:tcPr>
            <w:tcW w:w="8440" w:type="dxa"/>
            <w:vAlign w:val="bottom"/>
            <w:gridSpan w:val="3"/>
          </w:tcPr>
          <w:p>
            <w:pPr>
              <w:ind w:left="400"/>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Quantitative and Qualitative Disclosures About Market Risk</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87">
              <w:r>
                <w:rPr>
                  <w:rFonts w:ascii="Arial" w:cs="Arial" w:eastAsia="Arial" w:hAnsi="Arial"/>
                  <w:sz w:val="17"/>
                  <w:szCs w:val="17"/>
                  <w:u w:val="single" w:color="auto"/>
                  <w:color w:val="0000EE"/>
                  <w:w w:val="94"/>
                </w:rPr>
                <w:t>85</w:t>
              </w:r>
            </w:hyperlink>
          </w:p>
        </w:tc>
      </w:tr>
      <w:tr>
        <w:trPr>
          <w:trHeight w:val="257"/>
        </w:trPr>
        <w:tc>
          <w:tcPr>
            <w:tcW w:w="1000" w:type="dxa"/>
            <w:vAlign w:val="bottom"/>
          </w:tcPr>
          <w:p>
            <w:pPr>
              <w:ind w:left="240"/>
              <w:spacing w:after="0"/>
              <w:rPr>
                <w:sz w:val="20"/>
                <w:szCs w:val="20"/>
                <w:color w:val="auto"/>
              </w:rPr>
            </w:pPr>
            <w:r>
              <w:rPr>
                <w:rFonts w:ascii="Arial" w:cs="Arial" w:eastAsia="Arial" w:hAnsi="Arial"/>
                <w:sz w:val="17"/>
                <w:szCs w:val="17"/>
                <w:color w:val="auto"/>
              </w:rPr>
              <w:t>Item 4.</w:t>
            </w:r>
          </w:p>
        </w:tc>
        <w:tc>
          <w:tcPr>
            <w:tcW w:w="8440" w:type="dxa"/>
            <w:vAlign w:val="bottom"/>
            <w:gridSpan w:val="3"/>
          </w:tcPr>
          <w:p>
            <w:pPr>
              <w:ind w:left="40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Controls and Procedures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88">
              <w:r>
                <w:rPr>
                  <w:rFonts w:ascii="Arial" w:cs="Arial" w:eastAsia="Arial" w:hAnsi="Arial"/>
                  <w:sz w:val="17"/>
                  <w:szCs w:val="17"/>
                  <w:u w:val="single" w:color="auto"/>
                  <w:color w:val="0000EE"/>
                  <w:w w:val="94"/>
                </w:rPr>
                <w:t>86</w:t>
              </w:r>
            </w:hyperlink>
          </w:p>
        </w:tc>
      </w:tr>
      <w:tr>
        <w:trPr>
          <w:trHeight w:val="256"/>
        </w:trPr>
        <w:tc>
          <w:tcPr>
            <w:tcW w:w="100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8440" w:type="dxa"/>
            <w:vAlign w:val="bottom"/>
            <w:gridSpan w:val="3"/>
          </w:tcPr>
          <w:p>
            <w:pPr>
              <w:ind w:left="160"/>
              <w:spacing w:after="0"/>
              <w:rPr>
                <w:rFonts w:ascii="Arial" w:cs="Arial" w:eastAsia="Arial" w:hAnsi="Arial"/>
                <w:sz w:val="17"/>
                <w:szCs w:val="17"/>
                <w:b w:val="1"/>
                <w:bCs w:val="1"/>
                <w:u w:val="single" w:color="auto"/>
                <w:color w:val="0000EE"/>
              </w:rPr>
            </w:pPr>
            <w:hyperlink w:anchor="page88">
              <w:r>
                <w:rPr>
                  <w:rFonts w:ascii="Arial" w:cs="Arial" w:eastAsia="Arial" w:hAnsi="Arial"/>
                  <w:sz w:val="17"/>
                  <w:szCs w:val="17"/>
                  <w:b w:val="1"/>
                  <w:bCs w:val="1"/>
                  <w:u w:val="single" w:color="auto"/>
                  <w:color w:val="0000EE"/>
                </w:rPr>
                <w:t>OTHER INFORMATION</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88">
              <w:r>
                <w:rPr>
                  <w:rFonts w:ascii="Arial" w:cs="Arial" w:eastAsia="Arial" w:hAnsi="Arial"/>
                  <w:sz w:val="17"/>
                  <w:szCs w:val="17"/>
                  <w:u w:val="single" w:color="auto"/>
                  <w:color w:val="0000EE"/>
                  <w:w w:val="94"/>
                </w:rPr>
                <w:t>86</w:t>
              </w:r>
            </w:hyperlink>
          </w:p>
        </w:tc>
      </w:tr>
      <w:tr>
        <w:trPr>
          <w:trHeight w:val="257"/>
        </w:trPr>
        <w:tc>
          <w:tcPr>
            <w:tcW w:w="1000" w:type="dxa"/>
            <w:vAlign w:val="bottom"/>
          </w:tcPr>
          <w:p>
            <w:pPr>
              <w:ind w:left="240"/>
              <w:spacing w:after="0"/>
              <w:rPr>
                <w:sz w:val="20"/>
                <w:szCs w:val="20"/>
                <w:color w:val="auto"/>
              </w:rPr>
            </w:pPr>
            <w:r>
              <w:rPr>
                <w:rFonts w:ascii="Arial" w:cs="Arial" w:eastAsia="Arial" w:hAnsi="Arial"/>
                <w:sz w:val="17"/>
                <w:szCs w:val="17"/>
                <w:color w:val="auto"/>
              </w:rPr>
              <w:t>Item 1.</w:t>
            </w:r>
          </w:p>
        </w:tc>
        <w:tc>
          <w:tcPr>
            <w:tcW w:w="8440" w:type="dxa"/>
            <w:vAlign w:val="bottom"/>
            <w:gridSpan w:val="3"/>
          </w:tcPr>
          <w:p>
            <w:pPr>
              <w:ind w:left="40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Legal Proceedings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88">
              <w:r>
                <w:rPr>
                  <w:rFonts w:ascii="Arial" w:cs="Arial" w:eastAsia="Arial" w:hAnsi="Arial"/>
                  <w:sz w:val="17"/>
                  <w:szCs w:val="17"/>
                  <w:u w:val="single" w:color="auto"/>
                  <w:color w:val="0000EE"/>
                  <w:w w:val="94"/>
                </w:rPr>
                <w:t>86</w:t>
              </w:r>
            </w:hyperlink>
          </w:p>
        </w:tc>
      </w:tr>
      <w:tr>
        <w:trPr>
          <w:trHeight w:val="256"/>
        </w:trPr>
        <w:tc>
          <w:tcPr>
            <w:tcW w:w="1000" w:type="dxa"/>
            <w:vAlign w:val="bottom"/>
          </w:tcPr>
          <w:p>
            <w:pPr>
              <w:ind w:left="240"/>
              <w:spacing w:after="0"/>
              <w:rPr>
                <w:sz w:val="20"/>
                <w:szCs w:val="20"/>
                <w:color w:val="auto"/>
              </w:rPr>
            </w:pPr>
            <w:r>
              <w:rPr>
                <w:rFonts w:ascii="Arial" w:cs="Arial" w:eastAsia="Arial" w:hAnsi="Arial"/>
                <w:sz w:val="17"/>
                <w:szCs w:val="17"/>
                <w:color w:val="auto"/>
              </w:rPr>
              <w:t>Item 1A.</w:t>
            </w:r>
          </w:p>
        </w:tc>
        <w:tc>
          <w:tcPr>
            <w:tcW w:w="8440" w:type="dxa"/>
            <w:vAlign w:val="bottom"/>
            <w:gridSpan w:val="3"/>
          </w:tcPr>
          <w:p>
            <w:pPr>
              <w:ind w:left="40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Risk Factors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88">
              <w:r>
                <w:rPr>
                  <w:rFonts w:ascii="Arial" w:cs="Arial" w:eastAsia="Arial" w:hAnsi="Arial"/>
                  <w:sz w:val="17"/>
                  <w:szCs w:val="17"/>
                  <w:u w:val="single" w:color="auto"/>
                  <w:color w:val="0000EE"/>
                  <w:w w:val="94"/>
                </w:rPr>
                <w:t>86</w:t>
              </w:r>
            </w:hyperlink>
          </w:p>
        </w:tc>
      </w:tr>
      <w:tr>
        <w:trPr>
          <w:trHeight w:val="257"/>
        </w:trPr>
        <w:tc>
          <w:tcPr>
            <w:tcW w:w="1000" w:type="dxa"/>
            <w:vAlign w:val="bottom"/>
          </w:tcPr>
          <w:p>
            <w:pPr>
              <w:ind w:left="240"/>
              <w:spacing w:after="0"/>
              <w:rPr>
                <w:sz w:val="20"/>
                <w:szCs w:val="20"/>
                <w:color w:val="auto"/>
              </w:rPr>
            </w:pPr>
            <w:r>
              <w:rPr>
                <w:rFonts w:ascii="Arial" w:cs="Arial" w:eastAsia="Arial" w:hAnsi="Arial"/>
                <w:sz w:val="17"/>
                <w:szCs w:val="17"/>
                <w:color w:val="auto"/>
              </w:rPr>
              <w:t>Item 2.</w:t>
            </w:r>
          </w:p>
        </w:tc>
        <w:tc>
          <w:tcPr>
            <w:tcW w:w="8440" w:type="dxa"/>
            <w:vAlign w:val="bottom"/>
            <w:gridSpan w:val="3"/>
          </w:tcPr>
          <w:p>
            <w:pPr>
              <w:ind w:left="400"/>
              <w:spacing w:after="0"/>
              <w:rPr>
                <w:rFonts w:ascii="Arial" w:cs="Arial" w:eastAsia="Arial" w:hAnsi="Arial"/>
                <w:sz w:val="17"/>
                <w:szCs w:val="17"/>
                <w:u w:val="single" w:color="auto"/>
                <w:color w:val="0000EE"/>
              </w:rPr>
            </w:pPr>
            <w:hyperlink w:anchor="page89">
              <w:r>
                <w:rPr>
                  <w:rFonts w:ascii="Arial" w:cs="Arial" w:eastAsia="Arial" w:hAnsi="Arial"/>
                  <w:sz w:val="17"/>
                  <w:szCs w:val="17"/>
                  <w:u w:val="single" w:color="auto"/>
                  <w:color w:val="0000EE"/>
                </w:rPr>
                <w:t>Unregistered Sales of Equity Securities and Use of Proceeds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89">
              <w:r>
                <w:rPr>
                  <w:rFonts w:ascii="Arial" w:cs="Arial" w:eastAsia="Arial" w:hAnsi="Arial"/>
                  <w:sz w:val="17"/>
                  <w:szCs w:val="17"/>
                  <w:u w:val="single" w:color="auto"/>
                  <w:color w:val="0000EE"/>
                  <w:w w:val="94"/>
                </w:rPr>
                <w:t>87</w:t>
              </w:r>
            </w:hyperlink>
          </w:p>
        </w:tc>
      </w:tr>
      <w:tr>
        <w:trPr>
          <w:trHeight w:val="257"/>
        </w:trPr>
        <w:tc>
          <w:tcPr>
            <w:tcW w:w="1000" w:type="dxa"/>
            <w:vAlign w:val="bottom"/>
          </w:tcPr>
          <w:p>
            <w:pPr>
              <w:ind w:left="240"/>
              <w:spacing w:after="0"/>
              <w:rPr>
                <w:sz w:val="20"/>
                <w:szCs w:val="20"/>
                <w:color w:val="auto"/>
              </w:rPr>
            </w:pPr>
            <w:r>
              <w:rPr>
                <w:rFonts w:ascii="Arial" w:cs="Arial" w:eastAsia="Arial" w:hAnsi="Arial"/>
                <w:sz w:val="17"/>
                <w:szCs w:val="17"/>
                <w:color w:val="auto"/>
              </w:rPr>
              <w:t>Item 6.</w:t>
            </w:r>
          </w:p>
        </w:tc>
        <w:tc>
          <w:tcPr>
            <w:tcW w:w="8440" w:type="dxa"/>
            <w:vAlign w:val="bottom"/>
            <w:gridSpan w:val="3"/>
          </w:tcPr>
          <w:p>
            <w:pPr>
              <w:ind w:left="400"/>
              <w:spacing w:after="0"/>
              <w:rPr>
                <w:rFonts w:ascii="Arial" w:cs="Arial" w:eastAsia="Arial" w:hAnsi="Arial"/>
                <w:sz w:val="17"/>
                <w:szCs w:val="17"/>
                <w:u w:val="single" w:color="auto"/>
                <w:color w:val="0000EE"/>
              </w:rPr>
            </w:pPr>
            <w:hyperlink w:anchor="page89">
              <w:r>
                <w:rPr>
                  <w:rFonts w:ascii="Arial" w:cs="Arial" w:eastAsia="Arial" w:hAnsi="Arial"/>
                  <w:sz w:val="17"/>
                  <w:szCs w:val="17"/>
                  <w:u w:val="single" w:color="auto"/>
                  <w:color w:val="0000EE"/>
                </w:rPr>
                <w:t>Exhibits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89">
              <w:r>
                <w:rPr>
                  <w:rFonts w:ascii="Arial" w:cs="Arial" w:eastAsia="Arial" w:hAnsi="Arial"/>
                  <w:sz w:val="17"/>
                  <w:szCs w:val="17"/>
                  <w:u w:val="single" w:color="auto"/>
                  <w:color w:val="0000EE"/>
                  <w:w w:val="94"/>
                </w:rPr>
                <w:t>87</w:t>
              </w:r>
            </w:hyperlink>
          </w:p>
        </w:tc>
      </w:tr>
      <w:tr>
        <w:trPr>
          <w:trHeight w:val="256"/>
        </w:trPr>
        <w:tc>
          <w:tcPr>
            <w:tcW w:w="1000" w:type="dxa"/>
            <w:vAlign w:val="bottom"/>
          </w:tcPr>
          <w:p>
            <w:pPr>
              <w:spacing w:after="0"/>
              <w:rPr>
                <w:sz w:val="22"/>
                <w:szCs w:val="22"/>
                <w:color w:val="auto"/>
              </w:rPr>
            </w:pPr>
          </w:p>
        </w:tc>
        <w:tc>
          <w:tcPr>
            <w:tcW w:w="8440" w:type="dxa"/>
            <w:vAlign w:val="bottom"/>
            <w:gridSpan w:val="3"/>
          </w:tcPr>
          <w:p>
            <w:pPr>
              <w:ind w:left="160"/>
              <w:spacing w:after="0"/>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SIGNATURES</w:t>
              </w:r>
            </w:hyperlink>
          </w:p>
        </w:tc>
        <w:tc>
          <w:tcPr>
            <w:tcW w:w="1060" w:type="dxa"/>
            <w:vAlign w:val="bottom"/>
          </w:tcPr>
          <w:p>
            <w:pPr>
              <w:jc w:val="center"/>
              <w:spacing w:after="0"/>
              <w:rPr>
                <w:rFonts w:ascii="Arial" w:cs="Arial" w:eastAsia="Arial" w:hAnsi="Arial"/>
                <w:sz w:val="17"/>
                <w:szCs w:val="17"/>
                <w:u w:val="single" w:color="auto"/>
                <w:color w:val="0000EE"/>
                <w:w w:val="94"/>
              </w:rPr>
            </w:pPr>
            <w:hyperlink w:anchor="page91">
              <w:r>
                <w:rPr>
                  <w:rFonts w:ascii="Arial" w:cs="Arial" w:eastAsia="Arial" w:hAnsi="Arial"/>
                  <w:sz w:val="17"/>
                  <w:szCs w:val="17"/>
                  <w:u w:val="single" w:color="auto"/>
                  <w:color w:val="0000EE"/>
                  <w:w w:val="94"/>
                </w:rPr>
                <w:t>89</w:t>
              </w:r>
            </w:hyperlink>
          </w:p>
        </w:tc>
      </w:tr>
    </w:tbl>
    <w:p>
      <w:pPr>
        <w:spacing w:after="0" w:line="138" w:lineRule="exact"/>
        <w:rPr>
          <w:sz w:val="20"/>
          <w:szCs w:val="20"/>
          <w:color w:val="auto"/>
        </w:rPr>
      </w:pPr>
    </w:p>
    <w:p>
      <w:pPr>
        <w:ind w:firstLine="648"/>
        <w:spacing w:after="0" w:line="254" w:lineRule="auto"/>
        <w:rPr>
          <w:sz w:val="20"/>
          <w:szCs w:val="20"/>
          <w:color w:val="auto"/>
        </w:rPr>
      </w:pPr>
      <w:r>
        <w:rPr>
          <w:rFonts w:ascii="Arial" w:cs="Arial" w:eastAsia="Arial" w:hAnsi="Arial"/>
          <w:sz w:val="17"/>
          <w:szCs w:val="17"/>
          <w:color w:val="auto"/>
        </w:rPr>
        <w:t xml:space="preserve">Throughout this report, we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symbols, however such references are not intended to indicate in any way that MVW or the owner, as applicable, will not assert, to the fullest extent under applicable law, all rights to such trademarks, trade names and service marks. Capitalized terms used and not specifically defined herein have the same meaning given those terms in our Annual Report on Form 10-K for the year ended December 31, 2018. When discussing our properties or markets, we refer to the United States, Mexico, Central America and the Caribbean as “North America.”</w:t>
      </w:r>
    </w:p>
    <w:p>
      <w:pPr>
        <w:spacing w:after="0" w:line="87" w:lineRule="exact"/>
        <w:rPr>
          <w:sz w:val="20"/>
          <w:szCs w:val="20"/>
          <w:color w:val="auto"/>
        </w:rPr>
      </w:pPr>
    </w:p>
    <w:p>
      <w:pPr>
        <w:jc w:val="both"/>
        <w:ind w:right="80" w:firstLine="661"/>
        <w:spacing w:after="0" w:line="311" w:lineRule="auto"/>
        <w:rPr>
          <w:sz w:val="20"/>
          <w:szCs w:val="20"/>
          <w:color w:val="auto"/>
        </w:rPr>
      </w:pPr>
      <w:r>
        <w:rPr>
          <w:rFonts w:ascii="Arial" w:cs="Arial" w:eastAsia="Arial" w:hAnsi="Arial"/>
          <w:sz w:val="16"/>
          <w:szCs w:val="16"/>
          <w:color w:val="auto"/>
        </w:rPr>
        <w:t>On September 1, 2018, we completed the acquisition of ILG, LLC (formerly known as ILG, Inc. (“ILG”)). ILG’s businesses include Aqua-Aston Hospitality, Hyatt Vacation Ownership (“HVO”), Interval International, Trading Places International (“TPI”), Vacation Resorts International (“VRI”), VRI Europe and Vistana Signature Experiences (“Vistana”), the exclusive licensee for the Sheraton and Westin brands in vacation ownership.</w:t>
      </w:r>
    </w:p>
    <w:p>
      <w:pPr>
        <w:sectPr>
          <w:pgSz w:w="11900" w:h="16838" w:orient="portrait"/>
          <w:cols w:equalWidth="0" w:num="1">
            <w:col w:w="11220"/>
          </w:cols>
          <w:pgMar w:left="320" w:top="796"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 (UNAUDITED)</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60" w:type="dxa"/>
            <w:vAlign w:val="bottom"/>
            <w:gridSpan w:val="3"/>
          </w:tcPr>
          <w:p>
            <w:pPr>
              <w:jc w:val="right"/>
              <w:ind w:right="112"/>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gridSpan w:val="3"/>
          </w:tcPr>
          <w:p>
            <w:pPr>
              <w:jc w:val="right"/>
              <w:ind w:right="112"/>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70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68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5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September 30, 2018</w:t>
            </w:r>
          </w:p>
        </w:tc>
        <w:tc>
          <w:tcPr>
            <w:tcW w:w="0" w:type="dxa"/>
            <w:vAlign w:val="bottom"/>
          </w:tcPr>
          <w:p>
            <w:pPr>
              <w:spacing w:after="0"/>
              <w:rPr>
                <w:sz w:val="1"/>
                <w:szCs w:val="1"/>
                <w:color w:val="auto"/>
              </w:rPr>
            </w:pPr>
          </w:p>
        </w:tc>
      </w:tr>
      <w:tr>
        <w:trPr>
          <w:trHeight w:val="33"/>
        </w:trPr>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REVENUES</w:t>
            </w:r>
          </w:p>
        </w:tc>
        <w:tc>
          <w:tcPr>
            <w:tcW w:w="7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5"/>
          </w:tcPr>
          <w:p>
            <w:pPr>
              <w:ind w:left="280"/>
              <w:spacing w:after="0"/>
              <w:rPr>
                <w:sz w:val="20"/>
                <w:szCs w:val="20"/>
                <w:color w:val="auto"/>
              </w:rPr>
            </w:pPr>
            <w:r>
              <w:rPr>
                <w:rFonts w:ascii="Arial" w:cs="Arial" w:eastAsia="Arial" w:hAnsi="Arial"/>
                <w:sz w:val="18"/>
                <w:szCs w:val="18"/>
                <w:color w:val="auto"/>
              </w:rPr>
              <w:t>Sale of vacation ownership products</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860" w:type="dxa"/>
            <w:vAlign w:val="bottom"/>
          </w:tcPr>
          <w:p>
            <w:pPr>
              <w:jc w:val="right"/>
              <w:ind w:right="65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Management and exchange</w:t>
            </w:r>
          </w:p>
        </w:tc>
        <w:tc>
          <w:tcPr>
            <w:tcW w:w="1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600" w:type="dxa"/>
            <w:vAlign w:val="bottom"/>
            <w:gridSpan w:val="5"/>
          </w:tcPr>
          <w:p>
            <w:pPr>
              <w:ind w:left="280"/>
              <w:spacing w:after="0"/>
              <w:rPr>
                <w:sz w:val="20"/>
                <w:szCs w:val="20"/>
                <w:color w:val="auto"/>
              </w:rPr>
            </w:pPr>
            <w:r>
              <w:rPr>
                <w:rFonts w:ascii="Arial" w:cs="Arial" w:eastAsia="Arial" w:hAnsi="Arial"/>
                <w:sz w:val="18"/>
                <w:szCs w:val="18"/>
                <w:color w:val="auto"/>
              </w:rPr>
              <w:t>Rental</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Financing</w:t>
            </w:r>
          </w:p>
        </w:tc>
        <w:tc>
          <w:tcPr>
            <w:tcW w:w="7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600" w:type="dxa"/>
            <w:vAlign w:val="bottom"/>
            <w:gridSpan w:val="5"/>
          </w:tcPr>
          <w:p>
            <w:pPr>
              <w:ind w:left="280"/>
              <w:spacing w:after="0"/>
              <w:rPr>
                <w:sz w:val="20"/>
                <w:szCs w:val="20"/>
                <w:color w:val="auto"/>
              </w:rPr>
            </w:pPr>
            <w:r>
              <w:rPr>
                <w:rFonts w:ascii="Arial" w:cs="Arial" w:eastAsia="Arial" w:hAnsi="Arial"/>
                <w:sz w:val="18"/>
                <w:szCs w:val="18"/>
                <w:color w:val="auto"/>
              </w:rPr>
              <w:t>Cost reimbursements</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shd w:val="clear" w:color="auto" w:fill="CCEEFF"/>
              </w:rPr>
              <w:t>TOTAL REVENUES</w:t>
            </w:r>
          </w:p>
        </w:tc>
        <w:tc>
          <w:tcPr>
            <w:tcW w:w="7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37"/>
        </w:trPr>
        <w:tc>
          <w:tcPr>
            <w:tcW w:w="4600" w:type="dxa"/>
            <w:vAlign w:val="bottom"/>
            <w:gridSpan w:val="5"/>
          </w:tcPr>
          <w:p>
            <w:pPr>
              <w:ind w:left="20"/>
              <w:spacing w:after="0"/>
              <w:rPr>
                <w:sz w:val="20"/>
                <w:szCs w:val="20"/>
                <w:color w:val="auto"/>
              </w:rPr>
            </w:pPr>
            <w:r>
              <w:rPr>
                <w:rFonts w:ascii="Arial" w:cs="Arial" w:eastAsia="Arial" w:hAnsi="Arial"/>
                <w:sz w:val="18"/>
                <w:szCs w:val="18"/>
                <w:b w:val="1"/>
                <w:bCs w:val="1"/>
                <w:color w:val="auto"/>
              </w:rPr>
              <w:t>EXPENSES</w:t>
            </w: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Cost of vacation ownership products</w:t>
            </w:r>
          </w:p>
        </w:tc>
        <w:tc>
          <w:tcPr>
            <w:tcW w:w="1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600" w:type="dxa"/>
            <w:vAlign w:val="bottom"/>
            <w:gridSpan w:val="5"/>
          </w:tcPr>
          <w:p>
            <w:pPr>
              <w:ind w:left="280"/>
              <w:spacing w:after="0"/>
              <w:rPr>
                <w:sz w:val="20"/>
                <w:szCs w:val="20"/>
                <w:color w:val="auto"/>
              </w:rPr>
            </w:pPr>
            <w:r>
              <w:rPr>
                <w:rFonts w:ascii="Arial" w:cs="Arial" w:eastAsia="Arial" w:hAnsi="Arial"/>
                <w:sz w:val="18"/>
                <w:szCs w:val="18"/>
                <w:color w:val="auto"/>
              </w:rPr>
              <w:t>Marketing and sales</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Management and exchange</w:t>
            </w:r>
          </w:p>
        </w:tc>
        <w:tc>
          <w:tcPr>
            <w:tcW w:w="1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4600" w:type="dxa"/>
            <w:vAlign w:val="bottom"/>
            <w:gridSpan w:val="5"/>
          </w:tcPr>
          <w:p>
            <w:pPr>
              <w:ind w:left="280"/>
              <w:spacing w:after="0"/>
              <w:rPr>
                <w:sz w:val="20"/>
                <w:szCs w:val="20"/>
                <w:color w:val="auto"/>
              </w:rPr>
            </w:pPr>
            <w:r>
              <w:rPr>
                <w:rFonts w:ascii="Arial" w:cs="Arial" w:eastAsia="Arial" w:hAnsi="Arial"/>
                <w:sz w:val="18"/>
                <w:szCs w:val="18"/>
                <w:color w:val="auto"/>
              </w:rPr>
              <w:t>Rental</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Financing</w:t>
            </w:r>
          </w:p>
        </w:tc>
        <w:tc>
          <w:tcPr>
            <w:tcW w:w="7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600" w:type="dxa"/>
            <w:vAlign w:val="bottom"/>
            <w:gridSpan w:val="5"/>
          </w:tcPr>
          <w:p>
            <w:pPr>
              <w:ind w:left="28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1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600" w:type="dxa"/>
            <w:vAlign w:val="bottom"/>
            <w:gridSpan w:val="5"/>
          </w:tcPr>
          <w:p>
            <w:pPr>
              <w:ind w:left="280"/>
              <w:spacing w:after="0"/>
              <w:rPr>
                <w:sz w:val="20"/>
                <w:szCs w:val="20"/>
                <w:color w:val="auto"/>
              </w:rPr>
            </w:pPr>
            <w:r>
              <w:rPr>
                <w:rFonts w:ascii="Arial" w:cs="Arial" w:eastAsia="Arial" w:hAnsi="Arial"/>
                <w:sz w:val="18"/>
                <w:szCs w:val="18"/>
                <w:color w:val="auto"/>
              </w:rPr>
              <w:t>Litigation charges</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00" w:type="dxa"/>
            <w:vAlign w:val="bottom"/>
            <w:gridSpan w:val="5"/>
          </w:tcPr>
          <w:p>
            <w:pPr>
              <w:ind w:left="280"/>
              <w:spacing w:after="0"/>
              <w:rPr>
                <w:sz w:val="20"/>
                <w:szCs w:val="20"/>
                <w:color w:val="auto"/>
              </w:rPr>
            </w:pPr>
            <w:r>
              <w:rPr>
                <w:rFonts w:ascii="Arial" w:cs="Arial" w:eastAsia="Arial" w:hAnsi="Arial"/>
                <w:sz w:val="18"/>
                <w:szCs w:val="18"/>
                <w:color w:val="auto"/>
              </w:rPr>
              <w:t>Impairment</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320" w:type="dxa"/>
            <w:vAlign w:val="bottom"/>
            <w:gridSpan w:val="4"/>
          </w:tcPr>
          <w:p>
            <w:pPr>
              <w:ind w:left="200"/>
              <w:spacing w:after="0"/>
              <w:rPr>
                <w:sz w:val="20"/>
                <w:szCs w:val="20"/>
                <w:color w:val="auto"/>
              </w:rPr>
            </w:pPr>
            <w:r>
              <w:rPr>
                <w:rFonts w:ascii="Arial" w:cs="Arial" w:eastAsia="Arial" w:hAnsi="Arial"/>
                <w:sz w:val="18"/>
                <w:szCs w:val="18"/>
                <w:b w:val="1"/>
                <w:bCs w:val="1"/>
                <w:color w:val="auto"/>
              </w:rPr>
              <w:t>TOTAL EXPENSES</w:t>
            </w: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8"/>
                <w:szCs w:val="18"/>
                <w:color w:val="auto"/>
              </w:rPr>
              <w:t>(Losses) gains and other (expense) income, net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600" w:type="dxa"/>
            <w:vAlign w:val="bottom"/>
            <w:gridSpan w:val="5"/>
          </w:tcPr>
          <w:p>
            <w:pPr>
              <w:ind w:left="28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8"/>
                <w:szCs w:val="18"/>
                <w:color w:val="auto"/>
              </w:rPr>
              <w:t>ILG acquisition-related costs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4600" w:type="dxa"/>
            <w:vAlign w:val="bottom"/>
            <w:gridSpan w:val="5"/>
          </w:tcPr>
          <w:p>
            <w:pPr>
              <w:ind w:left="2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00" w:type="dxa"/>
            <w:vAlign w:val="bottom"/>
            <w:gridSpan w:val="5"/>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INCOME (LOSS) BEFORE INCOME TAXES AND</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600" w:type="dxa"/>
            <w:vAlign w:val="bottom"/>
            <w:gridSpan w:val="5"/>
          </w:tcPr>
          <w:p>
            <w:pPr>
              <w:ind w:left="20"/>
              <w:spacing w:after="0"/>
              <w:rPr>
                <w:sz w:val="20"/>
                <w:szCs w:val="20"/>
                <w:color w:val="auto"/>
              </w:rPr>
            </w:pPr>
            <w:r>
              <w:rPr>
                <w:rFonts w:ascii="Arial" w:cs="Arial" w:eastAsia="Arial" w:hAnsi="Arial"/>
                <w:sz w:val="18"/>
                <w:szCs w:val="18"/>
                <w:color w:val="auto"/>
              </w:rPr>
              <w:t>(Provision) benefit for income taxes</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600" w:type="dxa"/>
            <w:vAlign w:val="bottom"/>
            <w:gridSpan w:val="5"/>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00" w:type="dxa"/>
            <w:vAlign w:val="bottom"/>
            <w:gridSpan w:val="5"/>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(LOSS) INCOME ATTRIBUTABLE TO COMMON</w:t>
            </w:r>
          </w:p>
        </w:tc>
        <w:tc>
          <w:tcPr>
            <w:tcW w:w="520" w:type="dxa"/>
            <w:vAlign w:val="bottom"/>
            <w:vMerge w:val="restart"/>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w:t>
            </w: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(LOSSES) EARNINGS PER SHARE ATTRIBUTABLE</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TO COMMON SHAREHOLDERS</w:t>
            </w: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gridSpan w:val="5"/>
          </w:tcPr>
          <w:p>
            <w:pPr>
              <w:ind w:left="28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860" w:type="dxa"/>
            <w:vAlign w:val="bottom"/>
          </w:tcPr>
          <w:p>
            <w:pPr>
              <w:jc w:val="right"/>
              <w:ind w:right="65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5"/>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CASH DIVIDENDS DECLARED PER SHARE</w:t>
            </w: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60" w:type="dxa"/>
            <w:vAlign w:val="bottom"/>
            <w:gridSpan w:val="7"/>
          </w:tcPr>
          <w:p>
            <w:pPr>
              <w:ind w:left="560"/>
              <w:spacing w:after="0"/>
              <w:rPr>
                <w:sz w:val="20"/>
                <w:szCs w:val="20"/>
                <w:color w:val="auto"/>
              </w:rPr>
            </w:pPr>
            <w:r>
              <w:rPr>
                <w:rFonts w:ascii="Arial" w:cs="Arial" w:eastAsia="Arial" w:hAnsi="Arial"/>
                <w:sz w:val="18"/>
                <w:szCs w:val="18"/>
                <w:b w:val="1"/>
                <w:bCs w:val="1"/>
                <w:color w:val="auto"/>
                <w:w w:val="93"/>
              </w:rPr>
              <w:t>See Notes to Interim Consolidated Financial Statements</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3"/>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0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00" w:type="dxa"/>
            <w:vAlign w:val="bottom"/>
          </w:tcPr>
          <w:p>
            <w:pPr>
              <w:spacing w:after="0"/>
              <w:rPr>
                <w:sz w:val="20"/>
                <w:szCs w:val="20"/>
                <w:color w:val="auto"/>
              </w:rPr>
            </w:pPr>
          </w:p>
        </w:tc>
        <w:tc>
          <w:tcPr>
            <w:tcW w:w="170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68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5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September 30, 2018</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4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Derivative instrument adjustment, net of tax</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NET OF TAX</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46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Pr>
          <w:p>
            <w:pPr>
              <w:ind w:left="280"/>
              <w:spacing w:after="0"/>
              <w:rPr>
                <w:sz w:val="20"/>
                <w:szCs w:val="20"/>
                <w:color w:val="auto"/>
              </w:rPr>
            </w:pPr>
            <w:r>
              <w:rPr>
                <w:rFonts w:ascii="Arial" w:cs="Arial" w:eastAsia="Arial" w:hAnsi="Arial"/>
                <w:sz w:val="18"/>
                <w:szCs w:val="18"/>
                <w:color w:val="auto"/>
                <w:w w:val="92"/>
              </w:rPr>
              <w:t>Other comprehensive income attributable to noncontrolling</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18"/>
                <w:szCs w:val="18"/>
                <w:color w:val="auto"/>
              </w:rPr>
              <w:t>interests</w:t>
            </w:r>
          </w:p>
        </w:tc>
        <w:tc>
          <w:tcPr>
            <w:tcW w:w="5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46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COMPREHENSIVE (LOSS) INCOME ATTRIBUTABLE</w:t>
            </w:r>
          </w:p>
        </w:tc>
        <w:tc>
          <w:tcPr>
            <w:tcW w:w="520" w:type="dxa"/>
            <w:vAlign w:val="bottom"/>
            <w:vMerge w:val="restart"/>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 COMMON SHAREHOLDERS</w:t>
            </w: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 except share and per share data)</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0"/>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2019</w:t>
            </w:r>
          </w:p>
        </w:tc>
        <w:tc>
          <w:tcPr>
            <w:tcW w:w="16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231</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(including $55 and $69 from VIEs,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Accounts receivable, net (including $12 and $11 from VIEs, respectively)</w:t>
            </w:r>
          </w:p>
        </w:tc>
        <w:tc>
          <w:tcPr>
            <w:tcW w:w="16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324</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Vacation ownership notes receivable, net (including $1,586 and $1,627 from VIEs,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863</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2,828</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Other (including $36 and $26 from VIEs, respectively)</w:t>
            </w:r>
          </w:p>
        </w:tc>
        <w:tc>
          <w:tcPr>
            <w:tcW w:w="16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292</w:t>
            </w:r>
          </w:p>
        </w:tc>
      </w:tr>
      <w:tr>
        <w:trPr>
          <w:trHeight w:val="27"/>
        </w:trPr>
        <w:tc>
          <w:tcPr>
            <w:tcW w:w="7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9,018</w:t>
            </w:r>
          </w:p>
        </w:tc>
      </w:tr>
      <w:tr>
        <w:trPr>
          <w:trHeight w:val="20"/>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84"/>
        </w:trPr>
        <w:tc>
          <w:tcPr>
            <w:tcW w:w="7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301</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Accrued liabilities (including $2 and $2 from VIEs, respectively)</w:t>
            </w:r>
          </w:p>
        </w:tc>
        <w:tc>
          <w:tcPr>
            <w:tcW w:w="16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16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206</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Securitized debt, net (including $1,680 and $1,706 from VIEs, respectively)</w:t>
            </w:r>
          </w:p>
        </w:tc>
        <w:tc>
          <w:tcPr>
            <w:tcW w:w="16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1,714</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net</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2,104</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r>
      <w:tr>
        <w:trPr>
          <w:trHeight w:val="237"/>
        </w:trPr>
        <w:tc>
          <w:tcPr>
            <w:tcW w:w="746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5,552</w:t>
            </w:r>
          </w:p>
        </w:tc>
      </w:tr>
      <w:tr>
        <w:trPr>
          <w:trHeight w:val="27"/>
        </w:trPr>
        <w:tc>
          <w:tcPr>
            <w:tcW w:w="7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Contingencies and Commitments (Note 11)</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16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Common stock — $0.01 par value; 100,000,000 shares authorized; 57,874,390 and 57,626,462 shares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Treasury stock — at cost; 15,281,979 and 11,633,731 shares, respectively</w:t>
            </w: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3,721</w:t>
            </w: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r>
      <w:tr>
        <w:trPr>
          <w:trHeight w:val="237"/>
        </w:trPr>
        <w:tc>
          <w:tcPr>
            <w:tcW w:w="7460" w:type="dxa"/>
            <w:vAlign w:val="bottom"/>
          </w:tcPr>
          <w:p>
            <w:pPr>
              <w:ind w:left="480"/>
              <w:spacing w:after="0"/>
              <w:rPr>
                <w:sz w:val="20"/>
                <w:szCs w:val="20"/>
                <w:color w:val="auto"/>
              </w:rPr>
            </w:pPr>
            <w:r>
              <w:rPr>
                <w:rFonts w:ascii="Arial" w:cs="Arial" w:eastAsia="Arial" w:hAnsi="Arial"/>
                <w:sz w:val="18"/>
                <w:szCs w:val="18"/>
                <w:b w:val="1"/>
                <w:bCs w:val="1"/>
                <w:color w:val="auto"/>
              </w:rPr>
              <w:t>TOTAL MVW SHAREHOLDERS' EQUITY</w:t>
            </w: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3,461</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37"/>
        </w:trPr>
        <w:tc>
          <w:tcPr>
            <w:tcW w:w="7460" w:type="dxa"/>
            <w:vAlign w:val="bottom"/>
          </w:tcPr>
          <w:p>
            <w:pPr>
              <w:ind w:left="480"/>
              <w:spacing w:after="0"/>
              <w:rPr>
                <w:sz w:val="20"/>
                <w:szCs w:val="20"/>
                <w:color w:val="auto"/>
              </w:rPr>
            </w:pPr>
            <w:r>
              <w:rPr>
                <w:rFonts w:ascii="Arial" w:cs="Arial" w:eastAsia="Arial" w:hAnsi="Arial"/>
                <w:sz w:val="18"/>
                <w:szCs w:val="18"/>
                <w:b w:val="1"/>
                <w:bCs w:val="1"/>
                <w:color w:val="auto"/>
              </w:rPr>
              <w:t>TOTAL EQUITY</w:t>
            </w: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3,466</w:t>
            </w:r>
          </w:p>
        </w:tc>
      </w:tr>
      <w:tr>
        <w:trPr>
          <w:trHeight w:val="27"/>
        </w:trPr>
        <w:tc>
          <w:tcPr>
            <w:tcW w:w="7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9,018</w:t>
            </w:r>
          </w:p>
        </w:tc>
      </w:tr>
      <w:tr>
        <w:trPr>
          <w:trHeight w:val="20"/>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Adjustments to reconcile net income to net cash, cash equivalents and restricted cash provided by operating</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Depreciation and amortization of intangibles</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Accretion of acquired vacation ownership notes receivable</w:t>
            </w:r>
          </w:p>
        </w:tc>
        <w:tc>
          <w:tcPr>
            <w:tcW w:w="14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Vacation ownership notes receivable reserve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charges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assets and liabilities, net of the effects of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Vacation ownership notes receivable originations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Vacation ownership notes receivable collections</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244</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advance deposits and 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Payroll and benefit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Deferred compensation liability</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cash equivalents and restricted cash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a business, net of cash and restricted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collection of 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Purchase of company owned life insurance</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cash equivalents and restricted cash provided by (used in)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0"/>
        </w:trPr>
        <w:tc>
          <w:tcPr>
            <w:tcW w:w="8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Borrowings from securitization transactions</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423</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debt related to securitization transactions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Proceeds from debt</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1,650</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debt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Finance lease payment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dividends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Net cash, cash equivalents and restricted cash (used in) provided by financing activities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1,671</w:t>
            </w:r>
          </w:p>
        </w:tc>
      </w:tr>
      <w:tr>
        <w:trPr>
          <w:trHeight w:val="27"/>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806</w:t>
            </w:r>
          </w:p>
        </w:tc>
      </w:tr>
      <w:tr>
        <w:trPr>
          <w:trHeight w:val="284"/>
        </w:trPr>
        <w:tc>
          <w:tcPr>
            <w:tcW w:w="8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issuance of stock in connection with ILG Acquisition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Non-cash transfer from property and equipment to inventory</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issuance of treasury stock for employee stock purchase plan</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 net of amounts capitalized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taxes paid, net of refunds</w:t>
            </w: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SHAREHOLDERS’ EQUITY</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3100" w:type="dxa"/>
            <w:vAlign w:val="bottom"/>
          </w:tcPr>
          <w:p>
            <w:pPr>
              <w:spacing w:after="0"/>
              <w:rPr>
                <w:sz w:val="12"/>
                <w:szCs w:val="12"/>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Treasury</w:t>
            </w:r>
          </w:p>
        </w:tc>
        <w:tc>
          <w:tcPr>
            <w:tcW w:w="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020" w:type="dxa"/>
            <w:vAlign w:val="bottom"/>
            <w:gridSpan w:val="3"/>
            <w:vMerge w:val="continue"/>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860" w:type="dxa"/>
            <w:vAlign w:val="bottom"/>
            <w:gridSpan w:val="3"/>
            <w:vMerge w:val="continue"/>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Shareholders'</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 (Loss)</w:t>
            </w: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6"/>
                <w:szCs w:val="16"/>
                <w:color w:val="auto"/>
              </w:rPr>
            </w:pPr>
          </w:p>
        </w:tc>
        <w:tc>
          <w:tcPr>
            <w:tcW w:w="600" w:type="dxa"/>
            <w:vAlign w:val="bottom"/>
          </w:tcPr>
          <w:p>
            <w:pPr>
              <w:jc w:val="right"/>
              <w:ind w:right="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3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DECEMBER 31,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Impact of adoption of ASU 2016-02</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720" w:type="dxa"/>
            <w:vAlign w:val="bottom"/>
            <w:tcBorders>
              <w:bottom w:val="single" w:sz="8" w:color="auto"/>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OPENING BALANCE 2019</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3,458</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 w:type="dxa"/>
            <w:vAlign w:val="bottom"/>
            <w:shd w:val="clear" w:color="auto" w:fill="CCEEFF"/>
          </w:tcPr>
          <w:p>
            <w:pPr>
              <w:spacing w:after="0"/>
              <w:rPr>
                <w:sz w:val="19"/>
                <w:szCs w:val="19"/>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Derivative instrument adjustment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Employee stock plan issuance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720" w:type="dxa"/>
            <w:vAlign w:val="bottom"/>
            <w:tcBorders>
              <w:bottom w:val="single" w:sz="8" w:color="auto"/>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MARCH 31, 2019</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3,351</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 w:type="dxa"/>
            <w:vAlign w:val="bottom"/>
            <w:shd w:val="clear" w:color="auto" w:fill="CCEEFF"/>
          </w:tcPr>
          <w:p>
            <w:pPr>
              <w:spacing w:after="0"/>
              <w:rPr>
                <w:sz w:val="19"/>
                <w:szCs w:val="19"/>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ILG Acquisition purchase accounting</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3100" w:type="dxa"/>
            <w:vAlign w:val="bottom"/>
          </w:tcPr>
          <w:p>
            <w:pPr>
              <w:ind w:left="380"/>
              <w:spacing w:after="0"/>
              <w:rPr>
                <w:sz w:val="20"/>
                <w:szCs w:val="20"/>
                <w:color w:val="auto"/>
              </w:rPr>
            </w:pPr>
            <w:r>
              <w:rPr>
                <w:rFonts w:ascii="Arial" w:cs="Arial" w:eastAsia="Arial" w:hAnsi="Arial"/>
                <w:sz w:val="16"/>
                <w:szCs w:val="16"/>
                <w:color w:val="auto"/>
              </w:rPr>
              <w:t>Foreign currency translation</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 instrument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Dividends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Employee stock plan issuance</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3100" w:type="dxa"/>
            <w:vAlign w:val="bottom"/>
          </w:tcPr>
          <w:p>
            <w:pPr>
              <w:ind w:left="140"/>
              <w:spacing w:after="0"/>
              <w:rPr>
                <w:sz w:val="20"/>
                <w:szCs w:val="20"/>
                <w:color w:val="auto"/>
              </w:rPr>
            </w:pPr>
            <w:r>
              <w:rPr>
                <w:rFonts w:ascii="Arial" w:cs="Arial" w:eastAsia="Arial" w:hAnsi="Arial"/>
                <w:sz w:val="16"/>
                <w:szCs w:val="16"/>
                <w:b w:val="1"/>
                <w:bCs w:val="1"/>
                <w:color w:val="auto"/>
              </w:rPr>
              <w:t>BALANCE AT JUNE 30, 2019</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3,730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3,270</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3100" w:type="dxa"/>
            <w:vAlign w:val="bottom"/>
          </w:tcPr>
          <w:p>
            <w:pPr>
              <w:ind w:left="380"/>
              <w:spacing w:after="0"/>
              <w:rPr>
                <w:sz w:val="20"/>
                <w:szCs w:val="20"/>
                <w:color w:val="auto"/>
              </w:rPr>
            </w:pPr>
            <w:r>
              <w:rPr>
                <w:rFonts w:ascii="Arial" w:cs="Arial" w:eastAsia="Arial" w:hAnsi="Arial"/>
                <w:sz w:val="16"/>
                <w:szCs w:val="16"/>
                <w:color w:val="auto"/>
              </w:rPr>
              <w:t>ILG Acquisition purchase accounting</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adjustment</w:t>
            </w:r>
          </w:p>
        </w:tc>
        <w:tc>
          <w:tcPr>
            <w:tcW w:w="1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 w:type="dxa"/>
            <w:vAlign w:val="bottom"/>
            <w:shd w:val="clear" w:color="auto" w:fill="CCEEFF"/>
          </w:tcPr>
          <w:p>
            <w:pPr>
              <w:spacing w:after="0"/>
              <w:rPr>
                <w:sz w:val="19"/>
                <w:szCs w:val="19"/>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Derivative instrument adjustment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Employee stock plan issuance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720" w:type="dxa"/>
            <w:vAlign w:val="bottom"/>
            <w:tcBorders>
              <w:bottom w:val="single" w:sz="8" w:color="auto"/>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SEPTEMBER 30,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3,122</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SHAREHOLDERS’ EQUITY (CONTINUED)</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MVW</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3100" w:type="dxa"/>
            <w:vAlign w:val="bottom"/>
          </w:tcPr>
          <w:p>
            <w:pPr>
              <w:spacing w:after="0"/>
              <w:rPr>
                <w:sz w:val="12"/>
                <w:szCs w:val="12"/>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Common</w:t>
            </w: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020" w:type="dxa"/>
            <w:vAlign w:val="bottom"/>
            <w:gridSpan w:val="3"/>
            <w:vMerge w:val="continue"/>
          </w:tcPr>
          <w:p>
            <w:pPr>
              <w:spacing w:after="0"/>
              <w:rPr>
                <w:sz w:val="12"/>
                <w:szCs w:val="12"/>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3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gridSpan w:val="3"/>
            <w:vMerge w:val="continue"/>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Shareholders'</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3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 w:type="dxa"/>
            <w:vAlign w:val="bottom"/>
            <w:shd w:val="clear" w:color="auto" w:fill="CCEEFF"/>
          </w:tcPr>
          <w:p>
            <w:pPr>
              <w:spacing w:after="0"/>
              <w:rPr>
                <w:sz w:val="19"/>
                <w:szCs w:val="19"/>
                <w:color w:val="auto"/>
              </w:rPr>
            </w:pPr>
          </w:p>
        </w:tc>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currency translation</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3100" w:type="dxa"/>
            <w:vAlign w:val="bottom"/>
          </w:tcPr>
          <w:p>
            <w:pPr>
              <w:ind w:left="3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380"/>
              <w:spacing w:after="0"/>
              <w:rPr>
                <w:sz w:val="20"/>
                <w:szCs w:val="20"/>
                <w:color w:val="auto"/>
              </w:rPr>
            </w:pPr>
            <w:r>
              <w:rPr>
                <w:rFonts w:ascii="Arial" w:cs="Arial" w:eastAsia="Arial" w:hAnsi="Arial"/>
                <w:sz w:val="16"/>
                <w:szCs w:val="16"/>
                <w:color w:val="auto"/>
              </w:rPr>
              <w:t>Dividends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720" w:type="dxa"/>
            <w:vAlign w:val="bottom"/>
            <w:tcBorders>
              <w:bottom w:val="single" w:sz="8" w:color="auto"/>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MARCH 31, 2018</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6"/>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2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3100" w:type="dxa"/>
            <w:vAlign w:val="bottom"/>
          </w:tcPr>
          <w:p>
            <w:pPr>
              <w:ind w:left="140"/>
              <w:spacing w:after="0"/>
              <w:rPr>
                <w:sz w:val="20"/>
                <w:szCs w:val="20"/>
                <w:color w:val="auto"/>
              </w:rPr>
            </w:pPr>
            <w:r>
              <w:rPr>
                <w:rFonts w:ascii="Arial" w:cs="Arial" w:eastAsia="Arial" w:hAnsi="Arial"/>
                <w:sz w:val="16"/>
                <w:szCs w:val="16"/>
                <w:b w:val="1"/>
                <w:bCs w:val="1"/>
                <w:color w:val="auto"/>
              </w:rPr>
              <w:t>BALANCE AT JUNE 30, 2018</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20.5</w:t>
            </w:r>
          </w:p>
        </w:tc>
        <w:tc>
          <w:tcPr>
            <w:tcW w:w="3100" w:type="dxa"/>
            <w:vAlign w:val="bottom"/>
          </w:tcPr>
          <w:p>
            <w:pPr>
              <w:ind w:left="280"/>
              <w:spacing w:after="0"/>
              <w:rPr>
                <w:sz w:val="20"/>
                <w:szCs w:val="20"/>
                <w:color w:val="auto"/>
              </w:rPr>
            </w:pPr>
            <w:r>
              <w:rPr>
                <w:rFonts w:ascii="Arial" w:cs="Arial" w:eastAsia="Arial" w:hAnsi="Arial"/>
                <w:sz w:val="16"/>
                <w:szCs w:val="16"/>
                <w:color w:val="auto"/>
              </w:rPr>
              <w:t>ILG Acquisition</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2,440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6"/>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280"/>
              <w:spacing w:after="0"/>
              <w:rPr>
                <w:sz w:val="20"/>
                <w:szCs w:val="20"/>
                <w:color w:val="auto"/>
              </w:rPr>
            </w:pPr>
            <w:r>
              <w:rPr>
                <w:rFonts w:ascii="Arial" w:cs="Arial" w:eastAsia="Arial" w:hAnsi="Arial"/>
                <w:sz w:val="16"/>
                <w:szCs w:val="16"/>
                <w:color w:val="auto"/>
              </w:rPr>
              <w:t>Derivative instrument adjustment</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 plans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100" w:type="dxa"/>
            <w:vAlign w:val="bottom"/>
          </w:tcPr>
          <w:p>
            <w:pPr>
              <w:ind w:left="280"/>
              <w:spacing w:after="0"/>
              <w:rPr>
                <w:sz w:val="20"/>
                <w:szCs w:val="20"/>
                <w:color w:val="auto"/>
              </w:rPr>
            </w:pPr>
            <w:r>
              <w:rPr>
                <w:rFonts w:ascii="Arial" w:cs="Arial" w:eastAsia="Arial" w:hAnsi="Arial"/>
                <w:sz w:val="16"/>
                <w:szCs w:val="16"/>
                <w:color w:val="auto"/>
              </w:rPr>
              <w:t>Dividends</w:t>
            </w:r>
          </w:p>
        </w:tc>
        <w:tc>
          <w:tcPr>
            <w:tcW w:w="16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720" w:type="dxa"/>
            <w:vAlign w:val="bottom"/>
            <w:tcBorders>
              <w:bottom w:val="single" w:sz="8" w:color="auto"/>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SEPTEMBER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3,543</w:t>
            </w: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486"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369" w:lineRule="exact"/>
        <w:rPr>
          <w:sz w:val="20"/>
          <w:szCs w:val="20"/>
          <w:color w:val="auto"/>
        </w:rPr>
      </w:pPr>
    </w:p>
    <w:p>
      <w:pPr>
        <w:ind w:left="380" w:hanging="345"/>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right="60" w:firstLine="661"/>
        <w:spacing w:after="0" w:line="289" w:lineRule="auto"/>
        <w:rPr>
          <w:sz w:val="20"/>
          <w:szCs w:val="20"/>
          <w:color w:val="auto"/>
        </w:rPr>
      </w:pPr>
      <w:r>
        <w:rPr>
          <w:rFonts w:ascii="Arial" w:cs="Arial" w:eastAsia="Arial" w:hAnsi="Arial"/>
          <w:sz w:val="16"/>
          <w:szCs w:val="16"/>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Capitalized terms used and not specifically defined herein have the same meaning given those terms in our Annual Report on Form 10-K for the fiscal year ended December 31, 2018 (the “2018 Annual Report”). We use certain other terms that are defined within these Financial Statements.</w:t>
      </w:r>
    </w:p>
    <w:p>
      <w:pPr>
        <w:spacing w:after="0" w:line="5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References in these Financial Statements to net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companies have been eliminated in consolidation.</w:t>
      </w:r>
    </w:p>
    <w:p>
      <w:pPr>
        <w:spacing w:after="0" w:line="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property and equipment valuation, accounting for acquired vacation ownership notes receivable, vacation ownership notes receivable reserves, income taxes and loss contingencies. Accordingly, actual amounts may differ from these estimated amounts.</w:t>
      </w:r>
    </w:p>
    <w:p>
      <w:pPr>
        <w:spacing w:after="0" w:line="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ILG Acquisition (defined below)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2018 Annual Report.</w:t>
      </w:r>
    </w:p>
    <w:p>
      <w:pPr>
        <w:spacing w:after="0" w:line="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accompanying Financial Statements also reflect our adoption of new accounting standards. See Footnote 2 “Significant Accounting Policies and Recent Accounting Standards” for additional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the following prior year amounts to conform to the current year presentation:</w:t>
      </w:r>
    </w:p>
    <w:p>
      <w:pPr>
        <w:spacing w:after="0" w:line="63"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Resort management and other services revenue to Management and exchange revenue;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Resort management and other services expense to Management and exchange expense;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Consumer financing interest expense into Financing expense;</w:t>
      </w:r>
    </w:p>
    <w:p>
      <w:pPr>
        <w:spacing w:after="0" w:line="63" w:lineRule="exact"/>
        <w:rPr>
          <w:rFonts w:ascii="Arial" w:cs="Arial" w:eastAsia="Arial" w:hAnsi="Arial"/>
          <w:sz w:val="18"/>
          <w:szCs w:val="18"/>
          <w:color w:val="auto"/>
        </w:rPr>
      </w:pPr>
    </w:p>
    <w:p>
      <w:pPr>
        <w:ind w:left="1300" w:right="160" w:hanging="32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depreciation expense from Marketing and sales expense, Management and exchange expense, Rental expense, and General and administrative expense to Depreciation and amortization expense;</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$53 million from Accrued liabilities to Accounts payable;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$58 million from Accrued liabilities to Advance deposits;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$64 million from Accrued liabilities to Deferred revenue;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$3 million from Payroll and benefits liability to Accounts payable;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$2 million from Payroll and benefits liability to Accrued liabilities;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Reclassified $20 million of other debt from Debt, net to Securitized debt,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ILG</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September 1, 2018, we completed the acquisition of ILG, LLC, formerly known as ILG, Inc. (“ILG”) through a series of transactions (the “ILG Acquisition”), after which ILG became our indirect wholly-owned subsidiary. We refer to our business associated with brands that existed prior to the ILG Acquisition as “Legacy-MVW” and to ILG’s business and brands that we acquired as “Legacy-ILG.” See Footnote 3 “Acquisitions and Dispositions” for more information on the ILG Acquisition.</w:t>
      </w:r>
    </w:p>
    <w:p>
      <w:pPr>
        <w:spacing w:after="0" w:line="200" w:lineRule="exact"/>
        <w:rPr>
          <w:sz w:val="20"/>
          <w:szCs w:val="20"/>
          <w:color w:val="auto"/>
        </w:rPr>
      </w:pPr>
    </w:p>
    <w:p>
      <w:pPr>
        <w:spacing w:after="0" w:line="253" w:lineRule="exact"/>
        <w:rPr>
          <w:sz w:val="20"/>
          <w:szCs w:val="20"/>
          <w:color w:val="auto"/>
        </w:rPr>
      </w:pPr>
    </w:p>
    <w:p>
      <w:pPr>
        <w:ind w:left="380" w:hanging="345"/>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RECENT ACCOUNTING STANDARDS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Accounting Standards Update 2017-12 –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(“ASU 2017-12”)</w:t>
      </w:r>
    </w:p>
    <w:p>
      <w:pPr>
        <w:spacing w:after="0" w:line="6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August 2017, the FASB issued ASU 2017-12, which amends and simplifies existing guidance in order to allow companies to better portray the economic effects of risk management activities in the financial statements and enhance the transparency and understandability of the results of hedging activities. ASU 2017-12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This update was effective for fiscal years beginning after December 15, 2018, including interim periods within those fiscal years, with early adoption permitted. The adoption of ASU 2017-12 in the first quarter of 2019 did not have a material impact on our Financial Statements or disclosures.</w:t>
      </w:r>
    </w:p>
    <w:p>
      <w:pPr>
        <w:spacing w:after="0" w:line="8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We record derivatives at fair value. The designation of a derivative instrument as a hedge and its ability to meet the hedge accounting criteria determine how we reflect the change in fair value of the derivative instrument in our Financial Statements. A derivative qualifies for hedge accounting if we expect it to be highly effective in offsetting the underlying hedged exposure and we fulfill the hedge documentation requirements. We may designate a hedge as a cash flow hedge, fair value hedge, or a net investment in non-U.S. operations hedge based on the exposure we are hedging. For the effective portion of qualifying hedges, we record changes in fair value in other comprehensive income.</w:t>
      </w:r>
    </w:p>
    <w:p>
      <w:pPr>
        <w:spacing w:after="0" w:line="6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assess the effectiveness of our hedging instruments quarterly, recognize current period hedge ineffectiveness immediately in earnings, and discontinue hedge accounting for any hedge that we no longer consider to be highly effective. We recognize changes in fair value for derivatives not designated as hedges or those not qualifying for hedge accounting in current period earnings.</w:t>
      </w:r>
    </w:p>
    <w:p>
      <w:pPr>
        <w:spacing w:after="0" w:line="7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As a matter of policy, we only enter into transactions that we believe will be highly effective at offsetting the underlying risk, and we do not use derivatives for trading or speculative purposes.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February 2016, the FASB issued ASU 2016-02 to increase transparency and comparability of information regarding an entity’s leasing activities by providing additional information to users of financial statements, which as amended, created Accounting Standards Codification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ASU 2016-02 requires a lessee to recognize most leases on its balance sheet by recording a liability for its lease obligation and an asset for its right to use the underlying asset as of the lease commencement date and recognizing expenses on the income statement in a similar manner to the superseded guidance in Accounting Standards Codification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Lessor accounting remains largely unchanged, other than certain targeted improvements intended to align lessor accounting with the lessee accounting model and with the updated revenue recognition guidance.</w:t>
      </w:r>
    </w:p>
    <w:p>
      <w:pPr>
        <w:spacing w:after="0" w:line="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Upon adoption of ASU 2016-02, as amended, leases will be classified as either finance or operating, with classification affecting the geography of expense recognition in the income statement. Additionally, enhanced quantitative and qualitative disclosures regarding leases are required. ASU 2016-02 was effective for fiscal years beginning after December 15, 2018, including interim periods within those fiscal years, with early adoption permitted. We adopted ASU 2016-02, as amended, during the first quarter of 2019 using the transition method, which allows the application of the standard at the adoption date, January 1, 2019.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permitted by the amended guidance, we elected to retain the original lease classification and historical accounting for existing or expired contracts of lessees and lessors so that we will not be required to reassess whether such contracts contain leases, the lease classification of any such leases or the initial direct costs of any such leases. We continue to report comparative periods presented in the financial statements in the period of adoption under GAAP in effect as of such comparative period, resulting in a balance sheet presentation that is not comparable to the prior period in the first year of adoption. Additionally, with respect to our real estate leases, we elected an accounting policy by class of underlying asset to combine lease and non-lease components. We also elected to apply an exemption for short-term leases whereby leases with an initial term of a year or less are not recorded on the balance sheet. We did not utilize the practical expedient which allows the use of hindsight by lessees and lessors in determining the lease term and in assessing impairment of their right-of-use assets.</w:t>
      </w:r>
    </w:p>
    <w:p>
      <w:pPr>
        <w:spacing w:after="0" w:line="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Upon adoption, we recognized a lease obligation of $165 million and a right-of-use asset of $155 million, as well as, a cumulative-effect adjustment of $8 million to the opening balance of retained earnings for our operating and finance leases, primarily related to leases of real estate and other assets.</w:t>
      </w:r>
    </w:p>
    <w:p>
      <w:pPr>
        <w:spacing w:after="0" w:line="7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adoption of ASU 2016-02 did not have a material effect on our Income Statement or Cash Flows for the nine months ended September 30, 2019. See Footnote 12 “Leases” for further discussion of the adoption and the impact on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Accounting Standards Update 2017-04 –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 </w:t>
      </w:r>
      <w:r>
        <w:rPr>
          <w:rFonts w:ascii="Arial" w:cs="Arial" w:eastAsia="Arial" w:hAnsi="Arial"/>
          <w:sz w:val="18"/>
          <w:szCs w:val="18"/>
          <w:i w:val="1"/>
          <w:iCs w:val="1"/>
          <w:color w:val="auto"/>
        </w:rPr>
        <w:t>Goodwill and Other (Topic 350): Simplifying the Test for Goodwill Impairment</w:t>
      </w:r>
      <w:r>
        <w:rPr>
          <w:rFonts w:ascii="Arial" w:cs="Arial" w:eastAsia="Arial" w:hAnsi="Arial"/>
          <w:sz w:val="18"/>
          <w:szCs w:val="18"/>
          <w:color w:val="auto"/>
        </w:rPr>
        <w:t>” (“ASU 2017-04”)</w:t>
      </w:r>
    </w:p>
    <w:p>
      <w:pPr>
        <w:spacing w:after="0" w:line="62" w:lineRule="exact"/>
        <w:rPr>
          <w:sz w:val="20"/>
          <w:szCs w:val="20"/>
          <w:color w:val="auto"/>
        </w:rPr>
      </w:pPr>
    </w:p>
    <w:p>
      <w:pPr>
        <w:jc w:val="both"/>
        <w:ind w:right="160" w:firstLine="648"/>
        <w:spacing w:after="0" w:line="285" w:lineRule="auto"/>
        <w:rPr>
          <w:sz w:val="20"/>
          <w:szCs w:val="20"/>
          <w:color w:val="auto"/>
        </w:rPr>
      </w:pPr>
      <w:r>
        <w:rPr>
          <w:rFonts w:ascii="Arial" w:cs="Arial" w:eastAsia="Arial" w:hAnsi="Arial"/>
          <w:sz w:val="16"/>
          <w:szCs w:val="16"/>
          <w:color w:val="auto"/>
        </w:rPr>
        <w:t>In January 2017, the FASB issued ASU 2017-04, which simplifies the subsequent measurement of goodwill by eliminating the second step from the goodwill impairment test. ASU 2017-04 requires an entity to perform its annual or interim goodwill impairment test by comparing the fair value of a reporting unit with its carrying amount, and to recognize an impairment charge for the amount by which the carrying amount exceeds the reporting unit’s fair value, not to exceed the total amount of goodwill allocated to that reporting unit. ASU 2017-04 is effective for fiscal years beginning after December 15, 2019, including interim periods within those fiscal years, and is applied on a prospective basis, with early adoption permitted. We will adopt ASU</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2017-04 during the fourth quarter of 2019, prior to our annual impairment testing. We do not expect the adoption of ASU 2017-04 to have a material effect on our financial statements or disclosures.</w:t>
      </w:r>
    </w:p>
    <w:p>
      <w:pPr>
        <w:spacing w:after="0" w:line="18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Accounting Standards Update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fiscal years beginning after December 15, 2019, including interim periods within those fiscal years, with early adoption permitted for fiscal years beginning after December 15, 2018. We expect to adopt ASU 2016-13 commencing in fiscal year 2020 and are continuing to evaluate the impact that adoption of this update will have on our financial statements or disclosures.</w:t>
      </w:r>
    </w:p>
    <w:p>
      <w:pPr>
        <w:spacing w:after="0" w:line="200" w:lineRule="exact"/>
        <w:rPr>
          <w:sz w:val="20"/>
          <w:szCs w:val="20"/>
          <w:color w:val="auto"/>
        </w:rPr>
      </w:pPr>
    </w:p>
    <w:p>
      <w:pPr>
        <w:spacing w:after="0" w:line="258" w:lineRule="exact"/>
        <w:rPr>
          <w:sz w:val="20"/>
          <w:szCs w:val="20"/>
          <w:color w:val="auto"/>
        </w:rPr>
      </w:pPr>
    </w:p>
    <w:p>
      <w:pPr>
        <w:ind w:left="380" w:hanging="345"/>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ILG Acquisition</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September 1, 2018, (the “Acquisition Date”), we completed the ILG Acquisition. ILG is a leading provider of professionally delivered vacation experiences with a portfolio of leisure businesses ranging from vacation exchange and rental services to vacation ownership, and is the exclusive global licensee for the Hyatt, Sheraton and Westin brands in vacation ownership. The combination of our brands created a leading global provider of upper-upscale vacation ownership, exchange networks and management services with access to world-class loyalty programs and an expanded portfolio of highly demanded vacation destinations.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Shareholders of ILG received 0.165 shares of our common stock and $14.75 in cash for each share of ILG common stock. The following table presents the fair value of each class of consideration transferred at the Acquisition Date, as finalized at September 30,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6"/>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 shares of Marriott Vacations Worldwide common stock issued in exchange for ILG outstanding shares</w:t>
            </w:r>
          </w:p>
        </w:tc>
        <w:tc>
          <w:tcPr>
            <w:tcW w:w="7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Marriott Vacations Worldwide common stock price per share as of Acquisition Date</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119.00</w:t>
            </w:r>
          </w:p>
        </w:tc>
      </w:tr>
      <w:tr>
        <w:trPr>
          <w:trHeight w:val="27"/>
        </w:trPr>
        <w:tc>
          <w:tcPr>
            <w:tcW w:w="90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9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Marriott Vacations Worldwide common stock issued in exchange for ILG outstanding shares</w:t>
            </w:r>
          </w:p>
        </w:tc>
        <w:tc>
          <w:tcPr>
            <w:tcW w:w="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2,441</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Cash consideration to ILG shareholders, net of cash acquired of $154 million</w:t>
            </w:r>
          </w:p>
        </w:tc>
        <w:tc>
          <w:tcPr>
            <w:tcW w:w="7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1,680</w:t>
            </w:r>
          </w:p>
        </w:tc>
      </w:tr>
      <w:tr>
        <w:trPr>
          <w:trHeight w:val="27"/>
        </w:trPr>
        <w:tc>
          <w:tcPr>
            <w:tcW w:w="9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ILG equity-based awards attributed to pre-combination service</w:t>
            </w:r>
          </w:p>
        </w:tc>
        <w:tc>
          <w:tcPr>
            <w:tcW w:w="7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r>
      <w:tr>
        <w:trPr>
          <w:trHeight w:val="237"/>
        </w:trPr>
        <w:tc>
          <w:tcPr>
            <w:tcW w:w="9060" w:type="dxa"/>
            <w:vAlign w:val="bottom"/>
          </w:tcPr>
          <w:p>
            <w:pPr>
              <w:ind w:left="280"/>
              <w:spacing w:after="0"/>
              <w:rPr>
                <w:sz w:val="20"/>
                <w:szCs w:val="20"/>
                <w:color w:val="auto"/>
              </w:rPr>
            </w:pPr>
            <w:r>
              <w:rPr>
                <w:rFonts w:ascii="Arial" w:cs="Arial" w:eastAsia="Arial" w:hAnsi="Arial"/>
                <w:sz w:val="18"/>
                <w:szCs w:val="18"/>
                <w:color w:val="auto"/>
              </w:rPr>
              <w:t>Total consideration transferred, net of cash acquired</w:t>
            </w:r>
          </w:p>
        </w:tc>
        <w:tc>
          <w:tcPr>
            <w:tcW w:w="7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4,185</w:t>
            </w:r>
          </w:p>
        </w:tc>
      </w:tr>
      <w:tr>
        <w:trPr>
          <w:trHeight w:val="27"/>
        </w:trPr>
        <w:tc>
          <w:tcPr>
            <w:tcW w:w="9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7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37"/>
        </w:trPr>
        <w:tc>
          <w:tcPr>
            <w:tcW w:w="906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4,217</w:t>
            </w:r>
          </w:p>
        </w:tc>
      </w:tr>
      <w:tr>
        <w:trPr>
          <w:trHeight w:val="27"/>
        </w:trPr>
        <w:tc>
          <w:tcPr>
            <w:tcW w:w="90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9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of Assets Acquired and Liabilities Assumed</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accounted for the ILG Acquisition as a business combination, which required us to record the assets acquired and liabilities assumed at fair value as of the Acquisition Date. The following table presents the fair values of the assets that we acquired and the liabilities that we assumed on the Acquisition Date in connection with the business combination as previously reported at December 31, 2018 and as finalized at September 30, 2019. During the first three quarters of 2019, we refined our valuation models related to certain acquired property and equipment, inventory, securitized debt and our assumptions related to certain acquired member relationship intangibles. In addition, we recorded an indemnification asset and corresponding liability for tax matters for which we believe we will be indemnified. See Footnote 5, “Income Taxes” for further information. Further, we recorded a receivable for business interruption proceeds collected and we recorded additional liabilities related to the vacation ownership business and for other tax matters.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September 1, 2018</w:t>
            </w:r>
          </w:p>
        </w:tc>
        <w:tc>
          <w:tcPr>
            <w:tcW w:w="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center"/>
              <w:ind w:right="152"/>
              <w:spacing w:after="0"/>
              <w:rPr>
                <w:sz w:val="20"/>
                <w:szCs w:val="20"/>
                <w:color w:val="auto"/>
              </w:rPr>
            </w:pPr>
            <w:r>
              <w:rPr>
                <w:rFonts w:ascii="Arial" w:cs="Arial" w:eastAsia="Arial" w:hAnsi="Arial"/>
                <w:sz w:val="16"/>
                <w:szCs w:val="16"/>
                <w:b w:val="1"/>
                <w:bCs w:val="1"/>
                <w:color w:val="auto"/>
                <w:w w:val="91"/>
              </w:rPr>
              <w:t>September 1, 2018</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(as reported at</w:t>
            </w:r>
          </w:p>
        </w:tc>
        <w:tc>
          <w:tcPr>
            <w:tcW w:w="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center"/>
              <w:ind w:right="152"/>
              <w:spacing w:after="0"/>
              <w:rPr>
                <w:sz w:val="20"/>
                <w:szCs w:val="20"/>
                <w:color w:val="auto"/>
              </w:rPr>
            </w:pPr>
            <w:r>
              <w:rPr>
                <w:rFonts w:ascii="Arial" w:cs="Arial" w:eastAsia="Arial" w:hAnsi="Arial"/>
                <w:sz w:val="16"/>
                <w:szCs w:val="16"/>
                <w:b w:val="1"/>
                <w:bCs w:val="1"/>
                <w:color w:val="auto"/>
                <w:w w:val="89"/>
              </w:rPr>
              <w:t>(as adjusted at</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90"/>
              </w:rPr>
              <w:t>December 31, 2018)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90"/>
              </w:rPr>
              <w:t>September 30, 2019)</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taxes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Securitized debt from VIEs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Net assets acquired</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75"/>
        </w:trPr>
        <w:tc>
          <w:tcPr>
            <w:tcW w:w="4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Goodwill is calculated as total consideration transferred, net of cash acquired, less identified net assets acquired and it represents the value that we expect to obtain from synergies and growth opportunities from our combined operations.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acquired vacation ownership notes receivable, which consist of loans to customers who purchased vacation ownership products and chose to finance their purchase. These vacation ownership notes receivable are collateralized by the underlying vacation ownership interests (“VOIs”) and generally have terms ranging from five to 15 years. We valued vacation ownership notes receivable using a discounted cash flow model, which calculated a present value of expected future cash flows over the term of the respective vacation ownership notes receivable (Level 2). See Footnote 6 “Vacation Ownership Notes Receivable” for additional information.</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acquired inventory, which consisted of completed unsold VOIs and vacation ownership projects under construction. We valued acquired inventory using an income approach, which is primarily based on significant Level 3 assumptions, such as estimates of future income growth, capitalization rates, discount rates and capital expenditure needs of the relevant properties.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acquired property and equipment, which included four owned hotels, information technology, ancillary business assets, furniture and equipment and land held for future development. We valued property and equipment using a combination of the income, cost, and market approaches, which are primarily based on significant Level 3 assumptions, such as estimates of future income growth, capitalization rates, discount rates and capital expenditure needs of the hotels.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We allocated the carrying amount of goodwill to our Vacation Ownership and our Exchange &amp; Third-Party Management reporting units. The following table details the carrying amount of our goodwill at September 30, 2019 and December 31, 2018, and reflects goodwill attributed to the ILG Acquisition.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Exchange &amp; Third-Party</w:t>
            </w: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360" w:type="dxa"/>
            <w:vAlign w:val="bottom"/>
            <w:gridSpan w:val="3"/>
          </w:tcPr>
          <w:p>
            <w:pPr>
              <w:ind w:left="120"/>
              <w:spacing w:after="0"/>
              <w:rPr>
                <w:sz w:val="20"/>
                <w:szCs w:val="20"/>
                <w:color w:val="auto"/>
              </w:rPr>
            </w:pPr>
            <w:r>
              <w:rPr>
                <w:rFonts w:ascii="Arial" w:cs="Arial" w:eastAsia="Arial" w:hAnsi="Arial"/>
                <w:sz w:val="16"/>
                <w:szCs w:val="16"/>
                <w:b w:val="1"/>
                <w:bCs w:val="1"/>
                <w:color w:val="auto"/>
                <w:w w:val="98"/>
              </w:rPr>
              <w:t>Vacation Ownership Segment</w:t>
            </w:r>
          </w:p>
        </w:tc>
        <w:tc>
          <w:tcPr>
            <w:tcW w:w="200" w:type="dxa"/>
            <w:vAlign w:val="bottom"/>
          </w:tcPr>
          <w:p>
            <w:pPr>
              <w:spacing w:after="0"/>
              <w:rPr>
                <w:sz w:val="20"/>
                <w:szCs w:val="20"/>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Management Segment</w:t>
            </w:r>
          </w:p>
        </w:tc>
        <w:tc>
          <w:tcPr>
            <w:tcW w:w="300" w:type="dxa"/>
            <w:vAlign w:val="bottom"/>
          </w:tcPr>
          <w:p>
            <w:pPr>
              <w:spacing w:after="0"/>
              <w:rPr>
                <w:sz w:val="20"/>
                <w:szCs w:val="20"/>
                <w:color w:val="auto"/>
              </w:rPr>
            </w:pPr>
          </w:p>
        </w:tc>
        <w:tc>
          <w:tcPr>
            <w:tcW w:w="194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 Consolidated</w:t>
            </w:r>
          </w:p>
        </w:tc>
      </w:tr>
      <w:tr>
        <w:trPr>
          <w:trHeight w:val="249"/>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940" w:type="dxa"/>
            <w:vAlign w:val="bottom"/>
            <w:tcBorders>
              <w:top w:val="single" w:sz="8" w:color="auto"/>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2,828</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9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7"/>
        </w:trPr>
        <w:tc>
          <w:tcPr>
            <w:tcW w:w="4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2,890</w:t>
            </w:r>
          </w:p>
        </w:tc>
      </w:tr>
      <w:tr>
        <w:trPr>
          <w:trHeight w:val="20"/>
        </w:trPr>
        <w:tc>
          <w:tcPr>
            <w:tcW w:w="4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fair values of ILG’s identified intangible assets and their related estimated useful lives as of the Acquisition Date.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6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Estimated Fair Value</w:t>
            </w:r>
          </w:p>
        </w:tc>
        <w:tc>
          <w:tcPr>
            <w:tcW w:w="100" w:type="dxa"/>
            <w:vAlign w:val="bottom"/>
          </w:tcPr>
          <w:p>
            <w:pPr>
              <w:spacing w:after="0"/>
              <w:rPr>
                <w:sz w:val="18"/>
                <w:szCs w:val="18"/>
                <w:color w:val="auto"/>
              </w:rPr>
            </w:pPr>
          </w:p>
        </w:tc>
        <w:tc>
          <w:tcPr>
            <w:tcW w:w="2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Estimated Useful Life</w:t>
            </w: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4980" w:type="dxa"/>
            <w:vAlign w:val="bottom"/>
          </w:tcPr>
          <w:p>
            <w:pPr>
              <w:spacing w:after="0"/>
              <w:rPr>
                <w:sz w:val="3"/>
                <w:szCs w:val="3"/>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in millions)</w:t>
            </w: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1660" w:type="dxa"/>
            <w:vAlign w:val="bottom"/>
            <w:tcBorders>
              <w:bottom w:val="single" w:sz="8" w:color="CCEEFF"/>
            </w:tcBorders>
          </w:tcPr>
          <w:p>
            <w:pPr>
              <w:spacing w:after="0"/>
              <w:rPr>
                <w:sz w:val="16"/>
                <w:szCs w:val="16"/>
                <w:color w:val="auto"/>
              </w:rPr>
            </w:pPr>
          </w:p>
        </w:tc>
        <w:tc>
          <w:tcPr>
            <w:tcW w:w="49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shd w:val="clear" w:color="auto" w:fill="CCEEFF"/>
              </w:rPr>
              <w:t>Member relationships</w:t>
            </w:r>
          </w:p>
        </w:tc>
        <w:tc>
          <w:tcPr>
            <w:tcW w:w="49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7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15 to 20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Management contracts</w:t>
            </w:r>
          </w:p>
        </w:tc>
        <w:tc>
          <w:tcPr>
            <w:tcW w:w="1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15 to 25</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7"/>
                <w:shd w:val="clear" w:color="auto" w:fill="CCEEFF"/>
              </w:rPr>
              <w:t>Management contracts</w:t>
            </w:r>
          </w:p>
        </w:tc>
        <w:tc>
          <w:tcPr>
            <w:tcW w:w="4980" w:type="dxa"/>
            <w:vAlign w:val="bottom"/>
            <w:tcBorders>
              <w:bottom w:val="single" w:sz="8" w:color="CCEEFF"/>
            </w:tcBorders>
            <w:shd w:val="clear" w:color="auto" w:fill="CCEEFF"/>
          </w:tcPr>
          <w:p>
            <w:pPr>
              <w:jc w:val="right"/>
              <w:ind w:right="4815"/>
              <w:spacing w:after="0"/>
              <w:rPr>
                <w:sz w:val="20"/>
                <w:szCs w:val="20"/>
                <w:color w:val="auto"/>
              </w:rPr>
            </w:pPr>
            <w:r>
              <w:rPr>
                <w:rFonts w:ascii="Arial" w:cs="Arial" w:eastAsia="Arial" w:hAnsi="Arial"/>
                <w:sz w:val="9"/>
                <w:szCs w:val="9"/>
                <w:color w:val="auto"/>
                <w:w w:val="90"/>
              </w:rPr>
              <w:t>(1)</w:t>
            </w:r>
          </w:p>
        </w:tc>
        <w:tc>
          <w:tcPr>
            <w:tcW w:w="1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indefinite</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Trade names and trademarks</w:t>
            </w:r>
          </w:p>
        </w:tc>
        <w:tc>
          <w:tcPr>
            <w:tcW w:w="1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indefinite</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6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47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1,145</w:t>
            </w:r>
          </w:p>
        </w:tc>
        <w:tc>
          <w:tcPr>
            <w:tcW w:w="10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_________________________</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20" w:hanging="652"/>
        <w:spacing w:after="0" w:line="232"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indefinite-lived management contracts, by their terms, continue for the foreseeable horizon. There are no legal, regulatory, contractual, competitive, economic or other factors which limit the period of time over which these resort management contracts are expected to contribute future cash flows. These management contracts are entirely related to the VRI Europe business, which we disposed of in the fourth quarter of 2018.</w:t>
      </w:r>
    </w:p>
    <w:p>
      <w:pPr>
        <w:spacing w:after="0" w:line="1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valued member relationships and management contracts using the multi-period excess earnings method, which is a variation of the income approach. This method estimates an intangible asset’s value based on the present value of the incremental after-tax cash flows attributable to the intangible asset. We valued trade names and trademarks using the relief-from-royalty method, which applies an estimated royalty rate to forecasted future cash flows, discounted to present value. These valuation approaches utilize Level 3 inputs.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Deferred revenue primarily relates to membership fees, which are deferred and recognized over the terms of the applicable memberships, ranging from one to five years, on a straight-line basis. Additionally, deferred revenue includes maintenance fees collected from owners, in certain cases, which are earned by the relevant property owners’ association over the applicable period. We valued deferred revenue utilizing Level 3 inputs based on a review of existing deferred revenue balances against legal performance obligations.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Deferred income taxes primarily relate to the fair value of assets and liabilities acquired, including vacation ownership notes receivable, inventory, property and equipment, intangible assets and debt. We estimated deferred income taxes based on statutory rates in the jurisdictions of the legal entities where the acquired assets and liabilities are recorded.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valued the IAC Notes (as defined in Footnote 14 “Debt”) using a quoted market price, which is considered a Level 2 input as it is observable in the market; however these notes have only a limited trading volume and as such this fair value estimate is not necessarily indicative of the value at which the IAC Notes could be retired or transferred. The carrying value of the outstanding balance on the revolving credit facility that was acquired (the “ILG Revolving Credit Facility”) approximated fair value, as the contractual interest rate was variable plus an applicable margin based on credit rating (Level 3 input). The ILG Revolving Credit Facility was extinguished and all amounts due were repaid in full upon completion of the ILG Acquisition.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Securitized Debt from VIEs</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valued securitized debt from VIEs using a discounted cash flow model. The significant assumptions in our analysis include default rates, prepayment rates, bond interest rates and other structural factors (Level 3 inputs).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 Forma Results of Operations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unaudited pro forma information presents the combined results of operations of Marriott Vacations Worldwide and ILG as if we had completed the ILG Acquisition on December 30, 2016, the last day of our 2016 fiscal year, but using our fair values of assets and liabilities as of the Acquisition Date.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ILG Acquisition had occurred at the beginning of the period presented, nor are they indicative of future results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jc w:val="right"/>
              <w:ind w:right="333"/>
              <w:spacing w:after="0"/>
              <w:rPr>
                <w:sz w:val="20"/>
                <w:szCs w:val="20"/>
                <w:color w:val="auto"/>
              </w:rPr>
            </w:pPr>
            <w:r>
              <w:rPr>
                <w:rFonts w:ascii="Arial" w:cs="Arial" w:eastAsia="Arial" w:hAnsi="Arial"/>
                <w:sz w:val="16"/>
                <w:szCs w:val="16"/>
                <w:b w:val="1"/>
                <w:bCs w:val="1"/>
                <w:color w:val="auto"/>
              </w:rPr>
              <w:t>Nine Months Ended</w:t>
            </w:r>
          </w:p>
        </w:tc>
      </w:tr>
      <w:tr>
        <w:trPr>
          <w:trHeight w:val="237"/>
        </w:trPr>
        <w:tc>
          <w:tcPr>
            <w:tcW w:w="9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September 30, 2018</w:t>
            </w: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3,164</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159</w:t>
            </w:r>
          </w:p>
        </w:tc>
      </w:tr>
      <w:tr>
        <w:trPr>
          <w:trHeight w:val="27"/>
        </w:trPr>
        <w:tc>
          <w:tcPr>
            <w:tcW w:w="9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 ATTRIBUTABLE TO COMMON SHAREHOLDERS</w:t>
            </w: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3.27</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unaudited pro forma results above include $41 million of ILG acquisition-related costs for the nine months ended September 30, 2018.</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ILG Results of Operations</w:t>
      </w:r>
    </w:p>
    <w:p>
      <w:pPr>
        <w:spacing w:after="0" w:line="11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following table presents the results of Legacy-ILG operations included in our Income Statement for the three and nine months ended September 30,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jc w:val="right"/>
              <w:ind w:right="335"/>
              <w:spacing w:after="0"/>
              <w:rPr>
                <w:sz w:val="20"/>
                <w:szCs w:val="20"/>
                <w:color w:val="auto"/>
              </w:rPr>
            </w:pPr>
            <w:r>
              <w:rPr>
                <w:rFonts w:ascii="Arial" w:cs="Arial" w:eastAsia="Arial" w:hAnsi="Arial"/>
                <w:sz w:val="16"/>
                <w:szCs w:val="16"/>
                <w:b w:val="1"/>
                <w:bCs w:val="1"/>
                <w:color w:val="auto"/>
              </w:rPr>
              <w:t>Nine Months Ended</w:t>
            </w:r>
          </w:p>
        </w:tc>
      </w:tr>
      <w:tr>
        <w:trPr>
          <w:trHeight w:val="237"/>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2019</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September 30, 2019</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860" w:type="dxa"/>
            <w:vAlign w:val="bottom"/>
            <w:tcBorders>
              <w:bottom w:val="single" w:sz="8" w:color="CCEEFF"/>
            </w:tcBorders>
            <w:shd w:val="clear" w:color="auto" w:fill="CCEEFF"/>
          </w:tcPr>
          <w:p>
            <w:pPr>
              <w:jc w:val="right"/>
              <w:ind w:right="165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860" w:type="dxa"/>
            <w:vAlign w:val="bottom"/>
          </w:tcPr>
          <w:p>
            <w:pPr>
              <w:jc w:val="right"/>
              <w:ind w:right="165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5"/>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California</w:t>
      </w:r>
    </w:p>
    <w:p>
      <w:pPr>
        <w:spacing w:after="0" w:line="11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During the third quarter of 2019, we acquired 78 completed vacation ownership units, as well as a sales gallery, located at our Marriott Vacation Club Pulse, San Francisco resort for $58 million. We accounted for the transaction as an asset acquisition with the purchase price allocated to Inventory ($48 million) and Property and equipment ($10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first quarter of 2018, we acquired 20 completed vacation ownership units located at our resort in Marco Island, Florida for $24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accounted for the transaction as an asset acquisition with all of the purchase price allocated to Inventory.</w:t>
      </w:r>
    </w:p>
    <w:p>
      <w:pPr>
        <w:spacing w:after="0" w:line="200" w:lineRule="exact"/>
        <w:rPr>
          <w:sz w:val="20"/>
          <w:szCs w:val="20"/>
          <w:color w:val="auto"/>
        </w:rPr>
      </w:pPr>
    </w:p>
    <w:p>
      <w:pPr>
        <w:spacing w:after="0" w:line="277" w:lineRule="exact"/>
        <w:rPr>
          <w:sz w:val="20"/>
          <w:szCs w:val="20"/>
          <w:color w:val="auto"/>
        </w:rPr>
      </w:pPr>
    </w:p>
    <w:p>
      <w:pPr>
        <w:ind w:left="380" w:hanging="345"/>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 by Segment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detail the sources of revenue by segment for the time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3"/>
          </w:tcPr>
          <w:p>
            <w:pPr>
              <w:ind w:left="180"/>
              <w:spacing w:after="0"/>
              <w:rPr>
                <w:sz w:val="20"/>
                <w:szCs w:val="20"/>
                <w:color w:val="auto"/>
              </w:rPr>
            </w:pPr>
            <w:r>
              <w:rPr>
                <w:rFonts w:ascii="Arial" w:cs="Arial" w:eastAsia="Arial" w:hAnsi="Arial"/>
                <w:sz w:val="16"/>
                <w:szCs w:val="16"/>
                <w:b w:val="1"/>
                <w:bCs w:val="1"/>
                <w:color w:val="auto"/>
                <w:w w:val="91"/>
              </w:rPr>
              <w:t>Three Months Ended September 30, 2019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0"/>
              </w:rPr>
              <w:t>Vacation Ownership</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9"/>
              </w:rPr>
              <w:t>Corporate and Other</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Total</w:t>
            </w:r>
          </w:p>
        </w:tc>
      </w:tr>
      <w:tr>
        <w:trPr>
          <w:trHeight w:val="24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31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280</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r>
      <w:tr>
        <w:trPr>
          <w:trHeight w:val="257"/>
        </w:trPr>
        <w:tc>
          <w:tcPr>
            <w:tcW w:w="416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ind w:right="1193"/>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1,082</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75"/>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3"/>
          </w:tcPr>
          <w:p>
            <w:pPr>
              <w:ind w:left="180"/>
              <w:spacing w:after="0"/>
              <w:rPr>
                <w:sz w:val="20"/>
                <w:szCs w:val="20"/>
                <w:color w:val="auto"/>
              </w:rPr>
            </w:pPr>
            <w:r>
              <w:rPr>
                <w:rFonts w:ascii="Arial" w:cs="Arial" w:eastAsia="Arial" w:hAnsi="Arial"/>
                <w:sz w:val="16"/>
                <w:szCs w:val="16"/>
                <w:b w:val="1"/>
                <w:bCs w:val="1"/>
                <w:color w:val="auto"/>
                <w:w w:val="91"/>
              </w:rPr>
              <w:t>Three Months Ended September 30, 2018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0"/>
              </w:rPr>
              <w:t>Vacation Ownership</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9"/>
              </w:rPr>
              <w:t>Corporate and Other</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Total</w:t>
            </w: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0" w:type="dxa"/>
            <w:vAlign w:val="bottom"/>
            <w:gridSpan w:val="2"/>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234</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57"/>
        </w:trPr>
        <w:tc>
          <w:tcPr>
            <w:tcW w:w="416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ind w:right="1193"/>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750</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gridSpan w:val="5"/>
          </w:tcPr>
          <w:p>
            <w:pPr>
              <w:ind w:left="220"/>
              <w:spacing w:after="0"/>
              <w:rPr>
                <w:sz w:val="20"/>
                <w:szCs w:val="20"/>
                <w:color w:val="auto"/>
              </w:rPr>
            </w:pPr>
            <w:r>
              <w:rPr>
                <w:rFonts w:ascii="Arial" w:cs="Arial" w:eastAsia="Arial" w:hAnsi="Arial"/>
                <w:sz w:val="16"/>
                <w:szCs w:val="16"/>
                <w:b w:val="1"/>
                <w:bCs w:val="1"/>
                <w:color w:val="auto"/>
              </w:rPr>
              <w:t>Nine Months Ended September 30, 2019</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0"/>
              </w:rPr>
              <w:t>Vacation Ownership</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9"/>
              </w:rPr>
              <w:t>Corporate and Other</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Total</w:t>
            </w: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709</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472</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819</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r>
      <w:tr>
        <w:trPr>
          <w:trHeight w:val="257"/>
        </w:trPr>
        <w:tc>
          <w:tcPr>
            <w:tcW w:w="416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3,210</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75"/>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5"/>
          </w:tcPr>
          <w:p>
            <w:pPr>
              <w:ind w:left="220"/>
              <w:spacing w:after="0"/>
              <w:rPr>
                <w:sz w:val="20"/>
                <w:szCs w:val="20"/>
                <w:color w:val="auto"/>
              </w:rPr>
            </w:pPr>
            <w:r>
              <w:rPr>
                <w:rFonts w:ascii="Arial" w:cs="Arial" w:eastAsia="Arial" w:hAnsi="Arial"/>
                <w:sz w:val="16"/>
                <w:szCs w:val="16"/>
                <w:b w:val="1"/>
                <w:bCs w:val="1"/>
                <w:color w:val="auto"/>
              </w:rPr>
              <w:t>Nine Months Ended September 30, 2018</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 &amp; Third-</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0"/>
              </w:rPr>
              <w:t>Vacation Ownership</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Party Management</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6"/>
                <w:szCs w:val="16"/>
                <w:b w:val="1"/>
                <w:bCs w:val="1"/>
                <w:color w:val="auto"/>
                <w:w w:val="99"/>
              </w:rPr>
              <w:t>Corporate and Other</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Total</w:t>
            </w: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652</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w:t>
            </w:r>
          </w:p>
        </w:tc>
      </w:tr>
      <w:tr>
        <w:trPr>
          <w:trHeight w:val="324"/>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57"/>
        </w:trPr>
        <w:tc>
          <w:tcPr>
            <w:tcW w:w="416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1,916</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62"/>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Revenue from Contracts with Customers by Segment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detail the timing of revenue from contracts with customers by segment for the time periods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Services transferred over time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Goods or services transferred at a point in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Services transferred over time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Goods or services transferred at a point in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Services transferred over time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Goods or services transferred at a point in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Services transferred over time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Goods or services transferred at a point in time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auto"/>
        </w:rPr>
        <w:t>Three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4200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66"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Exchange &amp; Third-</w:t>
      </w:r>
    </w:p>
    <w:p>
      <w:pPr>
        <w:spacing w:after="0" w:line="26" w:lineRule="exact"/>
        <w:rPr>
          <w:sz w:val="20"/>
          <w:szCs w:val="20"/>
          <w:color w:val="auto"/>
        </w:rPr>
      </w:pPr>
    </w:p>
    <w:p>
      <w:pPr>
        <w:ind w:left="100"/>
        <w:spacing w:after="0"/>
        <w:tabs>
          <w:tab w:leader="none" w:pos="1800" w:val="left"/>
          <w:tab w:leader="none" w:pos="3400" w:val="left"/>
          <w:tab w:leader="none" w:pos="5640" w:val="left"/>
        </w:tabs>
        <w:rPr>
          <w:sz w:val="20"/>
          <w:szCs w:val="20"/>
          <w:color w:val="auto"/>
        </w:rPr>
      </w:pPr>
      <w:r>
        <w:rPr>
          <w:rFonts w:ascii="Arial" w:cs="Arial" w:eastAsia="Arial" w:hAnsi="Arial"/>
          <w:sz w:val="16"/>
          <w:szCs w:val="16"/>
          <w:b w:val="1"/>
          <w:bCs w:val="1"/>
          <w:color w:val="auto"/>
        </w:rPr>
        <w:t>Vacation Ownership</w:t>
      </w:r>
      <w:r>
        <w:rPr>
          <w:sz w:val="20"/>
          <w:szCs w:val="20"/>
          <w:color w:val="auto"/>
        </w:rPr>
        <w:tab/>
      </w:r>
      <w:r>
        <w:rPr>
          <w:rFonts w:ascii="Arial" w:cs="Arial" w:eastAsia="Arial" w:hAnsi="Arial"/>
          <w:sz w:val="16"/>
          <w:szCs w:val="16"/>
          <w:b w:val="1"/>
          <w:bCs w:val="1"/>
          <w:color w:val="auto"/>
        </w:rPr>
        <w:t>Party Management</w:t>
        <w:tab/>
        <w:t>Corporate and Other</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33020</wp:posOffset>
            </wp:positionV>
            <wp:extent cx="713232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540</w:t>
            </w:r>
          </w:p>
        </w:tc>
      </w:tr>
      <w:tr>
        <w:trPr>
          <w:trHeight w:val="270"/>
        </w:trPr>
        <w:tc>
          <w:tcPr>
            <w:tcW w:w="6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470</w:t>
            </w:r>
          </w:p>
        </w:tc>
      </w:tr>
      <w:tr>
        <w:trPr>
          <w:trHeight w:val="27"/>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1,010</w:t>
            </w:r>
          </w:p>
        </w:tc>
      </w:tr>
      <w:tr>
        <w:trPr>
          <w:trHeight w:val="27"/>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07"/>
        </w:trPr>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1"/>
              </w:rPr>
              <w:t>Three Months Ended September 30, 2018</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6"/>
                <w:szCs w:val="16"/>
                <w:b w:val="1"/>
                <w:bCs w:val="1"/>
                <w:color w:val="auto"/>
              </w:rPr>
              <w:t>Exchange &amp; Third-</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1700" w:type="dxa"/>
            <w:vAlign w:val="bottom"/>
            <w:gridSpan w:val="3"/>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Party Management</w:t>
            </w: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Arial" w:cs="Arial" w:eastAsia="Arial" w:hAnsi="Arial"/>
                <w:sz w:val="16"/>
                <w:szCs w:val="16"/>
                <w:b w:val="1"/>
                <w:bCs w:val="1"/>
                <w:color w:val="auto"/>
              </w:rPr>
              <w:t>Total</w:t>
            </w:r>
          </w:p>
        </w:tc>
      </w:tr>
      <w:tr>
        <w:trPr>
          <w:trHeight w:val="33"/>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391</w:t>
            </w:r>
          </w:p>
        </w:tc>
      </w:tr>
      <w:tr>
        <w:trPr>
          <w:trHeight w:val="270"/>
        </w:trPr>
        <w:tc>
          <w:tcPr>
            <w:tcW w:w="6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311</w:t>
            </w:r>
          </w:p>
        </w:tc>
      </w:tr>
      <w:tr>
        <w:trPr>
          <w:trHeight w:val="27"/>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702</w:t>
            </w:r>
          </w:p>
        </w:tc>
      </w:tr>
      <w:tr>
        <w:trPr>
          <w:trHeight w:val="27"/>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23"/>
        </w:trPr>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1"/>
              </w:rPr>
              <w:t>Nine Months Ended September 30, 2019</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6"/>
                <w:szCs w:val="16"/>
                <w:b w:val="1"/>
                <w:bCs w:val="1"/>
                <w:color w:val="auto"/>
              </w:rPr>
              <w:t>Exchange &amp; Third-</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1700" w:type="dxa"/>
            <w:vAlign w:val="bottom"/>
            <w:gridSpan w:val="3"/>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Party Management</w:t>
            </w: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Arial" w:cs="Arial" w:eastAsia="Arial" w:hAnsi="Arial"/>
                <w:sz w:val="16"/>
                <w:szCs w:val="16"/>
                <w:b w:val="1"/>
                <w:bCs w:val="1"/>
                <w:color w:val="auto"/>
              </w:rPr>
              <w:t>Total</w:t>
            </w:r>
          </w:p>
        </w:tc>
      </w:tr>
      <w:tr>
        <w:trPr>
          <w:trHeight w:val="33"/>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1,639</w:t>
            </w:r>
          </w:p>
        </w:tc>
      </w:tr>
      <w:tr>
        <w:trPr>
          <w:trHeight w:val="270"/>
        </w:trPr>
        <w:tc>
          <w:tcPr>
            <w:tcW w:w="6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1,362</w:t>
            </w:r>
          </w:p>
        </w:tc>
      </w:tr>
      <w:tr>
        <w:trPr>
          <w:trHeight w:val="27"/>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3,001</w:t>
            </w:r>
          </w:p>
        </w:tc>
      </w:tr>
      <w:tr>
        <w:trPr>
          <w:trHeight w:val="27"/>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06"/>
        </w:trPr>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1"/>
              </w:rPr>
              <w:t>Nine Months Ended September 30, 2018</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ind w:left="120"/>
              <w:spacing w:after="0"/>
              <w:rPr>
                <w:sz w:val="20"/>
                <w:szCs w:val="20"/>
                <w:color w:val="auto"/>
              </w:rPr>
            </w:pPr>
            <w:r>
              <w:rPr>
                <w:rFonts w:ascii="Arial" w:cs="Arial" w:eastAsia="Arial" w:hAnsi="Arial"/>
                <w:sz w:val="16"/>
                <w:szCs w:val="16"/>
                <w:b w:val="1"/>
                <w:bCs w:val="1"/>
                <w:color w:val="auto"/>
              </w:rPr>
              <w:t>Exchange &amp; Third-</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1700" w:type="dxa"/>
            <w:vAlign w:val="bottom"/>
            <w:gridSpan w:val="3"/>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Party Management</w:t>
            </w: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tcPr>
          <w:p>
            <w:pPr>
              <w:spacing w:after="0"/>
              <w:rPr>
                <w:sz w:val="18"/>
                <w:szCs w:val="18"/>
                <w:color w:val="auto"/>
              </w:rPr>
            </w:pPr>
          </w:p>
        </w:tc>
        <w:tc>
          <w:tcPr>
            <w:tcW w:w="1200" w:type="dxa"/>
            <w:vAlign w:val="bottom"/>
          </w:tcPr>
          <w:p>
            <w:pPr>
              <w:jc w:val="right"/>
              <w:ind w:right="512"/>
              <w:spacing w:after="0"/>
              <w:rPr>
                <w:sz w:val="20"/>
                <w:szCs w:val="20"/>
                <w:color w:val="auto"/>
              </w:rPr>
            </w:pPr>
            <w:r>
              <w:rPr>
                <w:rFonts w:ascii="Arial" w:cs="Arial" w:eastAsia="Arial" w:hAnsi="Arial"/>
                <w:sz w:val="16"/>
                <w:szCs w:val="16"/>
                <w:b w:val="1"/>
                <w:bCs w:val="1"/>
                <w:color w:val="auto"/>
              </w:rPr>
              <w:t>Total</w:t>
            </w:r>
          </w:p>
        </w:tc>
      </w:tr>
      <w:tr>
        <w:trPr>
          <w:trHeight w:val="33"/>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1,034</w:t>
            </w:r>
          </w:p>
        </w:tc>
      </w:tr>
      <w:tr>
        <w:trPr>
          <w:trHeight w:val="270"/>
        </w:trPr>
        <w:tc>
          <w:tcPr>
            <w:tcW w:w="60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763</w:t>
            </w:r>
          </w:p>
        </w:tc>
      </w:tr>
      <w:tr>
        <w:trPr>
          <w:trHeight w:val="27"/>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1,797</w:t>
            </w:r>
          </w:p>
        </w:tc>
      </w:tr>
      <w:tr>
        <w:trPr>
          <w:trHeight w:val="27"/>
        </w:trPr>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-3788410</wp:posOffset>
            </wp:positionV>
            <wp:extent cx="71323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-2990850</wp:posOffset>
            </wp:positionV>
            <wp:extent cx="713232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-2639695</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-1704975</wp:posOffset>
            </wp:positionV>
            <wp:extent cx="713232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-1353820</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-556260</wp:posOffset>
            </wp:positionV>
            <wp:extent cx="713232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-205105</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25" w:right="3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180" w:firstLine="661"/>
        <w:spacing w:after="0" w:line="277" w:lineRule="auto"/>
        <w:rPr>
          <w:sz w:val="20"/>
          <w:szCs w:val="20"/>
          <w:color w:val="auto"/>
        </w:rPr>
      </w:pPr>
      <w:r>
        <w:rPr>
          <w:rFonts w:ascii="Arial" w:cs="Arial" w:eastAsia="Arial" w:hAnsi="Arial"/>
          <w:sz w:val="18"/>
          <w:szCs w:val="18"/>
          <w:color w:val="auto"/>
        </w:rPr>
        <w:t>Revenues were reduced during the third quarter and first three quarters of 2019 by $6 million and $9 million, respectively, due to changes in our estimate of variable consideration for performance obligations that were satisfied in prior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Contract Assets &amp; Contract Liabilities</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shows the composition of our receivables and contract liabilities. We had no contract assets at either September 30, 2019 or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214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September 30, 2019</w:t>
            </w:r>
          </w:p>
        </w:tc>
        <w:tc>
          <w:tcPr>
            <w:tcW w:w="240" w:type="dxa"/>
            <w:vAlign w:val="bottom"/>
          </w:tcPr>
          <w:p>
            <w:pPr>
              <w:spacing w:after="0"/>
              <w:rPr>
                <w:sz w:val="20"/>
                <w:szCs w:val="20"/>
                <w:color w:val="auto"/>
              </w:rPr>
            </w:pPr>
          </w:p>
        </w:tc>
        <w:tc>
          <w:tcPr>
            <w:tcW w:w="200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At December 31, 2018</w:t>
            </w:r>
          </w:p>
        </w:tc>
      </w:tr>
      <w:tr>
        <w:trPr>
          <w:trHeight w:val="249"/>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Receivables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Vacation ownership notes receivable, net</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w:t>
            </w:r>
          </w:p>
        </w:tc>
      </w:tr>
      <w:tr>
        <w:trPr>
          <w:trHeight w:val="236"/>
        </w:trPr>
        <w:tc>
          <w:tcPr>
            <w:tcW w:w="66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2,203</w:t>
            </w:r>
          </w:p>
        </w:tc>
      </w:tr>
      <w:tr>
        <w:trPr>
          <w:trHeight w:val="67"/>
        </w:trPr>
        <w:tc>
          <w:tcPr>
            <w:tcW w:w="66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r>
      <w:tr>
        <w:trPr>
          <w:trHeight w:val="230"/>
        </w:trPr>
        <w:tc>
          <w:tcPr>
            <w:tcW w:w="6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Contract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Advance deposits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r>
      <w:tr>
        <w:trPr>
          <w:trHeight w:val="236"/>
        </w:trPr>
        <w:tc>
          <w:tcPr>
            <w:tcW w:w="66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554</w:t>
            </w:r>
          </w:p>
        </w:tc>
      </w:tr>
      <w:tr>
        <w:trPr>
          <w:trHeight w:val="27"/>
        </w:trPr>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firstLine="661"/>
        <w:spacing w:after="0" w:line="277" w:lineRule="auto"/>
        <w:rPr>
          <w:sz w:val="20"/>
          <w:szCs w:val="20"/>
          <w:color w:val="auto"/>
        </w:rPr>
      </w:pPr>
      <w:r>
        <w:rPr>
          <w:rFonts w:ascii="Arial" w:cs="Arial" w:eastAsia="Arial" w:hAnsi="Arial"/>
          <w:sz w:val="18"/>
          <w:szCs w:val="18"/>
          <w:color w:val="auto"/>
        </w:rPr>
        <w:t>Revenue recognized during the third quarter and first three quarters of 2019 that was included in our contract liabilities balance at December 31, 2018 was $55 million and $258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remaining performance obligations represent the expected transaction price allocated to our contracts that we expect to recognize</w:t>
      </w:r>
    </w:p>
    <w:p>
      <w:pPr>
        <w:spacing w:after="0" w:line="35"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as revenue in future periods when we perform under the contracts. At September 30, 2019, approximately 90 percent of this amount is expected to be recognized as revenue over the next two years.</w:t>
      </w:r>
    </w:p>
    <w:p>
      <w:pPr>
        <w:spacing w:after="0" w:line="200" w:lineRule="exact"/>
        <w:rPr>
          <w:sz w:val="20"/>
          <w:szCs w:val="20"/>
          <w:color w:val="auto"/>
        </w:rPr>
      </w:pPr>
    </w:p>
    <w:p>
      <w:pPr>
        <w:spacing w:after="0" w:line="251" w:lineRule="exact"/>
        <w:rPr>
          <w:sz w:val="20"/>
          <w:szCs w:val="20"/>
          <w:color w:val="auto"/>
        </w:rPr>
      </w:pPr>
    </w:p>
    <w:p>
      <w:pPr>
        <w:ind w:left="380" w:hanging="345"/>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Our provision for income taxes is calculated using an estimated annual effective tax rate, based upon expected annual income, less losses in certain jurisdictions, permanent items, statutory rates and planned tax strategies in the various jurisdictions in which we operate. However, discrete items related to prior year tax items are treated separately.</w:t>
      </w:r>
    </w:p>
    <w:p>
      <w:pPr>
        <w:spacing w:after="0" w:line="7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interim effective tax rate was 404.42 percent and 5.19 percent for the three months ended September 30, 2019 and September 30, 2018, respectively. The increase in effective tax rate is predominately attributable to a change in our projected mix of earnings in international jurisdictions with differing tax rates and jurisdictions where valuation allowances are recorded, primarily as a result of the ILG Acquisition.</w:t>
      </w:r>
    </w:p>
    <w:p>
      <w:pPr>
        <w:spacing w:after="0" w:line="5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Our interim effective tax rate was 43.20 percent and 58.16 percent for the nine months ended September 30, 2019 and September 30, 2018, respectively. The decrease in the effective tax rate is predominately attributable to the change in the mix of expected annual income, partially offset by unfavorable one-time adjustments primarily as a result of the ILG Acquisition.</w:t>
      </w:r>
    </w:p>
    <w:p>
      <w:pPr>
        <w:spacing w:after="0" w:line="7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file income tax returns with U.S. federal and state and non-U.S. jurisdictions and are subject to audits in these jurisdictions. Certain of our returns are being audited in various jurisdictions for years 2012 through 2018. Our unrecognized tax benefit balance could change significantly during the next fiscal year as a result of audits in various jurisdictions. During the nine months ended September 30, 2019, our unrecognized tax benefit balance had increases of $57 million and no material decreases, resulting in a total unrecognized tax benefit balance of $59 million at September 30, 2019. Our total unrecognized tax benefit balance that, if recognized, would impact our effective tax rate, was $19 million at September 30, 2019 and $2 million at December 31,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6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2019, we finalized our purchase price allocation for the ILG Acquisition and recorded a $87 million reserve for Legacy-ILG tax matters prior to the ILG Acquisition. We expect that we will be indemnified for liabilities of $54 million in connection with Legacy-ILG tax matters pursuant to a Tax Matters Agreement dated May 11, 2016 by and among Starwood Hotels &amp; Resorts Worldwide, Inc. (“Starwood”), Vistana Signature Experiences, Inc., and Interval Leisure Group, Inc., and consequently have recorded a corresponding indemnification asset.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 w:hanging="345"/>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OWNERSHIP NOTES RECEIVABLE</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September 30, 2019</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Arial" w:cs="Arial" w:eastAsia="Arial" w:hAnsi="Arial"/>
                <w:sz w:val="16"/>
                <w:szCs w:val="16"/>
                <w:b w:val="1"/>
                <w:bCs w:val="1"/>
                <w:color w:val="auto"/>
                <w:w w:val="92"/>
              </w:rPr>
              <w:t>December 31, 2018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Acquired</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Acquired</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250"/>
        </w:trPr>
        <w:tc>
          <w:tcPr>
            <w:tcW w:w="3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Securitized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1,627</w:t>
            </w:r>
          </w:p>
        </w:tc>
      </w:tr>
      <w:tr>
        <w:trPr>
          <w:trHeight w:val="243"/>
        </w:trPr>
        <w:tc>
          <w:tcPr>
            <w:tcW w:w="3240" w:type="dxa"/>
            <w:vAlign w:val="bottom"/>
          </w:tcPr>
          <w:p>
            <w:pPr>
              <w:ind w:left="160"/>
              <w:spacing w:after="0"/>
              <w:rPr>
                <w:sz w:val="20"/>
                <w:szCs w:val="20"/>
                <w:color w:val="auto"/>
              </w:rPr>
            </w:pPr>
            <w:r>
              <w:rPr>
                <w:rFonts w:ascii="Arial" w:cs="Arial" w:eastAsia="Arial" w:hAnsi="Arial"/>
                <w:sz w:val="18"/>
                <w:szCs w:val="18"/>
                <w:color w:val="auto"/>
              </w:rPr>
              <w:t>Non-securitized</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r>
      <w:tr>
        <w:trPr>
          <w:trHeight w:val="270"/>
        </w:trPr>
        <w:tc>
          <w:tcPr>
            <w:tcW w:w="32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305</w:t>
            </w:r>
          </w:p>
        </w:tc>
      </w:tr>
      <w:tr>
        <w:trPr>
          <w:trHeight w:val="264"/>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w:t>
            </w:r>
          </w:p>
        </w:tc>
      </w:tr>
      <w:tr>
        <w:trPr>
          <w:trHeight w:val="236"/>
        </w:trPr>
        <w:tc>
          <w:tcPr>
            <w:tcW w:w="3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2,039</w:t>
            </w:r>
          </w:p>
        </w:tc>
      </w:tr>
      <w:tr>
        <w:trPr>
          <w:trHeight w:val="27"/>
        </w:trPr>
        <w:tc>
          <w:tcPr>
            <w:tcW w:w="3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Refer to Footnote 7 “Financial Instruments” for a discussion of eligibility of our vacation ownership notes receivable for securitization.</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46" w:lineRule="exact"/>
        <w:rPr>
          <w:sz w:val="20"/>
          <w:szCs w:val="20"/>
          <w:color w:val="auto"/>
        </w:rPr>
      </w:pPr>
    </w:p>
    <w:p>
      <w:pPr>
        <w:ind w:left="40" w:right="180"/>
        <w:spacing w:after="0" w:line="277" w:lineRule="auto"/>
        <w:rPr>
          <w:sz w:val="20"/>
          <w:szCs w:val="20"/>
          <w:color w:val="auto"/>
        </w:rPr>
      </w:pPr>
      <w:r>
        <w:rPr>
          <w:rFonts w:ascii="Arial" w:cs="Arial" w:eastAsia="Arial" w:hAnsi="Arial"/>
          <w:sz w:val="18"/>
          <w:szCs w:val="18"/>
          <w:color w:val="auto"/>
        </w:rPr>
        <w:t>Interest income associated with vacation ownership notes receivable — securitized</w:t>
      </w:r>
    </w:p>
    <w:p>
      <w:pPr>
        <w:spacing w:after="0" w:line="8" w:lineRule="exact"/>
        <w:rPr>
          <w:sz w:val="20"/>
          <w:szCs w:val="20"/>
          <w:color w:val="auto"/>
        </w:rPr>
      </w:pPr>
    </w:p>
    <w:p>
      <w:pPr>
        <w:ind w:left="40" w:right="180"/>
        <w:spacing w:after="0" w:line="277" w:lineRule="auto"/>
        <w:rPr>
          <w:sz w:val="20"/>
          <w:szCs w:val="20"/>
          <w:color w:val="auto"/>
        </w:rPr>
      </w:pPr>
      <w:r>
        <w:rPr>
          <w:rFonts w:ascii="Arial" w:cs="Arial" w:eastAsia="Arial" w:hAnsi="Arial"/>
          <w:sz w:val="18"/>
          <w:szCs w:val="18"/>
          <w:color w:val="auto"/>
        </w:rPr>
        <w:t>Interest income associated with vacation ownership notes receivable — non-securitized</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interest income associated with vacation ownership notes receivable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Vacation Ownership Notes Receivable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278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660" w:type="dxa"/>
            <w:vAlign w:val="bottom"/>
            <w:gridSpan w:val="4"/>
          </w:tcPr>
          <w:p>
            <w:pPr>
              <w:jc w:val="right"/>
              <w:ind w:right="61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00" w:type="dxa"/>
            <w:vAlign w:val="bottom"/>
          </w:tcPr>
          <w:p>
            <w:pPr>
              <w:jc w:val="right"/>
              <w:ind w:right="94"/>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140" w:type="dxa"/>
            <w:vAlign w:val="bottom"/>
          </w:tcPr>
          <w:p>
            <w:pPr>
              <w:spacing w:after="0"/>
              <w:rPr>
                <w:sz w:val="18"/>
                <w:szCs w:val="18"/>
                <w:color w:val="auto"/>
              </w:rPr>
            </w:pPr>
          </w:p>
        </w:tc>
        <w:tc>
          <w:tcPr>
            <w:tcW w:w="1200" w:type="dxa"/>
            <w:vAlign w:val="bottom"/>
          </w:tcPr>
          <w:p>
            <w:pPr>
              <w:jc w:val="right"/>
              <w:ind w:right="415"/>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r>
      <w:tr>
        <w:trPr>
          <w:trHeight w:val="33"/>
        </w:trPr>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39"/>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95</w:t>
            </w:r>
          </w:p>
        </w:tc>
      </w:tr>
      <w:tr>
        <w:trPr>
          <w:trHeight w:val="486"/>
        </w:trPr>
        <w:tc>
          <w:tcPr>
            <w:tcW w:w="14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27"/>
        </w:trPr>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113</w:t>
            </w:r>
          </w:p>
        </w:tc>
      </w:tr>
      <w:tr>
        <w:trPr>
          <w:trHeight w:val="27"/>
        </w:trPr>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-822325</wp:posOffset>
            </wp:positionV>
            <wp:extent cx="71323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-205105</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5360" w:space="160"/>
            <w:col w:w="5720"/>
          </w:cols>
          <w:pgMar w:left="320" w:top="125" w:right="339" w:bottom="1440" w:gutter="0" w:footer="0" w:header="0"/>
          <w:type w:val="continuous"/>
        </w:sectPr>
      </w:pPr>
    </w:p>
    <w:p>
      <w:pPr>
        <w:ind w:right="180" w:firstLine="648"/>
        <w:spacing w:after="0" w:line="257" w:lineRule="auto"/>
        <w:rPr>
          <w:sz w:val="20"/>
          <w:szCs w:val="20"/>
          <w:color w:val="auto"/>
        </w:rPr>
      </w:pPr>
      <w:r>
        <w:rPr>
          <w:rFonts w:ascii="Arial" w:cs="Arial" w:eastAsia="Arial" w:hAnsi="Arial"/>
          <w:sz w:val="18"/>
          <w:szCs w:val="18"/>
          <w:color w:val="auto"/>
        </w:rPr>
        <w:t>As part of the ILG Acquisition, we acquired existing portfolios of vacation ownership notes receivable. These notes receivable are accounted for using the expected cash flow method of recognizing discount accretion based on the expected cash flows from the acquired vacation ownership notes receivable pursuant to ASC 310-30, “</w:t>
      </w:r>
      <w:r>
        <w:rPr>
          <w:rFonts w:ascii="Arial" w:cs="Arial" w:eastAsia="Arial" w:hAnsi="Arial"/>
          <w:sz w:val="18"/>
          <w:szCs w:val="18"/>
          <w:i w:val="1"/>
          <w:iCs w:val="1"/>
          <w:color w:val="auto"/>
        </w:rPr>
        <w:t>Loans acquired with deteriorated credit quality</w:t>
      </w:r>
      <w:r>
        <w:rPr>
          <w:rFonts w:ascii="Arial" w:cs="Arial" w:eastAsia="Arial" w:hAnsi="Arial"/>
          <w:sz w:val="18"/>
          <w:szCs w:val="18"/>
          <w:color w:val="auto"/>
        </w:rPr>
        <w:t>” (“ASC 310-30”). At acquisition, we recorded these vacation ownership notes receivable at fair value, which included a credit discount that is accreted as an adjustment to yield over the estimated life of the vacation ownership notes receivable.</w:t>
      </w:r>
    </w:p>
    <w:p>
      <w:pPr>
        <w:spacing w:after="0" w:line="80"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The fair value of our acquired vacation ownership notes receivable as of the Acquisition Date was determined using a discounted cash flow method, which calculated a present value of expected future cash flows based on scheduled principal and interest payments over the term of the respective vacation ownership notes receivable, while considering anticipated defaults and early repayments based on historical experience. Consequently, the fair value of the acquired vacation ownership notes receivable recorded on our balance sheet as of the Acquisition Date included an estimate for future uncollectible amounts, which became the historical cost basis for that portfolio going forward.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table below presents a rollforward from December 31, 2018 of the accretable yield (interest income) expected to be earned related to our acquired vacation ownership notes receivable, as well as the amount of non-accretable difference at the end of the period. The non-accretable difference represents estimated contractually required payments in excess of estimated cash flows expected to be collected. The accretable yield represents the excess of estimated cash flows expected to be collected over the carrying amount of the acquired vacation ownership notes receivable.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jc w:val="right"/>
              <w:ind w:right="293"/>
              <w:spacing w:after="0"/>
              <w:rPr>
                <w:sz w:val="20"/>
                <w:szCs w:val="20"/>
                <w:color w:val="auto"/>
              </w:rPr>
            </w:pPr>
            <w:r>
              <w:rPr>
                <w:rFonts w:ascii="Arial" w:cs="Arial" w:eastAsia="Arial" w:hAnsi="Arial"/>
                <w:sz w:val="16"/>
                <w:szCs w:val="16"/>
                <w:b w:val="1"/>
                <w:bCs w:val="1"/>
                <w:color w:val="auto"/>
                <w:w w:val="99"/>
              </w:rPr>
              <w:t>Nine Months Ended</w:t>
            </w:r>
          </w:p>
        </w:tc>
      </w:tr>
      <w:tr>
        <w:trPr>
          <w:trHeight w:val="237"/>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w w:val="99"/>
              </w:rPr>
              <w:t>September 30, 2019</w:t>
            </w:r>
          </w:p>
        </w:tc>
      </w:tr>
      <w:tr>
        <w:trPr>
          <w:trHeight w:val="249"/>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Accretable yield balance at December 31,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r>
      <w:tr>
        <w:trPr>
          <w:trHeight w:val="243"/>
        </w:trPr>
        <w:tc>
          <w:tcPr>
            <w:tcW w:w="9100" w:type="dxa"/>
            <w:vAlign w:val="bottom"/>
          </w:tcPr>
          <w:p>
            <w:pPr>
              <w:ind w:left="280"/>
              <w:spacing w:after="0"/>
              <w:rPr>
                <w:sz w:val="20"/>
                <w:szCs w:val="20"/>
                <w:color w:val="auto"/>
              </w:rPr>
            </w:pPr>
            <w:r>
              <w:rPr>
                <w:rFonts w:ascii="Arial" w:cs="Arial" w:eastAsia="Arial" w:hAnsi="Arial"/>
                <w:sz w:val="18"/>
                <w:szCs w:val="18"/>
                <w:color w:val="auto"/>
              </w:rPr>
              <w:t>Accretion</w:t>
            </w:r>
          </w:p>
        </w:tc>
        <w:tc>
          <w:tcPr>
            <w:tcW w:w="2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from non-accretable difference</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97"/>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Accretable yield balance at September 30, 2019</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181</w:t>
            </w:r>
          </w:p>
        </w:tc>
      </w:tr>
      <w:tr>
        <w:trPr>
          <w:trHeight w:val="284"/>
        </w:trPr>
        <w:tc>
          <w:tcPr>
            <w:tcW w:w="9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Non-accretable difference at September 30, 2019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3"/>
              <w:spacing w:after="0"/>
              <w:rPr>
                <w:sz w:val="20"/>
                <w:szCs w:val="20"/>
                <w:color w:val="auto"/>
              </w:rPr>
            </w:pPr>
            <w:r>
              <w:rPr>
                <w:rFonts w:ascii="Arial" w:cs="Arial" w:eastAsia="Arial" w:hAnsi="Arial"/>
                <w:sz w:val="18"/>
                <w:szCs w:val="18"/>
                <w:color w:val="auto"/>
              </w:rPr>
              <w:t>52</w:t>
            </w:r>
          </w:p>
        </w:tc>
      </w:tr>
    </w:tbl>
    <w:p>
      <w:pPr>
        <w:spacing w:after="0" w:line="33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accretable yield is recognized into interest income over the estimated life of the acquired vacation ownership notes receivable using the level yield method. The accretable yield may change in future periods due to changes in the anticipated remaining life of the acquired vacation ownership notes receivable, which may alter the amount of future interest income expected to be collected, and changes in expected future principal and interest cash collections, which impacts the non-accretable difference.</w:t>
      </w:r>
    </w:p>
    <w:p>
      <w:pPr>
        <w:spacing w:after="0" w:line="79"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The cash flow from our acquired vacation ownership notes receivable are remeasured at period end based on expected future cash flows, which takes into consideration an estimated measure of anticipated defaults and early repayments. We consider historical Legacy-ILG vacation ownership notes receivable performance and the current economic environment in developing the expected future cash flows used in the re-measurement of our acquired vacation ownership notes receivable.</w:t>
      </w:r>
    </w:p>
    <w:p>
      <w:pPr>
        <w:spacing w:after="0" w:line="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shows future contractual principal payments, as well as interest rates for our non-securitized and securitized acquired vacation ownership notes receivable, at September 30,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60" w:type="dxa"/>
            <w:vAlign w:val="bottom"/>
            <w:gridSpan w:val="7"/>
          </w:tcPr>
          <w:p>
            <w:pPr>
              <w:jc w:val="center"/>
              <w:ind w:right="71"/>
              <w:spacing w:after="0"/>
              <w:rPr>
                <w:sz w:val="20"/>
                <w:szCs w:val="20"/>
                <w:color w:val="auto"/>
              </w:rPr>
            </w:pPr>
            <w:r>
              <w:rPr>
                <w:rFonts w:ascii="Arial" w:cs="Arial" w:eastAsia="Arial" w:hAnsi="Arial"/>
                <w:sz w:val="16"/>
                <w:szCs w:val="16"/>
                <w:b w:val="1"/>
                <w:bCs w:val="1"/>
                <w:color w:val="auto"/>
                <w:w w:val="91"/>
              </w:rPr>
              <w:t>Acquired Vacation Ownership Notes Receivable</w:t>
            </w:r>
          </w:p>
        </w:tc>
      </w:tr>
      <w:tr>
        <w:trPr>
          <w:trHeight w:val="33"/>
        </w:trPr>
        <w:tc>
          <w:tcPr>
            <w:tcW w:w="5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8"/>
        </w:trPr>
        <w:tc>
          <w:tcPr>
            <w:tcW w:w="5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2"/>
                <w:szCs w:val="22"/>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Non-Securitized</w:t>
            </w:r>
          </w:p>
        </w:tc>
        <w:tc>
          <w:tcPr>
            <w:tcW w:w="280" w:type="dxa"/>
            <w:vAlign w:val="bottom"/>
          </w:tcPr>
          <w:p>
            <w:pPr>
              <w:spacing w:after="0"/>
              <w:rPr>
                <w:sz w:val="22"/>
                <w:szCs w:val="22"/>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Securitized</w:t>
            </w:r>
          </w:p>
        </w:tc>
        <w:tc>
          <w:tcPr>
            <w:tcW w:w="260" w:type="dxa"/>
            <w:vAlign w:val="bottom"/>
          </w:tcPr>
          <w:p>
            <w:pPr>
              <w:spacing w:after="0"/>
              <w:rPr>
                <w:sz w:val="22"/>
                <w:szCs w:val="22"/>
                <w:color w:val="auto"/>
              </w:rPr>
            </w:pPr>
          </w:p>
        </w:tc>
        <w:tc>
          <w:tcPr>
            <w:tcW w:w="1640" w:type="dxa"/>
            <w:vAlign w:val="bottom"/>
          </w:tcPr>
          <w:p>
            <w:pPr>
              <w:jc w:val="center"/>
              <w:ind w:right="171"/>
              <w:spacing w:after="0"/>
              <w:rPr>
                <w:sz w:val="20"/>
                <w:szCs w:val="20"/>
                <w:color w:val="auto"/>
              </w:rPr>
            </w:pPr>
            <w:r>
              <w:rPr>
                <w:rFonts w:ascii="Arial" w:cs="Arial" w:eastAsia="Arial" w:hAnsi="Arial"/>
                <w:sz w:val="16"/>
                <w:szCs w:val="16"/>
                <w:b w:val="1"/>
                <w:bCs w:val="1"/>
                <w:color w:val="auto"/>
                <w:w w:val="88"/>
              </w:rPr>
              <w:t>Total</w:t>
            </w: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249</w:t>
            </w:r>
          </w:p>
        </w:tc>
      </w:tr>
      <w:tr>
        <w:trPr>
          <w:trHeight w:val="27"/>
        </w:trPr>
        <w:tc>
          <w:tcPr>
            <w:tcW w:w="5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18"/>
                <w:szCs w:val="18"/>
                <w:color w:val="auto"/>
              </w:rPr>
              <w:t>Weighted average stated interest rate</w:t>
            </w:r>
          </w:p>
        </w:tc>
        <w:tc>
          <w:tcPr>
            <w:tcW w:w="180" w:type="dxa"/>
            <w:vAlign w:val="bottom"/>
          </w:tcPr>
          <w:p>
            <w:pPr>
              <w:spacing w:after="0"/>
              <w:rPr>
                <w:sz w:val="20"/>
                <w:szCs w:val="20"/>
                <w:color w:val="auto"/>
              </w:rPr>
            </w:pPr>
          </w:p>
        </w:tc>
        <w:tc>
          <w:tcPr>
            <w:tcW w:w="1740" w:type="dxa"/>
            <w:vAlign w:val="bottom"/>
          </w:tcPr>
          <w:p>
            <w:pPr>
              <w:jc w:val="center"/>
              <w:ind w:right="92"/>
              <w:spacing w:after="0"/>
              <w:rPr>
                <w:sz w:val="20"/>
                <w:szCs w:val="20"/>
                <w:color w:val="auto"/>
              </w:rPr>
            </w:pPr>
            <w:r>
              <w:rPr>
                <w:rFonts w:ascii="Arial" w:cs="Arial" w:eastAsia="Arial" w:hAnsi="Arial"/>
                <w:sz w:val="18"/>
                <w:szCs w:val="18"/>
                <w:color w:val="auto"/>
                <w:w w:val="93"/>
              </w:rPr>
              <w:t>13.2%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center"/>
              <w:ind w:right="191"/>
              <w:spacing w:after="0"/>
              <w:rPr>
                <w:sz w:val="20"/>
                <w:szCs w:val="20"/>
                <w:color w:val="auto"/>
              </w:rPr>
            </w:pPr>
            <w:r>
              <w:rPr>
                <w:rFonts w:ascii="Arial" w:cs="Arial" w:eastAsia="Arial" w:hAnsi="Arial"/>
                <w:sz w:val="18"/>
                <w:szCs w:val="18"/>
                <w:color w:val="auto"/>
                <w:w w:val="90"/>
              </w:rPr>
              <w:t>13.4%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center"/>
              <w:ind w:right="171"/>
              <w:spacing w:after="0"/>
              <w:rPr>
                <w:sz w:val="20"/>
                <w:szCs w:val="20"/>
                <w:color w:val="auto"/>
              </w:rPr>
            </w:pPr>
            <w:r>
              <w:rPr>
                <w:rFonts w:ascii="Arial" w:cs="Arial" w:eastAsia="Arial" w:hAnsi="Arial"/>
                <w:sz w:val="18"/>
                <w:szCs w:val="18"/>
                <w:color w:val="auto"/>
                <w:w w:val="90"/>
              </w:rPr>
              <w:t>13.4%</w:t>
            </w:r>
          </w:p>
        </w:tc>
      </w:tr>
      <w:tr>
        <w:trPr>
          <w:trHeight w:val="27"/>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stated interest rates</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3.5% to 17.9%</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6.0% to 16.9%</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ind w:right="171"/>
              <w:spacing w:after="0"/>
              <w:rPr>
                <w:sz w:val="20"/>
                <w:szCs w:val="20"/>
                <w:color w:val="auto"/>
              </w:rPr>
            </w:pPr>
            <w:r>
              <w:rPr>
                <w:rFonts w:ascii="Arial" w:cs="Arial" w:eastAsia="Arial" w:hAnsi="Arial"/>
                <w:sz w:val="18"/>
                <w:szCs w:val="18"/>
                <w:color w:val="auto"/>
                <w:w w:val="90"/>
              </w:rPr>
              <w:t>3.5% to 17.9%</w:t>
            </w:r>
          </w:p>
        </w:tc>
      </w:tr>
      <w:tr>
        <w:trPr>
          <w:trHeight w:val="675"/>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jc w:val="right"/>
              <w:ind w:right="14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Originated Vacation Ownership Notes Receivable</w:t>
      </w:r>
    </w:p>
    <w:p>
      <w:pPr>
        <w:spacing w:after="0" w:line="11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subsequent to the Acquisition Date and all Legacy-MVW vacation ownership notes receivable. The following table shows future principal payments, net of reserves, as well as interest rates, for our originated non-securitized and securitized originated vacation ownership notes receivable at September 30,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80" w:type="dxa"/>
            <w:vAlign w:val="bottom"/>
            <w:gridSpan w:val="7"/>
          </w:tcPr>
          <w:p>
            <w:pPr>
              <w:jc w:val="center"/>
              <w:ind w:right="131"/>
              <w:spacing w:after="0"/>
              <w:rPr>
                <w:sz w:val="20"/>
                <w:szCs w:val="20"/>
                <w:color w:val="auto"/>
              </w:rPr>
            </w:pPr>
            <w:r>
              <w:rPr>
                <w:rFonts w:ascii="Arial" w:cs="Arial" w:eastAsia="Arial" w:hAnsi="Arial"/>
                <w:sz w:val="16"/>
                <w:szCs w:val="16"/>
                <w:b w:val="1"/>
                <w:bCs w:val="1"/>
                <w:color w:val="auto"/>
                <w:w w:val="91"/>
              </w:rPr>
              <w:t>Originated Vacation Ownership Notes Receivable</w:t>
            </w:r>
          </w:p>
        </w:tc>
      </w:tr>
      <w:tr>
        <w:trPr>
          <w:trHeight w:val="33"/>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8"/>
        </w:trPr>
        <w:tc>
          <w:tcPr>
            <w:tcW w:w="5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2"/>
                <w:szCs w:val="22"/>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Non-Securitized</w:t>
            </w:r>
          </w:p>
        </w:tc>
        <w:tc>
          <w:tcPr>
            <w:tcW w:w="280" w:type="dxa"/>
            <w:vAlign w:val="bottom"/>
          </w:tcPr>
          <w:p>
            <w:pPr>
              <w:spacing w:after="0"/>
              <w:rPr>
                <w:sz w:val="22"/>
                <w:szCs w:val="22"/>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Securitized</w:t>
            </w:r>
          </w:p>
        </w:tc>
        <w:tc>
          <w:tcPr>
            <w:tcW w:w="260" w:type="dxa"/>
            <w:vAlign w:val="bottom"/>
          </w:tcPr>
          <w:p>
            <w:pPr>
              <w:spacing w:after="0"/>
              <w:rPr>
                <w:sz w:val="22"/>
                <w:szCs w:val="22"/>
                <w:color w:val="auto"/>
              </w:rPr>
            </w:pPr>
          </w:p>
        </w:tc>
        <w:tc>
          <w:tcPr>
            <w:tcW w:w="1640" w:type="dxa"/>
            <w:vAlign w:val="bottom"/>
          </w:tcPr>
          <w:p>
            <w:pPr>
              <w:jc w:val="center"/>
              <w:ind w:right="171"/>
              <w:spacing w:after="0"/>
              <w:rPr>
                <w:sz w:val="20"/>
                <w:szCs w:val="20"/>
                <w:color w:val="auto"/>
              </w:rPr>
            </w:pPr>
            <w:r>
              <w:rPr>
                <w:rFonts w:ascii="Arial" w:cs="Arial" w:eastAsia="Arial" w:hAnsi="Arial"/>
                <w:sz w:val="16"/>
                <w:szCs w:val="16"/>
                <w:b w:val="1"/>
                <w:bCs w:val="1"/>
                <w:color w:val="auto"/>
                <w:w w:val="88"/>
              </w:rPr>
              <w:t>Total</w:t>
            </w:r>
          </w:p>
        </w:tc>
      </w:tr>
      <w:tr>
        <w:trPr>
          <w:trHeight w:val="249"/>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170</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166</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969</w:t>
            </w:r>
          </w:p>
        </w:tc>
      </w:tr>
      <w:tr>
        <w:trPr>
          <w:trHeight w:val="27"/>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18"/>
                <w:szCs w:val="18"/>
                <w:color w:val="auto"/>
              </w:rPr>
              <w:t>Weighted average stated interest rate</w:t>
            </w:r>
          </w:p>
        </w:tc>
        <w:tc>
          <w:tcPr>
            <w:tcW w:w="260" w:type="dxa"/>
            <w:vAlign w:val="bottom"/>
          </w:tcPr>
          <w:p>
            <w:pPr>
              <w:spacing w:after="0"/>
              <w:rPr>
                <w:sz w:val="20"/>
                <w:szCs w:val="20"/>
                <w:color w:val="auto"/>
              </w:rPr>
            </w:pPr>
          </w:p>
        </w:tc>
        <w:tc>
          <w:tcPr>
            <w:tcW w:w="1660" w:type="dxa"/>
            <w:vAlign w:val="bottom"/>
          </w:tcPr>
          <w:p>
            <w:pPr>
              <w:jc w:val="center"/>
              <w:ind w:right="172"/>
              <w:spacing w:after="0"/>
              <w:rPr>
                <w:sz w:val="20"/>
                <w:szCs w:val="20"/>
                <w:color w:val="auto"/>
              </w:rPr>
            </w:pPr>
            <w:r>
              <w:rPr>
                <w:rFonts w:ascii="Arial" w:cs="Arial" w:eastAsia="Arial" w:hAnsi="Arial"/>
                <w:sz w:val="18"/>
                <w:szCs w:val="18"/>
                <w:color w:val="auto"/>
                <w:w w:val="93"/>
              </w:rPr>
              <w:t>12.1%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center"/>
              <w:ind w:right="191"/>
              <w:spacing w:after="0"/>
              <w:rPr>
                <w:sz w:val="20"/>
                <w:szCs w:val="20"/>
                <w:color w:val="auto"/>
              </w:rPr>
            </w:pPr>
            <w:r>
              <w:rPr>
                <w:rFonts w:ascii="Arial" w:cs="Arial" w:eastAsia="Arial" w:hAnsi="Arial"/>
                <w:sz w:val="18"/>
                <w:szCs w:val="18"/>
                <w:color w:val="auto"/>
                <w:w w:val="90"/>
              </w:rPr>
              <w:t>12.7%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center"/>
              <w:ind w:right="171"/>
              <w:spacing w:after="0"/>
              <w:rPr>
                <w:sz w:val="20"/>
                <w:szCs w:val="20"/>
                <w:color w:val="auto"/>
              </w:rPr>
            </w:pPr>
            <w:r>
              <w:rPr>
                <w:rFonts w:ascii="Arial" w:cs="Arial" w:eastAsia="Arial" w:hAnsi="Arial"/>
                <w:sz w:val="18"/>
                <w:szCs w:val="18"/>
                <w:color w:val="auto"/>
                <w:w w:val="90"/>
              </w:rPr>
              <w:t>12.5%</w:t>
            </w: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Range of stated interest rates</w:t>
            </w: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0.0% to 18.0%</w:t>
            </w: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5.2% to 17.5%</w:t>
            </w: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jc w:val="center"/>
              <w:ind w:right="171"/>
              <w:spacing w:after="0"/>
              <w:rPr>
                <w:sz w:val="20"/>
                <w:szCs w:val="20"/>
                <w:color w:val="auto"/>
              </w:rPr>
            </w:pPr>
            <w:r>
              <w:rPr>
                <w:rFonts w:ascii="Arial" w:cs="Arial" w:eastAsia="Arial" w:hAnsi="Arial"/>
                <w:sz w:val="18"/>
                <w:szCs w:val="18"/>
                <w:color w:val="auto"/>
                <w:w w:val="90"/>
              </w:rPr>
              <w:t>0.0% to 18.0%</w:t>
            </w:r>
          </w:p>
        </w:tc>
      </w:tr>
      <w:tr>
        <w:trPr>
          <w:trHeight w:val="27"/>
        </w:trPr>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originated vacation ownership notes receivable reserve.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5360" w:type="dxa"/>
            <w:vAlign w:val="bottom"/>
            <w:gridSpan w:val="7"/>
          </w:tcPr>
          <w:p>
            <w:pPr>
              <w:jc w:val="right"/>
              <w:ind w:right="293"/>
              <w:spacing w:after="0"/>
              <w:rPr>
                <w:sz w:val="20"/>
                <w:szCs w:val="20"/>
                <w:color w:val="auto"/>
              </w:rPr>
            </w:pPr>
            <w:r>
              <w:rPr>
                <w:rFonts w:ascii="Arial" w:cs="Arial" w:eastAsia="Arial" w:hAnsi="Arial"/>
                <w:sz w:val="16"/>
                <w:szCs w:val="16"/>
                <w:b w:val="1"/>
                <w:bCs w:val="1"/>
                <w:color w:val="auto"/>
              </w:rPr>
              <w:t>Originated Vacation Ownership Notes Receivable Reserve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Non-Securitized</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Securitized</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540" w:type="dxa"/>
            <w:vAlign w:val="bottom"/>
            <w:tcBorders>
              <w:bottom w:val="single" w:sz="8" w:color="CCEEFF"/>
            </w:tcBorders>
            <w:shd w:val="clear" w:color="auto" w:fill="CCEEFF"/>
          </w:tcPr>
          <w:p>
            <w:pPr>
              <w:jc w:val="right"/>
              <w:ind w:right="133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Increase in vacation ownership notes receivable reserve</w:t>
            </w:r>
          </w:p>
        </w:tc>
        <w:tc>
          <w:tcPr>
            <w:tcW w:w="154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Securitizations</w:t>
            </w:r>
          </w:p>
        </w:tc>
        <w:tc>
          <w:tcPr>
            <w:tcW w:w="1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5300" w:type="dxa"/>
            <w:vAlign w:val="bottom"/>
          </w:tcPr>
          <w:p>
            <w:pPr>
              <w:ind w:left="280"/>
              <w:spacing w:after="0"/>
              <w:rPr>
                <w:sz w:val="20"/>
                <w:szCs w:val="20"/>
                <w:color w:val="auto"/>
              </w:rPr>
            </w:pPr>
            <w:r>
              <w:rPr>
                <w:rFonts w:ascii="Arial" w:cs="Arial" w:eastAsia="Arial" w:hAnsi="Arial"/>
                <w:sz w:val="18"/>
                <w:szCs w:val="18"/>
                <w:color w:val="auto"/>
              </w:rPr>
              <w:t>Clean-up call</w:t>
            </w:r>
            <w:r>
              <w:rPr>
                <w:rFonts w:ascii="Arial" w:cs="Arial" w:eastAsia="Arial" w:hAnsi="Arial"/>
                <w:sz w:val="18"/>
                <w:szCs w:val="18"/>
                <w:color w:val="auto"/>
                <w:vertAlign w:val="superscript"/>
              </w:rPr>
              <w:t>(1)</w:t>
            </w:r>
          </w:p>
        </w:tc>
        <w:tc>
          <w:tcPr>
            <w:tcW w:w="1540" w:type="dxa"/>
            <w:vAlign w:val="bottom"/>
          </w:tcPr>
          <w:p>
            <w:pPr>
              <w:spacing w:after="0"/>
              <w:rPr>
                <w:sz w:val="22"/>
                <w:szCs w:val="22"/>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w:t>
            </w:r>
          </w:p>
        </w:tc>
        <w:tc>
          <w:tcPr>
            <w:tcW w:w="15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92"/>
              </w:rPr>
              <w:t>Defaulted vacation ownership notes receivable repurchase activity</w:t>
            </w:r>
            <w:r>
              <w:rPr>
                <w:rFonts w:ascii="Arial" w:cs="Arial" w:eastAsia="Arial" w:hAnsi="Arial"/>
                <w:sz w:val="18"/>
                <w:szCs w:val="18"/>
                <w:color w:val="auto"/>
                <w:w w:val="92"/>
                <w:vertAlign w:val="superscript"/>
              </w:rPr>
              <w:t>(2)</w:t>
            </w:r>
          </w:p>
        </w:tc>
        <w:tc>
          <w:tcPr>
            <w:tcW w:w="15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1540" w:type="dxa"/>
            <w:vAlign w:val="bottom"/>
            <w:tcBorders>
              <w:bottom w:val="single" w:sz="8" w:color="CCEEFF"/>
            </w:tcBorders>
            <w:shd w:val="clear" w:color="auto" w:fill="CCEEFF"/>
          </w:tcPr>
          <w:p>
            <w:pPr>
              <w:jc w:val="right"/>
              <w:ind w:right="133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20" w:hanging="652"/>
        <w:spacing w:after="0" w:line="216"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from our Warehouse Credit Facility.</w:t>
      </w:r>
    </w:p>
    <w:p>
      <w:pPr>
        <w:spacing w:after="0" w:line="40" w:lineRule="exact"/>
        <w:rPr>
          <w:rFonts w:ascii="Arial" w:cs="Arial" w:eastAsia="Arial" w:hAnsi="Arial"/>
          <w:sz w:val="25"/>
          <w:szCs w:val="25"/>
          <w:color w:val="auto"/>
          <w:vertAlign w:val="superscript"/>
        </w:rPr>
      </w:pPr>
    </w:p>
    <w:p>
      <w:pPr>
        <w:ind w:left="660" w:right="200" w:hanging="652"/>
        <w:spacing w:after="0" w:line="252"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Legacy-MVW Vacation Ownership Notes Receivable</w:t>
      </w:r>
    </w:p>
    <w:p>
      <w:pPr>
        <w:spacing w:after="0" w:line="11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and fully reserve such amounts.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Asia Pacific or Europe, when revocation is complete. For both Legacy-MVW non-securitized and securitized vacation ownership notes receivable, we estimated average remaining default rates of 7.00 percent and 7.01 percent as of September 30, 2019 and December 31, 2018, respectively. A 0.5 percentage point increase in the estimated default rate would have resulted in an increase in our vacation ownership notes receivable reserve of $7 million as of both September 30, 2019 and December 31, 2018.</w:t>
      </w:r>
    </w:p>
    <w:p>
      <w:pPr>
        <w:spacing w:after="0" w:line="6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Legacy-MVW vacation ownership notes receivable, which are vacation ownership notes receivable that are 90 days or more past due.</w:t>
      </w:r>
    </w:p>
    <w:p>
      <w:pPr>
        <w:spacing w:after="0" w:line="130"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Legacy-MVW Vacation Ownership Notes Receivable</w:t>
      </w:r>
    </w:p>
    <w:p>
      <w:pPr>
        <w:spacing w:after="0" w:line="9" w:lineRule="exact"/>
        <w:rPr>
          <w:sz w:val="20"/>
          <w:szCs w:val="20"/>
          <w:color w:val="auto"/>
        </w:rPr>
      </w:pPr>
    </w:p>
    <w:p>
      <w:pPr>
        <w:ind w:left="40"/>
        <w:spacing w:after="0"/>
        <w:tabs>
          <w:tab w:leader="none" w:pos="5680" w:val="left"/>
          <w:tab w:leader="none" w:pos="7860" w:val="left"/>
          <w:tab w:leader="none" w:pos="10100" w:val="left"/>
        </w:tabs>
        <w:rPr>
          <w:sz w:val="20"/>
          <w:szCs w:val="20"/>
          <w:color w:val="auto"/>
        </w:rPr>
      </w:pPr>
      <w:r>
        <w:rPr>
          <w:rFonts w:ascii="Arial" w:cs="Arial" w:eastAsia="Arial" w:hAnsi="Arial"/>
          <w:sz w:val="28"/>
          <w:szCs w:val="28"/>
          <w:b w:val="1"/>
          <w:bCs w:val="1"/>
          <w:i w:val="1"/>
          <w:iCs w:val="1"/>
          <w:color w:val="auto"/>
          <w:vertAlign w:val="subscript"/>
        </w:rPr>
        <w:t>($ in millions)</w:t>
      </w:r>
      <w:r>
        <w:rPr>
          <w:sz w:val="20"/>
          <w:szCs w:val="20"/>
          <w:color w:val="auto"/>
        </w:rPr>
        <w:tab/>
      </w:r>
      <w:r>
        <w:rPr>
          <w:rFonts w:ascii="Arial" w:cs="Arial" w:eastAsia="Arial" w:hAnsi="Arial"/>
          <w:sz w:val="16"/>
          <w:szCs w:val="16"/>
          <w:b w:val="1"/>
          <w:bCs w:val="1"/>
          <w:color w:val="auto"/>
        </w:rPr>
        <w:t>Non-Securitized</w:t>
      </w:r>
      <w:r>
        <w:rPr>
          <w:sz w:val="20"/>
          <w:szCs w:val="20"/>
          <w:color w:val="auto"/>
        </w:rPr>
        <w:tab/>
      </w:r>
      <w:r>
        <w:rPr>
          <w:rFonts w:ascii="Arial" w:cs="Arial" w:eastAsia="Arial" w:hAnsi="Arial"/>
          <w:sz w:val="16"/>
          <w:szCs w:val="16"/>
          <w:b w:val="1"/>
          <w:bCs w:val="1"/>
          <w:color w:val="auto"/>
        </w:rPr>
        <w:t>Securitized</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-171450</wp:posOffset>
            </wp:positionV>
            <wp:extent cx="37719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5"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September 30, 2019</w:t>
      </w:r>
    </w:p>
    <w:p>
      <w:pPr>
        <w:spacing w:after="0" w:line="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December 31, 2018</w:t>
      </w:r>
    </w:p>
    <w:p>
      <w:pPr>
        <w:spacing w:after="0" w:line="8" w:lineRule="exact"/>
        <w:rPr>
          <w:sz w:val="20"/>
          <w:szCs w:val="20"/>
          <w:color w:val="auto"/>
        </w:rPr>
      </w:pPr>
    </w:p>
    <w:p>
      <w:pPr>
        <w:ind w:left="40" w:right="36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third quarter of 2019</w:t>
      </w:r>
    </w:p>
    <w:p>
      <w:pPr>
        <w:spacing w:after="0" w:line="8" w:lineRule="exact"/>
        <w:rPr>
          <w:sz w:val="20"/>
          <w:szCs w:val="20"/>
          <w:color w:val="auto"/>
        </w:rPr>
      </w:pPr>
    </w:p>
    <w:p>
      <w:pPr>
        <w:ind w:left="40" w:right="36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third quarter of 2018</w:t>
      </w:r>
    </w:p>
    <w:p>
      <w:pPr>
        <w:spacing w:after="0" w:line="8" w:lineRule="exact"/>
        <w:rPr>
          <w:sz w:val="20"/>
          <w:szCs w:val="20"/>
          <w:color w:val="auto"/>
        </w:rPr>
      </w:pPr>
    </w:p>
    <w:p>
      <w:pPr>
        <w:ind w:left="40" w:right="36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first three quarters of 2019</w:t>
      </w:r>
    </w:p>
    <w:p>
      <w:pPr>
        <w:spacing w:after="0" w:line="8" w:lineRule="exact"/>
        <w:rPr>
          <w:sz w:val="20"/>
          <w:szCs w:val="20"/>
          <w:color w:val="auto"/>
        </w:rPr>
      </w:pPr>
    </w:p>
    <w:p>
      <w:pPr>
        <w:ind w:left="40" w:right="36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first three quarters of 2018</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107950</wp:posOffset>
            </wp:positionV>
            <wp:extent cx="71323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107950</wp:posOffset>
            </wp:positionV>
            <wp:extent cx="71323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41</w:t>
            </w:r>
          </w:p>
        </w:tc>
        <w:tc>
          <w:tcPr>
            <w:tcW w:w="1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8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36</w:t>
            </w:r>
          </w:p>
        </w:tc>
        <w:tc>
          <w:tcPr>
            <w:tcW w:w="1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8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41</w:t>
            </w:r>
          </w:p>
        </w:tc>
        <w:tc>
          <w:tcPr>
            <w:tcW w:w="1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8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40</w:t>
            </w:r>
          </w:p>
        </w:tc>
        <w:tc>
          <w:tcPr>
            <w:tcW w:w="1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8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39</w:t>
            </w:r>
          </w:p>
        </w:tc>
        <w:tc>
          <w:tcPr>
            <w:tcW w:w="1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86"/>
        </w:trPr>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39</w:t>
            </w:r>
          </w:p>
        </w:tc>
        <w:tc>
          <w:tcPr>
            <w:tcW w:w="100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339" w:lineRule="exact"/>
        <w:rPr>
          <w:sz w:val="20"/>
          <w:szCs w:val="20"/>
          <w:color w:val="auto"/>
        </w:rPr>
      </w:pPr>
    </w:p>
    <w:p>
      <w:pPr>
        <w:sectPr>
          <w:pgSz w:w="11900" w:h="16838" w:orient="portrait"/>
          <w:cols w:equalWidth="0" w:num="3">
            <w:col w:w="5260" w:space="60"/>
            <w:col w:w="880" w:space="720"/>
            <w:col w:w="4320"/>
          </w:cols>
          <w:pgMar w:left="320" w:top="125" w:right="339" w:bottom="1440" w:gutter="0" w:footer="0" w:header="0"/>
          <w:type w:val="continuous"/>
        </w:sectPr>
      </w:pPr>
    </w:p>
    <w:p>
      <w:pPr>
        <w:spacing w:after="0" w:line="15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September 30,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40" w:type="dxa"/>
            <w:vAlign w:val="bottom"/>
            <w:gridSpan w:val="6"/>
          </w:tcPr>
          <w:p>
            <w:pPr>
              <w:jc w:val="center"/>
              <w:ind w:left="812"/>
              <w:spacing w:after="0"/>
              <w:rPr>
                <w:sz w:val="20"/>
                <w:szCs w:val="20"/>
                <w:color w:val="auto"/>
              </w:rPr>
            </w:pPr>
            <w:r>
              <w:rPr>
                <w:rFonts w:ascii="Arial" w:cs="Arial" w:eastAsia="Arial" w:hAnsi="Arial"/>
                <w:sz w:val="16"/>
                <w:szCs w:val="16"/>
                <w:b w:val="1"/>
                <w:bCs w:val="1"/>
                <w:color w:val="auto"/>
                <w:w w:val="92"/>
              </w:rPr>
              <w:t>Legacy-MVW Vacation Ownership Notes Receivable</w:t>
            </w:r>
          </w:p>
        </w:tc>
        <w:tc>
          <w:tcPr>
            <w:tcW w:w="1140" w:type="dxa"/>
            <w:vAlign w:val="bottom"/>
          </w:tcPr>
          <w:p>
            <w:pPr>
              <w:spacing w:after="0"/>
              <w:rPr>
                <w:sz w:val="18"/>
                <w:szCs w:val="18"/>
                <w:color w:val="auto"/>
              </w:rPr>
            </w:pPr>
          </w:p>
        </w:tc>
      </w:tr>
      <w:tr>
        <w:trPr>
          <w:trHeight w:val="33"/>
        </w:trPr>
        <w:tc>
          <w:tcPr>
            <w:tcW w:w="53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53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2"/>
                <w:szCs w:val="22"/>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Non-Securitized</w:t>
            </w:r>
          </w:p>
        </w:tc>
        <w:tc>
          <w:tcPr>
            <w:tcW w:w="34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Securitized</w:t>
            </w:r>
          </w:p>
        </w:tc>
        <w:tc>
          <w:tcPr>
            <w:tcW w:w="760" w:type="dxa"/>
            <w:vAlign w:val="bottom"/>
          </w:tcPr>
          <w:p>
            <w:pPr>
              <w:spacing w:after="0"/>
              <w:rPr>
                <w:sz w:val="22"/>
                <w:szCs w:val="22"/>
                <w:color w:val="auto"/>
              </w:rPr>
            </w:pPr>
          </w:p>
        </w:tc>
        <w:tc>
          <w:tcPr>
            <w:tcW w:w="1140" w:type="dxa"/>
            <w:vAlign w:val="bottom"/>
          </w:tcPr>
          <w:p>
            <w:pPr>
              <w:jc w:val="right"/>
              <w:ind w:right="691"/>
              <w:spacing w:after="0"/>
              <w:rPr>
                <w:sz w:val="20"/>
                <w:szCs w:val="20"/>
                <w:color w:val="auto"/>
              </w:rPr>
            </w:pPr>
            <w:r>
              <w:rPr>
                <w:rFonts w:ascii="Arial" w:cs="Arial" w:eastAsia="Arial" w:hAnsi="Arial"/>
                <w:sz w:val="16"/>
                <w:szCs w:val="16"/>
                <w:b w:val="1"/>
                <w:bCs w:val="1"/>
                <w:color w:val="auto"/>
                <w:w w:val="88"/>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06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5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5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w:t>
            </w:r>
          </w:p>
        </w:tc>
      </w:tr>
      <w:tr>
        <w:trPr>
          <w:trHeight w:val="237"/>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1,511</w:t>
            </w:r>
          </w:p>
        </w:tc>
      </w:tr>
      <w:tr>
        <w:trPr>
          <w:trHeight w:val="27"/>
        </w:trPr>
        <w:tc>
          <w:tcPr>
            <w:tcW w:w="2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40" w:type="dxa"/>
            <w:vAlign w:val="bottom"/>
            <w:gridSpan w:val="6"/>
          </w:tcPr>
          <w:p>
            <w:pPr>
              <w:jc w:val="center"/>
              <w:ind w:left="812"/>
              <w:spacing w:after="0"/>
              <w:rPr>
                <w:sz w:val="20"/>
                <w:szCs w:val="20"/>
                <w:color w:val="auto"/>
              </w:rPr>
            </w:pPr>
            <w:r>
              <w:rPr>
                <w:rFonts w:ascii="Arial" w:cs="Arial" w:eastAsia="Arial" w:hAnsi="Arial"/>
                <w:sz w:val="16"/>
                <w:szCs w:val="16"/>
                <w:b w:val="1"/>
                <w:bCs w:val="1"/>
                <w:color w:val="auto"/>
                <w:w w:val="92"/>
              </w:rPr>
              <w:t>Legacy-MVW Vacation Ownership Notes Receivable</w:t>
            </w:r>
          </w:p>
        </w:tc>
        <w:tc>
          <w:tcPr>
            <w:tcW w:w="1140" w:type="dxa"/>
            <w:vAlign w:val="bottom"/>
          </w:tcPr>
          <w:p>
            <w:pPr>
              <w:spacing w:after="0"/>
              <w:rPr>
                <w:sz w:val="18"/>
                <w:szCs w:val="18"/>
                <w:color w:val="auto"/>
              </w:rPr>
            </w:pPr>
          </w:p>
        </w:tc>
      </w:tr>
      <w:tr>
        <w:trPr>
          <w:trHeight w:val="33"/>
        </w:trPr>
        <w:tc>
          <w:tcPr>
            <w:tcW w:w="53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53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2"/>
                <w:szCs w:val="22"/>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Non-Securitized</w:t>
            </w:r>
          </w:p>
        </w:tc>
        <w:tc>
          <w:tcPr>
            <w:tcW w:w="34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Securitized</w:t>
            </w:r>
          </w:p>
        </w:tc>
        <w:tc>
          <w:tcPr>
            <w:tcW w:w="760" w:type="dxa"/>
            <w:vAlign w:val="bottom"/>
          </w:tcPr>
          <w:p>
            <w:pPr>
              <w:spacing w:after="0"/>
              <w:rPr>
                <w:sz w:val="22"/>
                <w:szCs w:val="22"/>
                <w:color w:val="auto"/>
              </w:rPr>
            </w:pPr>
          </w:p>
        </w:tc>
        <w:tc>
          <w:tcPr>
            <w:tcW w:w="1140" w:type="dxa"/>
            <w:vAlign w:val="bottom"/>
          </w:tcPr>
          <w:p>
            <w:pPr>
              <w:jc w:val="right"/>
              <w:ind w:right="691"/>
              <w:spacing w:after="0"/>
              <w:rPr>
                <w:sz w:val="20"/>
                <w:szCs w:val="20"/>
                <w:color w:val="auto"/>
              </w:rPr>
            </w:pPr>
            <w:r>
              <w:rPr>
                <w:rFonts w:ascii="Arial" w:cs="Arial" w:eastAsia="Arial" w:hAnsi="Arial"/>
                <w:sz w:val="16"/>
                <w:szCs w:val="16"/>
                <w:b w:val="1"/>
                <w:bCs w:val="1"/>
                <w:color w:val="auto"/>
                <w:w w:val="88"/>
              </w:rPr>
              <w:t>Total</w:t>
            </w:r>
          </w:p>
        </w:tc>
      </w:tr>
      <w:tr>
        <w:trPr>
          <w:trHeight w:val="249"/>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06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6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5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36"/>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5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r>
      <w:tr>
        <w:trPr>
          <w:trHeight w:val="236"/>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1,403</w:t>
            </w:r>
          </w:p>
        </w:tc>
      </w:tr>
      <w:tr>
        <w:trPr>
          <w:trHeight w:val="27"/>
        </w:trPr>
        <w:tc>
          <w:tcPr>
            <w:tcW w:w="2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Legacy-ILG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an ongoing basis, we monitor credit quality of our Legacy-ILG vacation ownership notes receivable portfolio based on payment activity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980" w:right="4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 The vacation ownership note receivable is in good standing as payments and reporting are current per the terms contractually stipulated in the agreement.</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Delinquent — We consider a vacation ownership note receivable to be delinquent based on the contractual terms of each individual financing agreement.</w:t>
      </w:r>
    </w:p>
    <w:p>
      <w:pPr>
        <w:spacing w:after="0" w:line="62" w:lineRule="exact"/>
        <w:rPr>
          <w:rFonts w:ascii="Arial" w:cs="Arial" w:eastAsia="Arial" w:hAnsi="Arial"/>
          <w:sz w:val="18"/>
          <w:szCs w:val="18"/>
          <w:color w:val="auto"/>
        </w:rPr>
      </w:pPr>
    </w:p>
    <w:p>
      <w:pPr>
        <w:ind w:left="980" w:right="80" w:hanging="324"/>
        <w:spacing w:after="0" w:line="30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Non-performing — Our vacation ownership notes receivable are generally considered non-performing if interest or principal is more than 30 days past due. All non-performing vacation ownership notes receivable are placed on non-accrual status when they are over 90 days past due. We resume accruing interest when vacation ownership notes receivable are less than 90 days past due. We apply payments we receive for vacation ownership notes receivable on non-performing status first to interest, then to principal, and any remainder to fees.</w:t>
      </w:r>
    </w:p>
    <w:p>
      <w:pPr>
        <w:spacing w:after="0" w:line="49"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We consider vacation ownership notes receivable to be in default upon reaching 120 days outstanding. We use the origination of the vacation ownership notes receivable by brand (Hyatt, Sheraton or Westin) and the FICO scores of the customer as the primary credit quality indicators for our Legacy-ILG vacation ownership notes receivable, as historical performance indicates that there is a relationship between the default behavior of borrowers and the brand associated with the vacation ownership property they have acquired, supplemented by the FICO scores of the customers.</w:t>
      </w:r>
    </w:p>
    <w:p>
      <w:pPr>
        <w:spacing w:after="0" w:line="4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At September 30, 2019 and December 31, 2018, the weighted average FICO score within our consolidated Legacy-ILG vacation ownership notes receivable pools was 711 and 710, respectively, based upon the outstanding vacation ownership notes receivable balance at time of origination. The average estimated rate for all future defaults for our Legacy-ILG consolidated outstanding pool of vacation ownership notes receivable as of September 30, 2019 and December 31, 2018 was 12.47 percent and 12.37 percent, respectively. A 0.5 percentage point increase in the estimated default rate on the Legacy-ILG originated vacation ownership notes receivable would have resulted in an increase in the related vacation ownership notes receivable reserve of $2 million and $1 million as of September 30, 2019 and December 31, 2018,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Legacy-ILG acquired vacation ownership notes receivable by brand and FICO score as of September 30,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gridSpan w:val="6"/>
          </w:tcPr>
          <w:p>
            <w:pPr>
              <w:jc w:val="right"/>
              <w:ind w:right="213"/>
              <w:spacing w:after="0"/>
              <w:rPr>
                <w:sz w:val="20"/>
                <w:szCs w:val="20"/>
                <w:color w:val="auto"/>
              </w:rPr>
            </w:pPr>
            <w:r>
              <w:rPr>
                <w:rFonts w:ascii="Arial" w:cs="Arial" w:eastAsia="Arial" w:hAnsi="Arial"/>
                <w:sz w:val="16"/>
                <w:szCs w:val="16"/>
                <w:b w:val="1"/>
                <w:bCs w:val="1"/>
                <w:color w:val="auto"/>
              </w:rPr>
              <w:t>Acquired Vacation Ownership Notes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700 +</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&lt; 600</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 Score</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Westin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Sheraton</w:t>
            </w:r>
          </w:p>
        </w:tc>
        <w:tc>
          <w:tcPr>
            <w:tcW w:w="3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Hyatt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2"/>
            <w:vMerge w:val="restart"/>
          </w:tcPr>
          <w:p>
            <w:pPr>
              <w:jc w:val="right"/>
              <w:ind w:right="1154"/>
              <w:spacing w:after="0"/>
              <w:rPr>
                <w:sz w:val="20"/>
                <w:szCs w:val="20"/>
                <w:color w:val="auto"/>
              </w:rPr>
            </w:pPr>
            <w:r>
              <w:rPr>
                <w:rFonts w:ascii="Arial" w:cs="Arial" w:eastAsia="Arial" w:hAnsi="Arial"/>
                <w:sz w:val="18"/>
                <w:szCs w:val="18"/>
                <w:color w:val="auto"/>
                <w:w w:val="89"/>
              </w:rPr>
              <w:t>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with no FICO score primarily relate to non-U.S. resident borrowers.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6"/>
          <w:szCs w:val="16"/>
          <w:color w:val="auto"/>
        </w:rPr>
        <w:t>The following table shows the Legacy-ILG acquired vacation ownership notes receivable by brand and FICO score as of December 31,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gridSpan w:val="6"/>
          </w:tcPr>
          <w:p>
            <w:pPr>
              <w:jc w:val="right"/>
              <w:ind w:right="213"/>
              <w:spacing w:after="0"/>
              <w:rPr>
                <w:sz w:val="20"/>
                <w:szCs w:val="20"/>
                <w:color w:val="auto"/>
              </w:rPr>
            </w:pPr>
            <w:r>
              <w:rPr>
                <w:rFonts w:ascii="Arial" w:cs="Arial" w:eastAsia="Arial" w:hAnsi="Arial"/>
                <w:sz w:val="16"/>
                <w:szCs w:val="16"/>
                <w:b w:val="1"/>
                <w:bCs w:val="1"/>
                <w:color w:val="auto"/>
              </w:rPr>
              <w:t>Acquired Vacation Ownership Notes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700 +</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&lt; 600</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 Score</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Westin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Sheraton</w:t>
            </w:r>
          </w:p>
        </w:tc>
        <w:tc>
          <w:tcPr>
            <w:tcW w:w="3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Hyatt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2"/>
            <w:vMerge w:val="restart"/>
          </w:tcPr>
          <w:p>
            <w:pPr>
              <w:jc w:val="right"/>
              <w:ind w:right="1154"/>
              <w:spacing w:after="0"/>
              <w:rPr>
                <w:sz w:val="20"/>
                <w:szCs w:val="20"/>
                <w:color w:val="auto"/>
              </w:rPr>
            </w:pPr>
            <w:r>
              <w:rPr>
                <w:rFonts w:ascii="Arial" w:cs="Arial" w:eastAsia="Arial" w:hAnsi="Arial"/>
                <w:sz w:val="18"/>
                <w:szCs w:val="18"/>
                <w:color w:val="auto"/>
                <w:w w:val="89"/>
              </w:rPr>
              <w:t>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540" w:right="3000" w:hanging="5532"/>
        <w:spacing w:after="0" w:line="465" w:lineRule="auto"/>
        <w:tabs>
          <w:tab w:leader="none" w:pos="662"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with no FICO score primarily relate to non-U.S. resident borrowers. 22</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Legacy-ILG originated vacation ownership notes receivable by brand and FICO score as of September 30, 2019.</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gridSpan w:val="6"/>
          </w:tcPr>
          <w:p>
            <w:pPr>
              <w:jc w:val="right"/>
              <w:ind w:right="153"/>
              <w:spacing w:after="0"/>
              <w:rPr>
                <w:sz w:val="20"/>
                <w:szCs w:val="20"/>
                <w:color w:val="auto"/>
              </w:rPr>
            </w:pPr>
            <w:r>
              <w:rPr>
                <w:rFonts w:ascii="Arial" w:cs="Arial" w:eastAsia="Arial" w:hAnsi="Arial"/>
                <w:sz w:val="16"/>
                <w:szCs w:val="16"/>
                <w:b w:val="1"/>
                <w:bCs w:val="1"/>
                <w:color w:val="auto"/>
                <w:w w:val="99"/>
              </w:rPr>
              <w:t>Originated Vacation Ownership Notes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5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700 +</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&lt; 600</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 Score</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5"/>
        </w:trPr>
        <w:tc>
          <w:tcPr>
            <w:tcW w:w="540" w:type="dxa"/>
            <w:vAlign w:val="bottom"/>
            <w:tcBorders>
              <w:top w:val="single" w:sz="8" w:color="CCEEFF"/>
              <w:left w:val="single" w:sz="8" w:color="CCEEFF"/>
              <w:bottom w:val="single" w:sz="8" w:color="CCEEFF"/>
            </w:tcBorders>
            <w:gridSpan w:val="2"/>
            <w:shd w:val="clear" w:color="auto" w:fill="BFE4FF"/>
          </w:tcPr>
          <w:p>
            <w:pPr>
              <w:ind w:left="40"/>
              <w:spacing w:after="0" w:line="191" w:lineRule="exact"/>
              <w:rPr>
                <w:sz w:val="20"/>
                <w:szCs w:val="20"/>
                <w:color w:val="auto"/>
              </w:rPr>
            </w:pPr>
            <w:r>
              <w:rPr>
                <w:rFonts w:ascii="Arial" w:cs="Arial" w:eastAsia="Arial" w:hAnsi="Arial"/>
                <w:sz w:val="18"/>
                <w:szCs w:val="18"/>
                <w:color w:val="auto"/>
                <w:w w:val="87"/>
                <w:shd w:val="clear" w:color="auto" w:fill="BFE4FF"/>
              </w:rPr>
              <w:t>Westin</w:t>
            </w:r>
          </w:p>
        </w:tc>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CCEEFF"/>
            </w:tcBorders>
            <w:shd w:val="clear" w:color="auto" w:fill="CCEEFF"/>
          </w:tcPr>
          <w:p>
            <w:pPr>
              <w:jc w:val="right"/>
              <w:ind w:right="32"/>
              <w:spacing w:after="0" w:line="191" w:lineRule="exact"/>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jc w:val="right"/>
              <w:ind w:right="70"/>
              <w:spacing w:after="0" w:line="191"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bottom w:val="single" w:sz="8" w:color="CCEEFF"/>
            </w:tcBorders>
            <w:shd w:val="clear" w:color="auto" w:fill="CCEEFF"/>
          </w:tcPr>
          <w:p>
            <w:pPr>
              <w:jc w:val="right"/>
              <w:ind w:right="13"/>
              <w:spacing w:after="0" w:line="191" w:lineRule="exact"/>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jc w:val="right"/>
              <w:ind w:right="913"/>
              <w:spacing w:after="0" w:line="191"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CCEEFF"/>
              <w:bottom w:val="single" w:sz="8" w:color="CCEEFF"/>
            </w:tcBorders>
            <w:shd w:val="clear" w:color="auto" w:fill="CCEEFF"/>
          </w:tcPr>
          <w:p>
            <w:pPr>
              <w:jc w:val="right"/>
              <w:ind w:right="30"/>
              <w:spacing w:after="0" w:line="191" w:lineRule="exact"/>
              <w:rPr>
                <w:sz w:val="20"/>
                <w:szCs w:val="20"/>
                <w:color w:val="auto"/>
              </w:rPr>
            </w:pPr>
            <w:r>
              <w:rPr>
                <w:rFonts w:ascii="Arial" w:cs="Arial" w:eastAsia="Arial" w:hAnsi="Arial"/>
                <w:sz w:val="18"/>
                <w:szCs w:val="18"/>
                <w:color w:val="auto"/>
                <w:w w:val="99"/>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Sheraton</w:t>
            </w:r>
          </w:p>
        </w:tc>
        <w:tc>
          <w:tcPr>
            <w:tcW w:w="3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34"/>
        </w:trPr>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CCEEFF"/>
              <w:bottom w:val="single" w:sz="8" w:color="CCEEFF"/>
            </w:tcBorders>
            <w:shd w:val="clear" w:color="auto" w:fill="BFE4FF"/>
          </w:tcPr>
          <w:p>
            <w:pPr>
              <w:ind w:left="40"/>
              <w:spacing w:after="0" w:line="202" w:lineRule="exact"/>
              <w:rPr>
                <w:sz w:val="20"/>
                <w:szCs w:val="20"/>
                <w:color w:val="auto"/>
              </w:rPr>
            </w:pPr>
            <w:r>
              <w:rPr>
                <w:rFonts w:ascii="Arial" w:cs="Arial" w:eastAsia="Arial" w:hAnsi="Arial"/>
                <w:sz w:val="18"/>
                <w:szCs w:val="18"/>
                <w:color w:val="auto"/>
                <w:w w:val="90"/>
                <w:shd w:val="clear" w:color="auto" w:fill="BFE4FF"/>
              </w:rPr>
              <w:t>Hyatt</w:t>
            </w:r>
          </w:p>
        </w:tc>
        <w:tc>
          <w:tcPr>
            <w:tcW w:w="306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gridSpan w:val="3"/>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with no FICO score primarily relate to non-U.S. resident borrowers.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6"/>
          <w:szCs w:val="16"/>
          <w:color w:val="auto"/>
        </w:rPr>
        <w:t>The following table shows the Legacy-ILG originated vacation ownership notes receivable by brand and FICO score as of December 31, 2018.</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20" w:type="dxa"/>
            <w:vAlign w:val="bottom"/>
            <w:gridSpan w:val="8"/>
          </w:tcPr>
          <w:p>
            <w:pPr>
              <w:ind w:left="300"/>
              <w:spacing w:after="0"/>
              <w:rPr>
                <w:sz w:val="20"/>
                <w:szCs w:val="20"/>
                <w:color w:val="auto"/>
              </w:rPr>
            </w:pPr>
            <w:r>
              <w:rPr>
                <w:rFonts w:ascii="Arial" w:cs="Arial" w:eastAsia="Arial" w:hAnsi="Arial"/>
                <w:sz w:val="16"/>
                <w:szCs w:val="16"/>
                <w:b w:val="1"/>
                <w:bCs w:val="1"/>
                <w:color w:val="auto"/>
              </w:rPr>
              <w:t>Originated Vacation Ownership Notes Receivable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5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Arial" w:cs="Arial" w:eastAsia="Arial" w:hAnsi="Arial"/>
                <w:sz w:val="16"/>
                <w:szCs w:val="16"/>
                <w:b w:val="1"/>
                <w:bCs w:val="1"/>
                <w:color w:val="auto"/>
              </w:rPr>
              <w:t>700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333"/>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&lt; 600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r>
              <w:rPr>
                <w:rFonts w:ascii="Arial" w:cs="Arial" w:eastAsia="Arial" w:hAnsi="Arial"/>
                <w:sz w:val="17"/>
                <w:szCs w:val="17"/>
                <w:b w:val="1"/>
                <w:bCs w:val="1"/>
                <w:color w:val="auto"/>
                <w:vertAlign w:val="superscript"/>
              </w:rPr>
              <w:t>(1)</w:t>
            </w:r>
          </w:p>
        </w:tc>
        <w:tc>
          <w:tcPr>
            <w:tcW w:w="340" w:type="dxa"/>
            <w:vAlign w:val="bottom"/>
          </w:tcPr>
          <w:p>
            <w:pPr>
              <w:spacing w:after="0"/>
              <w:rPr>
                <w:sz w:val="24"/>
                <w:szCs w:val="24"/>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5"/>
        </w:trPr>
        <w:tc>
          <w:tcPr>
            <w:tcW w:w="540" w:type="dxa"/>
            <w:vAlign w:val="bottom"/>
            <w:tcBorders>
              <w:top w:val="single" w:sz="8" w:color="CCEEFF"/>
              <w:left w:val="single" w:sz="8" w:color="CCEEFF"/>
              <w:bottom w:val="single" w:sz="8" w:color="CCEEFF"/>
            </w:tcBorders>
            <w:gridSpan w:val="2"/>
            <w:shd w:val="clear" w:color="auto" w:fill="BFE4FF"/>
          </w:tcPr>
          <w:p>
            <w:pPr>
              <w:ind w:left="40"/>
              <w:spacing w:after="0" w:line="191" w:lineRule="exact"/>
              <w:rPr>
                <w:sz w:val="20"/>
                <w:szCs w:val="20"/>
                <w:color w:val="auto"/>
              </w:rPr>
            </w:pPr>
            <w:r>
              <w:rPr>
                <w:rFonts w:ascii="Arial" w:cs="Arial" w:eastAsia="Arial" w:hAnsi="Arial"/>
                <w:sz w:val="18"/>
                <w:szCs w:val="18"/>
                <w:color w:val="auto"/>
                <w:w w:val="87"/>
                <w:shd w:val="clear" w:color="auto" w:fill="BFE4FF"/>
              </w:rPr>
              <w:t>Westin</w:t>
            </w:r>
          </w:p>
        </w:tc>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2"/>
              <w:spacing w:after="0" w:line="191" w:lineRule="exact"/>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0"/>
              <w:spacing w:after="0" w:line="191"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line="191" w:lineRule="exact"/>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30"/>
              <w:spacing w:after="0" w:line="191"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2"/>
              <w:spacing w:after="0" w:line="191" w:lineRule="exact"/>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Sheraton</w:t>
            </w:r>
          </w:p>
        </w:tc>
        <w:tc>
          <w:tcPr>
            <w:tcW w:w="3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4"/>
        </w:trPr>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CCEEFF"/>
              <w:bottom w:val="single" w:sz="8" w:color="CCEEFF"/>
            </w:tcBorders>
            <w:shd w:val="clear" w:color="auto" w:fill="BFE4FF"/>
          </w:tcPr>
          <w:p>
            <w:pPr>
              <w:ind w:left="40"/>
              <w:spacing w:after="0" w:line="202" w:lineRule="exact"/>
              <w:rPr>
                <w:sz w:val="20"/>
                <w:szCs w:val="20"/>
                <w:color w:val="auto"/>
              </w:rPr>
            </w:pPr>
            <w:r>
              <w:rPr>
                <w:rFonts w:ascii="Arial" w:cs="Arial" w:eastAsia="Arial" w:hAnsi="Arial"/>
                <w:sz w:val="18"/>
                <w:szCs w:val="18"/>
                <w:color w:val="auto"/>
                <w:w w:val="90"/>
                <w:shd w:val="clear" w:color="auto" w:fill="BFE4FF"/>
              </w:rPr>
              <w:t>Hyatt</w:t>
            </w:r>
          </w:p>
        </w:tc>
        <w:tc>
          <w:tcPr>
            <w:tcW w:w="306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gridSpan w:val="3"/>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with no FICO score primarily relate to non-U.S. resident borrowers.</w:t>
      </w:r>
    </w:p>
    <w:p>
      <w:pPr>
        <w:spacing w:after="0" w:line="202" w:lineRule="exact"/>
        <w:rPr>
          <w:sz w:val="20"/>
          <w:szCs w:val="20"/>
          <w:color w:val="auto"/>
        </w:rPr>
      </w:pPr>
    </w:p>
    <w:p>
      <w:pPr>
        <w:ind w:left="60" w:right="8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originated vacation ownership notes receivable as of September 30, 2019 and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8"/>
          </w:tcPr>
          <w:p>
            <w:pPr>
              <w:ind w:left="240"/>
              <w:spacing w:after="0"/>
              <w:rPr>
                <w:sz w:val="20"/>
                <w:szCs w:val="20"/>
                <w:color w:val="auto"/>
              </w:rPr>
            </w:pPr>
            <w:r>
              <w:rPr>
                <w:rFonts w:ascii="Arial" w:cs="Arial" w:eastAsia="Arial" w:hAnsi="Arial"/>
                <w:sz w:val="16"/>
                <w:szCs w:val="16"/>
                <w:b w:val="1"/>
                <w:bCs w:val="1"/>
                <w:color w:val="auto"/>
                <w:w w:val="95"/>
              </w:rPr>
              <w:t>Originated Vacation Ownership Notes Receivable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2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Delinquent</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Defaulted</w:t>
            </w:r>
            <w:r>
              <w:rPr>
                <w:rFonts w:ascii="Arial" w:cs="Arial" w:eastAsia="Arial" w:hAnsi="Arial"/>
                <w:sz w:val="17"/>
                <w:szCs w:val="17"/>
                <w:b w:val="1"/>
                <w:bCs w:val="1"/>
                <w:color w:val="auto"/>
                <w:vertAlign w:val="superscript"/>
              </w:rPr>
              <w:t>(1)</w:t>
            </w:r>
          </w:p>
        </w:tc>
        <w:tc>
          <w:tcPr>
            <w:tcW w:w="12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Total Delinquent</w:t>
            </w:r>
          </w:p>
        </w:tc>
      </w:tr>
      <w:tr>
        <w:trPr>
          <w:trHeight w:val="257"/>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88"/>
              </w:rPr>
              <w:t>Receivables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w w:val="92"/>
              </w:rPr>
              <w:t>30 - 59 Days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w w:val="92"/>
              </w:rPr>
              <w:t>60 - 89 Days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88"/>
              </w:rPr>
              <w:t>90 - 119 Days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&gt; 120 Days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98"/>
              </w:rPr>
              <w:t>&amp; Defaulted</w:t>
            </w: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97"/>
        </w:trPr>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30"/>
        </w:trPr>
        <w:tc>
          <w:tcPr>
            <w:tcW w:w="2260" w:type="dxa"/>
            <w:vAlign w:val="bottom"/>
          </w:tcPr>
          <w:p>
            <w:pPr>
              <w:jc w:val="right"/>
              <w:spacing w:after="0"/>
              <w:rPr>
                <w:sz w:val="20"/>
                <w:szCs w:val="20"/>
                <w:color w:val="auto"/>
              </w:rPr>
            </w:pPr>
            <w:r>
              <w:rPr>
                <w:rFonts w:ascii="Arial" w:cs="Arial" w:eastAsia="Arial" w:hAnsi="Arial"/>
                <w:sz w:val="18"/>
                <w:szCs w:val="18"/>
                <w:color w:val="auto"/>
                <w:w w:val="89"/>
              </w:rPr>
              <w:t>_________________________</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5" w:lineRule="exact"/>
        <w:rPr>
          <w:sz w:val="20"/>
          <w:szCs w:val="20"/>
          <w:color w:val="auto"/>
        </w:rPr>
      </w:pPr>
    </w:p>
    <w:p>
      <w:pPr>
        <w:ind w:left="5540" w:right="3680" w:hanging="5532"/>
        <w:spacing w:after="0" w:line="465" w:lineRule="auto"/>
        <w:tabs>
          <w:tab w:leader="none" w:pos="662"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equal to or greater than 120 days are considered in default. 23</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 w:hanging="345"/>
        <w:spacing w:after="0"/>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4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 The table also excludes acquired vacation ownership notes receivable which are remeasured at each period end based on expected future cash flows. See Footnote 6 “Vacation Ownership Notes Receivable” for additional information on our acquired vacation ownership notes receivable.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5"/>
          </w:tcPr>
          <w:p>
            <w:pPr>
              <w:ind w:left="480"/>
              <w:spacing w:after="0"/>
              <w:rPr>
                <w:sz w:val="20"/>
                <w:szCs w:val="20"/>
                <w:color w:val="auto"/>
              </w:rPr>
            </w:pPr>
            <w:r>
              <w:rPr>
                <w:rFonts w:ascii="Arial" w:cs="Arial" w:eastAsia="Arial" w:hAnsi="Arial"/>
                <w:sz w:val="16"/>
                <w:szCs w:val="16"/>
                <w:b w:val="1"/>
                <w:bCs w:val="1"/>
                <w:color w:val="auto"/>
              </w:rPr>
              <w:t>At September 30, 2019</w:t>
            </w:r>
          </w:p>
        </w:tc>
        <w:tc>
          <w:tcPr>
            <w:tcW w:w="260" w:type="dxa"/>
            <w:vAlign w:val="bottom"/>
          </w:tcPr>
          <w:p>
            <w:pPr>
              <w:spacing w:after="0"/>
              <w:rPr>
                <w:sz w:val="18"/>
                <w:szCs w:val="18"/>
                <w:color w:val="auto"/>
              </w:rPr>
            </w:pPr>
          </w:p>
        </w:tc>
        <w:tc>
          <w:tcPr>
            <w:tcW w:w="276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At December 31, 2018</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Fair</w:t>
            </w: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20"/>
                <w:szCs w:val="20"/>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Originated vacation ownership notes receivable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Securitized debt,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Exchange Notes,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IAC Notes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Revolving Corporate Credit Facility,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Non-interest bearing note payable, net</w:t>
            </w: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i w:val="1"/>
                <w:iCs w:val="1"/>
                <w:color w:val="auto"/>
              </w:rPr>
              <w:t>Originated Vacation Ownership Notes Receivable</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ind w:left="480"/>
              <w:spacing w:after="0"/>
              <w:rPr>
                <w:sz w:val="20"/>
                <w:szCs w:val="20"/>
                <w:color w:val="auto"/>
              </w:rPr>
            </w:pPr>
            <w:r>
              <w:rPr>
                <w:rFonts w:ascii="Arial" w:cs="Arial" w:eastAsia="Arial" w:hAnsi="Arial"/>
                <w:sz w:val="16"/>
                <w:szCs w:val="16"/>
                <w:b w:val="1"/>
                <w:bCs w:val="1"/>
                <w:color w:val="auto"/>
              </w:rPr>
              <w:t>At September 30, 2019</w:t>
            </w:r>
          </w:p>
        </w:tc>
        <w:tc>
          <w:tcPr>
            <w:tcW w:w="260" w:type="dxa"/>
            <w:vAlign w:val="bottom"/>
          </w:tcPr>
          <w:p>
            <w:pPr>
              <w:spacing w:after="0"/>
              <w:rPr>
                <w:sz w:val="24"/>
                <w:szCs w:val="24"/>
                <w:color w:val="auto"/>
              </w:rPr>
            </w:pPr>
          </w:p>
        </w:tc>
        <w:tc>
          <w:tcPr>
            <w:tcW w:w="276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At December 31, 2018</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5"/>
              </w:rPr>
              <w:t>Fair</w:t>
            </w:r>
          </w:p>
        </w:tc>
        <w:tc>
          <w:tcPr>
            <w:tcW w:w="2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2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20" w:type="dxa"/>
            <w:vAlign w:val="bottom"/>
          </w:tcPr>
          <w:p>
            <w:pPr>
              <w:spacing w:after="0"/>
              <w:rPr>
                <w:sz w:val="20"/>
                <w:szCs w:val="20"/>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Originated vacation ownership notes receivable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Securitized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500"/>
              <w:spacing w:after="0"/>
              <w:rPr>
                <w:sz w:val="20"/>
                <w:szCs w:val="20"/>
                <w:color w:val="auto"/>
              </w:rPr>
            </w:pPr>
            <w:r>
              <w:rPr>
                <w:rFonts w:ascii="Arial" w:cs="Arial" w:eastAsia="Arial" w:hAnsi="Arial"/>
                <w:sz w:val="18"/>
                <w:szCs w:val="18"/>
                <w:color w:val="auto"/>
              </w:rPr>
              <w:t>Eligible for securitization</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Not eligible for securitization</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5080" w:type="dxa"/>
            <w:vAlign w:val="bottom"/>
          </w:tcPr>
          <w:p>
            <w:pPr>
              <w:ind w:left="280"/>
              <w:spacing w:after="0"/>
              <w:rPr>
                <w:sz w:val="20"/>
                <w:szCs w:val="20"/>
                <w:color w:val="auto"/>
              </w:rPr>
            </w:pPr>
            <w:r>
              <w:rPr>
                <w:rFonts w:ascii="Arial" w:cs="Arial" w:eastAsia="Arial" w:hAnsi="Arial"/>
                <w:sz w:val="18"/>
                <w:szCs w:val="18"/>
                <w:color w:val="auto"/>
              </w:rPr>
              <w:t>Non-securitized</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We estimate the fair value of our originated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4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Due to factors that impact the general marketability of our originated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ectPr>
          <w:pgSz w:w="11900" w:h="16838" w:orient="portrait"/>
          <w:cols w:equalWidth="0" w:num="1">
            <w:col w:w="11240"/>
          </w:cols>
          <w:pgMar w:left="320" w:top="125" w:right="3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table above shows the bifurcation of our originated vacation ownership notes receivable that have not been securitized into those eligible and not eligible for securitization based upon the aforementioned eligibility criteria.</w:t>
      </w:r>
    </w:p>
    <w:p>
      <w:pPr>
        <w:spacing w:after="0" w:line="6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estimate the fair value of the portion of our originated vacation ownership notes receivable that have not been securitized that we believe will ultimately be securitized in the same manner as originated vacation ownership notes receivable that have been securitized. We value the remaining originated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Other assets include $36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 In addition, we have investments in marketable securities of $6 million that are marked to market as trading securities using quoted market prices (Level 1 inputs).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Securitized Debt</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Notes and IAC Notes</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estimate the fair values of our Exchange Notes and our IAC Notes (as defined in Footnote 14 “Debt”) using the redemption prices set forth in the redemption notices provided to holders of the Exchange Notes and the IAC Notes during the third quarter of 2019. We concluded that these fair value measurements should be categorized within Level 1. See Footnote 14 “Debt” for a discussion of the 2028 Notes (as defined in Footnote 14 “Debt”) that were issued subsequent to the third quarter of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estimate the fair value of our Senior Unsecured Notes (as defined in Footnote 14 “Debt”) using quoted market prices as of the last trading day for the quarter; however these notes have only a limited trading history and volume and as such this fair value estimate is not necessarily indicative of the value at which the Senior Unsecured Notes could be retired or transferred. We concluded that this fair value measurement should be categorized within Level 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estimate the fair value of our Term Loan (as defined in Footnote 14 “Debt”) using quotes from securities dealers as of the last trading day for the quarter; however these notes have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estimate that the fair value of our Revolving Corporate Credit Facility (as defined in Footnote 11 “Contingencies and Commitments”) approximates its gross carrying value as the contractual interest rate is variable plus an applicable margin. We concluded that this fair value measurement should be categorized within Level 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estimate the fair value of our Convertible Notes (as defined in Footnote 14 “Debt”)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7" w:name="page28"/>
    <w:bookmarkEnd w:id="27"/>
    <w:p>
      <w:pPr>
        <w:ind w:left="380" w:hanging="345"/>
        <w:spacing w:after="0"/>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Basic earnings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per common share applicable to common shareholders by application of the treasury stock method using average market prices during the period.</w:t>
      </w:r>
    </w:p>
    <w:p>
      <w:pPr>
        <w:spacing w:after="0" w:line="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calculation of diluted earnings per share attributable to common shareholders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either September 30, 2019 or September 30, 2018, there was no dilutive impact from the Convertible Notes for either the third quarter or first three quarters of 2019 or 2018.</w:t>
      </w:r>
    </w:p>
    <w:p>
      <w:pPr>
        <w:spacing w:after="0" w:line="8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shares issuable on exercise of the Warrants (as defined in Footnote 14 “Debt”) sold in connection with the issuance of the Convertible Notes will not impact the total dilutive weighted average shares outstanding unless and until the price of our common stock exceeds the strike price, which was subject to adjustment during the third quarter of 2019 to $175.63, as described in Footnote 14 “Debt.”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14 “Debt”) purchased in connection with the issuance of the Convertible Notes are considered to be anti-dilutive and will not impact our calculation of diluted earnings per share attributable to common shareholders.</w:t>
      </w:r>
    </w:p>
    <w:p>
      <w:pPr>
        <w:spacing w:after="0" w:line="6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table below illustrates the reconciliation of the earnings and number of shares used in our calculation of basic and diluted earnings per share attributable to common shareholders.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66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00" w:type="dxa"/>
            <w:vAlign w:val="bottom"/>
          </w:tcPr>
          <w:p>
            <w:pPr>
              <w:jc w:val="right"/>
              <w:ind w:right="92"/>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r>
              <w:rPr>
                <w:rFonts w:ascii="Arial" w:cs="Arial" w:eastAsia="Arial" w:hAnsi="Arial"/>
                <w:sz w:val="17"/>
                <w:szCs w:val="17"/>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Computation of Basic Earnings Per Share Attributable to Common Shareholders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rPr>
              <w:t>Net (loss) income attributable to common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basic earnings per share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4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 (loss) earnings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Computation of Diluted Earnings Per Share Attributable to Common Shareholders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rPr>
              <w:t>Net (loss) income attributable to common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basic 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rPr>
              <w:t>Effect of dilutive shares outstanding</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Employee stock options and SARs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Pr>
          <w:p>
            <w:pPr>
              <w:ind w:left="48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for diluted earnings per share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rPr>
              <w:t>Diluted (loss) earnings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jc w:val="right"/>
              <w:ind w:right="3172"/>
              <w:spacing w:after="0"/>
              <w:rPr>
                <w:sz w:val="20"/>
                <w:szCs w:val="20"/>
                <w:color w:val="auto"/>
              </w:rPr>
            </w:pPr>
            <w:r>
              <w:rPr>
                <w:rFonts w:ascii="Arial" w:cs="Arial" w:eastAsia="Arial" w:hAnsi="Arial"/>
                <w:sz w:val="14"/>
                <w:szCs w:val="14"/>
                <w:color w:val="auto"/>
                <w:w w:val="91"/>
              </w:rPr>
              <w:t>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60" w:right="200" w:hanging="652"/>
        <w:spacing w:after="0" w:line="232"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attributable to common shareholders exclude approximately 401,000 and 269,000 shares of common stock, the maximum number of shares issuable as of September 30, 2019 and September 30, 2018, respectively, upon the vesting of certain performance-based awards, because the performance conditions required to be met for the shares subject to such awards to vest were not achieved by the end of the reporting period.</w:t>
      </w:r>
    </w:p>
    <w:p>
      <w:pPr>
        <w:spacing w:after="0" w:line="94"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In accordance with the applicable accounting guidance for calculating earnings per share, for the first three quarters of 2019, we excluded from our calculation of diluted earnings per share 249,737 shares underlying stock appreciation rights (“SARs”) that may settle in shares of common stock because the exercise prices of such SARs, which ranged from $97.53 to $143.38, were greater than the average market price for the applicable period.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82" w:right="359" w:bottom="1440" w:gutter="0" w:footer="0" w:header="0"/>
        </w:sectPr>
      </w:pPr>
    </w:p>
    <w:bookmarkStart w:id="28" w:name="page29"/>
    <w:bookmarkEnd w:id="28"/>
    <w:p>
      <w:pPr>
        <w:ind w:right="80" w:firstLine="648"/>
        <w:spacing w:after="0" w:line="342" w:lineRule="auto"/>
        <w:rPr>
          <w:sz w:val="20"/>
          <w:szCs w:val="20"/>
          <w:color w:val="auto"/>
        </w:rPr>
      </w:pPr>
      <w:r>
        <w:rPr>
          <w:rFonts w:ascii="Arial" w:cs="Arial" w:eastAsia="Arial" w:hAnsi="Arial"/>
          <w:sz w:val="16"/>
          <w:szCs w:val="16"/>
          <w:color w:val="auto"/>
        </w:rPr>
        <w:t>For the first three quarters of 2018, we excluded from our calculation of diluted earnings per share 56,649 shares underlying SARs that may settle in shares of common stock because the exercise price of $143.38 of such SARs was greater than the average market price for the applicable period.</w:t>
      </w:r>
    </w:p>
    <w:p>
      <w:pPr>
        <w:spacing w:after="0" w:line="390"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b w:val="1"/>
          <w:bCs w:val="1"/>
          <w:color w:val="auto"/>
        </w:rPr>
        <w:t>9.</w:t>
        <w:tab/>
        <w:t>INVENTORY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214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September 30, 2019</w:t>
            </w:r>
          </w:p>
        </w:tc>
        <w:tc>
          <w:tcPr>
            <w:tcW w:w="240" w:type="dxa"/>
            <w:vAlign w:val="bottom"/>
          </w:tcPr>
          <w:p>
            <w:pPr>
              <w:spacing w:after="0"/>
              <w:rPr>
                <w:sz w:val="20"/>
                <w:szCs w:val="20"/>
                <w:color w:val="auto"/>
              </w:rPr>
            </w:pPr>
          </w:p>
        </w:tc>
        <w:tc>
          <w:tcPr>
            <w:tcW w:w="2000" w:type="dxa"/>
            <w:vAlign w:val="bottom"/>
          </w:tcPr>
          <w:p>
            <w:pPr>
              <w:jc w:val="right"/>
              <w:ind w:right="272"/>
              <w:spacing w:after="0"/>
              <w:rPr>
                <w:sz w:val="20"/>
                <w:szCs w:val="20"/>
                <w:color w:val="auto"/>
              </w:rPr>
            </w:pPr>
            <w:r>
              <w:rPr>
                <w:rFonts w:ascii="Arial" w:cs="Arial" w:eastAsia="Arial" w:hAnsi="Arial"/>
                <w:sz w:val="16"/>
                <w:szCs w:val="16"/>
                <w:b w:val="1"/>
                <w:bCs w:val="1"/>
                <w:color w:val="auto"/>
                <w:w w:val="97"/>
              </w:rPr>
              <w:t>At December 31, 2018</w:t>
            </w: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18"/>
                <w:szCs w:val="18"/>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220" w:type="dxa"/>
            <w:vAlign w:val="bottom"/>
          </w:tcPr>
          <w:p>
            <w:pPr>
              <w:spacing w:after="0"/>
              <w:rPr>
                <w:sz w:val="21"/>
                <w:szCs w:val="21"/>
                <w:color w:val="auto"/>
              </w:rPr>
            </w:pP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inventory</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line="216"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Represents completed inventory that is either registered for sale as vacation ownership interests, or unregistered and available for sale in its current form, as well as inventory expected to be acquired pursuant to estimated future foreclosures.</w:t>
      </w:r>
    </w:p>
    <w:p>
      <w:pPr>
        <w:spacing w:after="0" w:line="9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$2 million during each of the first three quarters of 2019 and 2018.</w:t>
      </w:r>
    </w:p>
    <w:p>
      <w:pPr>
        <w:spacing w:after="0" w:line="41"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In addition to the above, at September 30, 2019, we had $58 million of completed vacation ownership units which have been classified as a component of Property and equipment until the time at which they are legally registered for sale as vacation ownership products.</w:t>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PROPERTY AND EQUIPMENT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214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September 30, 2019</w:t>
            </w:r>
          </w:p>
        </w:tc>
        <w:tc>
          <w:tcPr>
            <w:tcW w:w="240" w:type="dxa"/>
            <w:vAlign w:val="bottom"/>
          </w:tcPr>
          <w:p>
            <w:pPr>
              <w:spacing w:after="0"/>
              <w:rPr>
                <w:sz w:val="20"/>
                <w:szCs w:val="20"/>
                <w:color w:val="auto"/>
              </w:rPr>
            </w:pPr>
          </w:p>
        </w:tc>
        <w:tc>
          <w:tcPr>
            <w:tcW w:w="200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At December 31, 2018</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20" w:type="dxa"/>
            <w:vAlign w:val="bottom"/>
          </w:tcPr>
          <w:p>
            <w:pPr>
              <w:spacing w:after="0"/>
              <w:rPr>
                <w:sz w:val="21"/>
                <w:szCs w:val="21"/>
                <w:color w:val="auto"/>
              </w:rPr>
            </w:pP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404</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Information technology</w:t>
            </w:r>
          </w:p>
        </w:tc>
        <w:tc>
          <w:tcPr>
            <w:tcW w:w="220" w:type="dxa"/>
            <w:vAlign w:val="bottom"/>
          </w:tcPr>
          <w:p>
            <w:pPr>
              <w:spacing w:after="0"/>
              <w:rPr>
                <w:sz w:val="21"/>
                <w:szCs w:val="21"/>
                <w:color w:val="auto"/>
              </w:rPr>
            </w:pPr>
          </w:p>
        </w:tc>
        <w:tc>
          <w:tcPr>
            <w:tcW w:w="2040" w:type="dxa"/>
            <w:vAlign w:val="bottom"/>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297</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1,287</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951</w:t>
            </w:r>
          </w:p>
        </w:tc>
      </w:tr>
      <w:tr>
        <w:trPr>
          <w:trHeight w:val="27"/>
        </w:trPr>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a result of the ILG Acquisition, we performed a comprehensive review to evaluate the strategic fit of the land holdings and operating hotels in our Vacation Ownership segment. A key focus of our comprehensive review was to evaluate opportunities to reduce holdings in markets where we have excess supply so that future inventory spend can be focused on markets that create incremental cost-effective sales locations in areas of high customer demand. We evaluated each asset in the context of its current and anticipated product form, our inventory needs and our operating strategy. During the third quarter of 2019, we completed our evaluation and identified several assets for disposition which we believe will generate cash proceeds equivalent to their estimated fair value of $160 million to $220 million over the next several years.</w:t>
      </w:r>
    </w:p>
    <w:p>
      <w:pPr>
        <w:spacing w:after="0" w:line="12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a result of the change in our development strategy, in the third quarter of 2019, we recorded a non-cash impairment charge of $72 million, of which $61 million related to land and land improvements associated with future phases of three existing resorts, primarily attributable to the fact that the book values of these assets include the historical allocations of common costs incurred when we built the infrastructure of these resorts, $9 million related to a land parcel held for future development and $2 million related to an ancillary business, as the book values of these assets were in excess of the estimated fair values of these assets. We also reviewed the remainder of the assets identified for disposition and determined that no other impairment charges were necessary.</w:t>
      </w:r>
    </w:p>
    <w:p>
      <w:pPr>
        <w:sectPr>
          <w:pgSz w:w="11900" w:h="16838" w:orient="portrait"/>
          <w:cols w:equalWidth="0" w:num="1">
            <w:col w:w="11240"/>
          </w:cols>
          <w:pgMar w:left="320" w:top="908"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908"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used a combination of the market and income approaches to estimate the fair value of these assets. Under the market approach, a Level 2 input, fair value is measured through an analysis of sales and offerings of comparable property which are adjusted to reflect differences between the asset being valued and the comparable assets, such as location, time and terms of sales, utility and physical characteristics. Under the income approach, a Level 3 input, fair value is measured through a discounted cash flow. Under the income approach, we contemplated alternative uses to comply with the highest and best use provisions of ASC 820.</w:t>
      </w:r>
    </w:p>
    <w:p>
      <w:pPr>
        <w:spacing w:after="0" w:line="13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addition, during the third quarter of 2019, we recorded a non-cash impairment charge of $1 million related to an ancillary asset located at a Vacation Ownership segment property in Europe.</w:t>
      </w:r>
    </w:p>
    <w:p>
      <w:pPr>
        <w:spacing w:after="0" w:line="6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second quarter of 2019, we entered into a contract to sell land and land improvements associated with a future phase of an existing resort located in Orlando, Florida for $10 million, which was less than the carrying value of the land and land improvements. As a result, we recorded a non-cash impairment of $26 million in the first three quarters of 2019. The impairment is primarily attributable to the fact that the book value of the assets to be sold exceeds the sales price because the book value includes allocations of common costs incurred when we built the infrastructure for the resort, including future phases.</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CONTINGENCIES AND COMMITMENTS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we had the following commitments outstanding:</w:t>
      </w:r>
    </w:p>
    <w:p>
      <w:pPr>
        <w:spacing w:after="0" w:line="117" w:lineRule="exact"/>
        <w:rPr>
          <w:sz w:val="20"/>
          <w:szCs w:val="20"/>
          <w:color w:val="auto"/>
        </w:rPr>
      </w:pPr>
    </w:p>
    <w:p>
      <w:pPr>
        <w:ind w:left="980" w:right="10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$67 million, of which we expect $13 million, $26 million, $15 million, $8 million and $5 million will be paid in the remainder of 2019, 2020, 2021, 2022 and 2023, respectively.</w:t>
      </w:r>
    </w:p>
    <w:p>
      <w:pPr>
        <w:spacing w:after="0" w:line="7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commitments of $2 million to subsidize operating costs of vacation ownership property owners’ associations, which we expect to pay in the remainder of 2019.</w:t>
      </w:r>
    </w:p>
    <w:p>
      <w:pPr>
        <w:spacing w:after="0" w:line="62" w:lineRule="exact"/>
        <w:rPr>
          <w:rFonts w:ascii="Arial" w:cs="Arial" w:eastAsia="Arial" w:hAnsi="Arial"/>
          <w:sz w:val="18"/>
          <w:szCs w:val="18"/>
          <w:color w:val="auto"/>
        </w:rPr>
      </w:pPr>
    </w:p>
    <w:p>
      <w:pPr>
        <w:ind w:left="980" w:right="100" w:hanging="324"/>
        <w:spacing w:after="0" w:line="296"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have a commitment to purchase an operating property located in New York, New York for $182 million, of which $7 million is attributable to a related finance lease arrangement and recorded in Debt. We expect to acquire the units in the property in their current form, over time, and we expect to make payments for these units of $120 million and $62 million in 2020 and 2021, respectively. We currently manage this property, which was rebranded as Marriott Vacation Club Pulse, New York City. See Footnote 17 “Variable Interest Entities” for additional information on this transaction and our activities relating to the variable interest entity involved in this transaction.</w:t>
      </w:r>
    </w:p>
    <w:p>
      <w:pPr>
        <w:spacing w:after="0" w:line="53" w:lineRule="exact"/>
        <w:rPr>
          <w:rFonts w:ascii="Arial" w:cs="Arial" w:eastAsia="Arial" w:hAnsi="Arial"/>
          <w:sz w:val="16"/>
          <w:szCs w:val="16"/>
          <w:color w:val="auto"/>
        </w:rPr>
      </w:pPr>
    </w:p>
    <w:p>
      <w:pPr>
        <w:ind w:left="980" w:right="180" w:hanging="324"/>
        <w:spacing w:after="0" w:line="25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commitment to purchase 88 vacation ownership units located in Bali, Indonesia for use in our Vacation Ownership segment, contingent upon completion of construction to agreed-upon standards within specified timeframes. We expect to complete the acquisition in 2020 and to make the remaining payments with respect to these units when specific construction milestones are completed, as follows: $3 million in 2019, $23 million in 2020 and $2 million in 2021.</w:t>
      </w:r>
    </w:p>
    <w:p>
      <w:pPr>
        <w:spacing w:after="0" w:line="78" w:lineRule="exact"/>
        <w:rPr>
          <w:rFonts w:ascii="Arial" w:cs="Arial" w:eastAsia="Arial" w:hAnsi="Arial"/>
          <w:sz w:val="18"/>
          <w:szCs w:val="18"/>
          <w:color w:val="auto"/>
        </w:rPr>
      </w:pPr>
    </w:p>
    <w:p>
      <w:pPr>
        <w:ind w:left="980" w:right="140" w:hanging="324"/>
        <w:spacing w:after="0" w:line="255"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remaining commitment to purchase an operating property located in San Francisco, California for $101 million. We expect to acquire the operating property over time and expect to make payments for the operating property as follows: $55 million in 2020 and $46 million in 2021. We currently manage this property, which was rebranded as Marriott Vacation Club Pulse, San Francisco, during 2019. See Footnote 17 “Variable Interest Entities” for additional information on this transaction and our activities relating to the variable interest entity involved in this transaction and Footnote 3 “Acquisitions and Dispositions” for information on the purchase that occurred during the third quarter of 2019.</w:t>
      </w:r>
    </w:p>
    <w:p>
      <w:pPr>
        <w:spacing w:after="0" w:line="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Surety bonds issued as of September 30, 2019 totaled $104 million, the majority of which were requested by federal, state or local governments in connection with our operations.</w:t>
      </w:r>
    </w:p>
    <w:p>
      <w:pPr>
        <w:spacing w:after="0" w:line="6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 of September 30, 2019, we had $3 million of letters of credit outstanding under our $600 million revolving credit facility (the “Revolving Corporate Credit Facility”). In addition, as of September 30, 2019, we had $4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Credit Facility.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$9 million, of which $4 million is included within liabilities on our Balance Sheet at September 30, 2019. This estimate is based on our current development plans, which remain subject to change, and we expect the phases currently under development will be completed by the end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Certain of our rental management agreements in our Exchange &amp; Third-Party Management segment provide for owners of properties we manage to receive specified percentages or guaranteed amounts of the rental revenue generated under our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At September 30, 2019, our maximum exposure under these guarantees is $33 million, of which $4 million, $10 million, $9 million, $4 million, $2 million and $4 million relate to the remainder of 2019, 2020, 2021, 2022, 2023 and thereafter. In addition, our maximum exposure under other guarantees is $3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March 2017, RCHFU, L.L.C. and other owners at The Ritz-Carlton Club, Aspen Highlands (“RCC Aspen Highlands”) filed a complaint in an action pending in the U.S. District Court for the District of Colorado against us and certain third parties, alleging that their fractional interests were devalued by the affiliation of the RCC Aspen Highlands and other Ritz-Carlton Clubs with our points-based Marriott Vacation Club Destinations (“MVCD”) program. The plaintiffs are seeking compensatory damages, disgorgement, fees and costs.</w:t>
      </w:r>
    </w:p>
    <w:p>
      <w:pPr>
        <w:spacing w:after="0" w:line="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May 2016, a purported class-action lawsuit was filed in the U.S. District Court for the Middle District of Florida by Anthony and Beth Lennen against us and certain third parties. The complaint challenged the characterization of the beneficial interests in the MVCD trust that are sold to customers as real estate interests under Florida law, the structure of the trust, and associated operational aspects of the trust. The plaintiffs sought declaratory relief, an unwinding of the MVCD product, and punitive damages. In August 2019, the District Court granted our motion for judgment on the pleadings and dismissed the case. The plaintiffs have appealed the ruling.</w:t>
      </w:r>
    </w:p>
    <w:p>
      <w:pPr>
        <w:spacing w:after="0" w:line="80"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In December 2016, Flora and Bruce Gillespie and other owners and former owners of fractional interests at the Fifth and Fifty-Fifth Residence Club located within The St. Regis, New York (the “St. Regis NY Club”) filed an action in the U.S. District Court for the Southern District of New York against ILG, certain of its subsidiaries, and certain third parties alleging that the sale of less than all interests offered in the fractional offering plan, the amendment of the plan to include additional units, and the rental of unsold fractional interests by the plan’s sponsor breached the relevant agreements and harmed the value of plaintiffs’ fractional interests. The plaintiffs are seeking compensatory damages, rescission, disgorgement, fees and costs.</w:t>
      </w:r>
    </w:p>
    <w:p>
      <w:pPr>
        <w:spacing w:after="0" w:line="5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February 2017, the owners’ association for the St. Regis NY Club filed a separate suit against ILG and certain of its subsidiaries in the U.S. District Court for the Southern District of New York, which was amended to add Marriott International and Starwood as additional defendants in March 2017. The lawsuit was subsequently transferred to the U.S. District Court for the Middle District of Florida. The operative complaint alleges that the sponsor of the St. Regis NY Club (St. Regis Residence Club, New York, Inc.), the St. Regis NY Club manager (St. Regis New York Management, Inc.), and certain affiliated entities, as well as Marriott International and Starwood, breached their fiduciary duties related to sale and rental practices, and further alleges tortious interference with the management agreement, unjust enrichment, and anticompetitive conduct. The amended complaint also alleges anticompetitive conduct in connection with the renewal of the St. Regis NY Club management agreement. The plaintiff is seeking declaratory relief in connection with the Starpoint conversion program and the exchange program at the St. Regis NY Club, unspecified damages, and disgorgement of payments under the management and purchase agreements.</w:t>
      </w:r>
    </w:p>
    <w:p>
      <w:pPr>
        <w:spacing w:after="0" w:line="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7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May 2019, the G.A. Resort Condominium Association Inc., the owners’ association for the fractional owners at the Hyatt Residence Club Grand Aspen resort (“HRC Grand Aspen”) filed a lawsuit against us in the District Court for the County of Pitkin, Colorado relating to the transfer of ownership of developer-owned fractional interests at HRC Grand Aspen to the HPC Trust Club for sale and use as a part of the Hyatt Residence Club Portfolio Program. The lawsuit was subsequently removed to the U.S. District Court for the District of Colorado. The plaintiff is seeking termination of the management agreement with the owners’ association, the annulment of certain amendments to governing documents at HRC Grand Aspen,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the removal of fractional interests at HRC Grand Aspen from the HPC Trust Club, unspecified damages, disgorgement of profits, fees and costs.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have meritorious defenses to the claims in each of the above matters and intend to vigorously defend each matter.</w:t>
      </w:r>
    </w:p>
    <w:p>
      <w:pPr>
        <w:spacing w:after="0" w:line="11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6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 the aggregate. For matters not requiring accrual, we do not believe that the ultimate outcome of such matters, individually and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During June 2018, we identified forged and fraudulently induced electronic payment disbursements we made to third parties in an aggregate amount of $10 million resulting from unauthorized third-party access to our email system. Upon detection, we immediately notified law enforcement authorities and relevant financial institutions and commenced a forensic investigation. During 2018, we recovered $6 million. During the second quarter of 2019, we received $3 million from our insurance company as final settlement of our claim, and the insurance company waived the requirement for us to reimburse the insurance company for any monies subsequently recovered. We recorded a gain of $3 million in the (Losses) gains and other (expense) income, net line of our Income Statement for the first three quarters of 2019. Any additional recoveries will be recorded in our results in the future. We have concluded that this event did not involve access to any of our other systems. No other misappropriation of assets was identified during our investigation.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Recoveries</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September 2017, over 20 of our Legacy-MVW properties were impacted by Hurricane Irma and Hurricane Maria and, as a result, as of December 31, 2017, we accrued $1 million for the estimated property damage insurance deductibles and impairment of property and equipment, which was recorded in the Gains and other income, net line on our Income Statement for the year ended December 31, 2017. In 2018, we received $32 million of insurance proceeds related to the settlement of Legacy-MVW business interruption insurance claims arising from Hurricane Irma. These proceeds, and the related deductible of $3 million, were recorded net in the Gains and other income, net line on our Income Statement for the year ended December 31, 2018. During the first quarter of 2019, we recorded an additional $9 million of other income relating to the final settlement of these business interruption insurance claims, which was recorded in the (Losses) gains and other (expense) income, net line on our Income Statement for the nine months ended September 30, 2019.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LEASES</w:t>
      </w:r>
    </w:p>
    <w:p>
      <w:pPr>
        <w:spacing w:after="0" w:line="148" w:lineRule="exact"/>
        <w:rPr>
          <w:sz w:val="20"/>
          <w:szCs w:val="20"/>
          <w:color w:val="auto"/>
        </w:rPr>
      </w:pPr>
    </w:p>
    <w:p>
      <w:pPr>
        <w:ind w:right="20" w:firstLine="661"/>
        <w:spacing w:after="0" w:line="263" w:lineRule="auto"/>
        <w:rPr>
          <w:sz w:val="20"/>
          <w:szCs w:val="20"/>
          <w:color w:val="auto"/>
        </w:rPr>
      </w:pPr>
      <w:r>
        <w:rPr>
          <w:rFonts w:ascii="Arial" w:cs="Arial" w:eastAsia="Arial" w:hAnsi="Arial"/>
          <w:sz w:val="18"/>
          <w:szCs w:val="18"/>
          <w:color w:val="auto"/>
        </w:rPr>
        <w:t>We account for leases in accordance with ASC 842, which we adopted using the optional transition method in the period of adoption as of January 1, 2019, without retrospective application to comparative periods. See Footnote 2 “Significant Accounting Policies and Recent Accounting Standards” for additional information.</w:t>
      </w:r>
    </w:p>
    <w:p>
      <w:pPr>
        <w:spacing w:after="0" w:line="76" w:lineRule="exact"/>
        <w:rPr>
          <w:sz w:val="20"/>
          <w:szCs w:val="20"/>
          <w:color w:val="auto"/>
        </w:rPr>
      </w:pPr>
    </w:p>
    <w:p>
      <w:pPr>
        <w:ind w:right="60" w:firstLine="661"/>
        <w:spacing w:after="0" w:line="259" w:lineRule="auto"/>
        <w:rPr>
          <w:sz w:val="20"/>
          <w:szCs w:val="20"/>
          <w:color w:val="auto"/>
        </w:rPr>
      </w:pPr>
      <w:r>
        <w:rPr>
          <w:rFonts w:ascii="Arial" w:cs="Arial" w:eastAsia="Arial" w:hAnsi="Arial"/>
          <w:sz w:val="18"/>
          <w:szCs w:val="18"/>
          <w:color w:val="auto"/>
        </w:rPr>
        <w:t>Operating leases include lease arrangements for various land, corporate facilities, real estate and equipment. We also have a long-term land lease for land underlying an operating hotel (term of 50 years). Corporate facilities leases are for office space, including our corporate headquarters in Orlando, Florida, and have lease terms that range from nine to 14 years. Other operating leases are primarily for office and retail space, as well as various equipment supporting our operations, with varying terms and renewal option periods.</w:t>
      </w:r>
    </w:p>
    <w:p>
      <w:pPr>
        <w:spacing w:after="0" w:line="79" w:lineRule="exact"/>
        <w:rPr>
          <w:sz w:val="20"/>
          <w:szCs w:val="20"/>
          <w:color w:val="auto"/>
        </w:rPr>
      </w:pPr>
    </w:p>
    <w:p>
      <w:pPr>
        <w:ind w:right="100" w:firstLine="661"/>
        <w:spacing w:after="0" w:line="275" w:lineRule="auto"/>
        <w:rPr>
          <w:sz w:val="20"/>
          <w:szCs w:val="20"/>
          <w:color w:val="auto"/>
        </w:rPr>
      </w:pPr>
      <w:r>
        <w:rPr>
          <w:rFonts w:ascii="Arial" w:cs="Arial" w:eastAsia="Arial" w:hAnsi="Arial"/>
          <w:sz w:val="17"/>
          <w:szCs w:val="17"/>
          <w:color w:val="auto"/>
        </w:rPr>
        <w:t>Finance leases (analogous to capital leases under ASC 840) include lease arrangements for ancillary and operations space for which it is reasonably certain we will exercise the option to purchase the underlying assets in connection with the commitment to purchase the associated operating property. See Footnote 11 “Contingencies and Commitments” for additional information regarding these transactions. In addition, we also lease various equipment supporting our operations and classify these leases as finance leases in accordance with ASC 842. The depreciable life of these assets is limited to the expected lease term, unless there is a transfer of title or purchase option reasonably certain of exercise.</w:t>
      </w:r>
    </w:p>
    <w:p>
      <w:pPr>
        <w:spacing w:after="0" w:line="68" w:lineRule="exact"/>
        <w:rPr>
          <w:sz w:val="20"/>
          <w:szCs w:val="20"/>
          <w:color w:val="auto"/>
        </w:rPr>
      </w:pPr>
    </w:p>
    <w:p>
      <w:pPr>
        <w:ind w:firstLine="661"/>
        <w:spacing w:after="0" w:line="290" w:lineRule="auto"/>
        <w:rPr>
          <w:sz w:val="20"/>
          <w:szCs w:val="20"/>
          <w:color w:val="auto"/>
        </w:rPr>
      </w:pPr>
      <w:r>
        <w:rPr>
          <w:rFonts w:ascii="Arial" w:cs="Arial" w:eastAsia="Arial" w:hAnsi="Arial"/>
          <w:sz w:val="16"/>
          <w:szCs w:val="16"/>
          <w:color w:val="auto"/>
        </w:rPr>
        <w:t>Right-of-use assets and lease liabilities are recognized based on the present value of lease payments over the lease term at commencement date. For purposes of calculating lease liabilities, lease terms may be deemed to include options to extend or terminate the lease when it is reasonably certain that we will exercise that option. Macro-economic conditions are the primary factor used to estimate whether an option to extend a lease term will be exercised or not. For existing leases that commenced prior to the adoption of ASC 842, we made an accounting policy election to use our incremental borrowing rate, considering the remaining lease term and remaining minimum rental payments during transition, in establishing our lease liabilities. For new leases entered into after the adoption of ASC 842, we will use an incremental borrowing rate based on the information available at the commencement date in determining the present value of lease payments. Certain of our lease agreements include variable rental payments that are based on a percentage of retail sales over contractual levels and others include rental payments adjusted periodically for inflation.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our leases and the classification on our Balance Sheet as of September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56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89"/>
              </w:rPr>
              <w:t>Balance Sheet Classification</w:t>
            </w:r>
          </w:p>
        </w:tc>
        <w:tc>
          <w:tcPr>
            <w:tcW w:w="200" w:type="dxa"/>
            <w:vAlign w:val="bottom"/>
          </w:tcPr>
          <w:p>
            <w:pPr>
              <w:spacing w:after="0"/>
              <w:rPr>
                <w:sz w:val="20"/>
                <w:szCs w:val="20"/>
                <w:color w:val="auto"/>
              </w:rPr>
            </w:pPr>
          </w:p>
        </w:tc>
        <w:tc>
          <w:tcPr>
            <w:tcW w:w="194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At September 30, 2019</w:t>
            </w: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3360" w:type="dxa"/>
            <w:vAlign w:val="bottom"/>
            <w:tcBorders>
              <w:top w:val="single" w:sz="8" w:color="auto"/>
              <w:bottom w:val="single" w:sz="8" w:color="CCEEFF"/>
            </w:tcBorders>
            <w:gridSpan w:val="2"/>
            <w:shd w:val="clear" w:color="auto" w:fill="CCEEFF"/>
          </w:tcPr>
          <w:p>
            <w:pPr>
              <w:jc w:val="center"/>
              <w:ind w:left="2032"/>
              <w:spacing w:after="0"/>
              <w:rPr>
                <w:sz w:val="20"/>
                <w:szCs w:val="20"/>
                <w:color w:val="auto"/>
              </w:rPr>
            </w:pPr>
            <w:r>
              <w:rPr>
                <w:rFonts w:ascii="Arial" w:cs="Arial" w:eastAsia="Arial" w:hAnsi="Arial"/>
                <w:sz w:val="18"/>
                <w:szCs w:val="18"/>
                <w:color w:val="auto"/>
                <w:w w:val="86"/>
              </w:rPr>
              <w:t>Other 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Finance lease assets</w:t>
            </w:r>
          </w:p>
        </w:tc>
        <w:tc>
          <w:tcPr>
            <w:tcW w:w="3660" w:type="dxa"/>
            <w:vAlign w:val="bottom"/>
            <w:gridSpan w:val="3"/>
          </w:tcPr>
          <w:p>
            <w:pPr>
              <w:jc w:val="center"/>
              <w:ind w:left="1732"/>
              <w:spacing w:after="0"/>
              <w:rPr>
                <w:sz w:val="20"/>
                <w:szCs w:val="20"/>
                <w:color w:val="auto"/>
              </w:rPr>
            </w:pPr>
            <w:r>
              <w:rPr>
                <w:rFonts w:ascii="Arial" w:cs="Arial" w:eastAsia="Arial" w:hAnsi="Arial"/>
                <w:sz w:val="18"/>
                <w:szCs w:val="18"/>
                <w:color w:val="auto"/>
                <w:w w:val="89"/>
              </w:rPr>
              <w:t>Property and equipment</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50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3660" w:type="dxa"/>
            <w:vAlign w:val="bottom"/>
            <w:tcBorders>
              <w:bottom w:val="single" w:sz="8" w:color="CCEEFF"/>
            </w:tcBorders>
            <w:gridSpan w:val="3"/>
            <w:shd w:val="clear" w:color="auto" w:fill="CCEEFF"/>
          </w:tcPr>
          <w:p>
            <w:pPr>
              <w:jc w:val="center"/>
              <w:ind w:left="1732"/>
              <w:spacing w:after="0"/>
              <w:rPr>
                <w:sz w:val="20"/>
                <w:szCs w:val="20"/>
                <w:color w:val="auto"/>
              </w:rPr>
            </w:pPr>
            <w:r>
              <w:rPr>
                <w:rFonts w:ascii="Arial" w:cs="Arial" w:eastAsia="Arial" w:hAnsi="Arial"/>
                <w:sz w:val="18"/>
                <w:szCs w:val="18"/>
                <w:color w:val="auto"/>
                <w:w w:val="94"/>
              </w:rPr>
              <w:t>Accrued liabilities</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Finance lease liabilities</w:t>
            </w:r>
          </w:p>
        </w:tc>
        <w:tc>
          <w:tcPr>
            <w:tcW w:w="3360" w:type="dxa"/>
            <w:vAlign w:val="bottom"/>
            <w:gridSpan w:val="2"/>
          </w:tcPr>
          <w:p>
            <w:pPr>
              <w:jc w:val="center"/>
              <w:ind w:left="2052"/>
              <w:spacing w:after="0"/>
              <w:rPr>
                <w:sz w:val="20"/>
                <w:szCs w:val="20"/>
                <w:color w:val="auto"/>
              </w:rPr>
            </w:pPr>
            <w:r>
              <w:rPr>
                <w:rFonts w:ascii="Arial" w:cs="Arial" w:eastAsia="Arial" w:hAnsi="Arial"/>
                <w:sz w:val="18"/>
                <w:szCs w:val="18"/>
                <w:color w:val="auto"/>
                <w:w w:val="89"/>
              </w:rPr>
              <w:t>Debt</w:t>
            </w: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gridSpan w:val="2"/>
            <w:shd w:val="clear" w:color="auto" w:fill="CCEEFF"/>
          </w:tcPr>
          <w:p>
            <w:pPr>
              <w:spacing w:after="0"/>
              <w:rPr>
                <w:sz w:val="2"/>
                <w:szCs w:val="2"/>
                <w:color w:val="auto"/>
              </w:rPr>
            </w:pPr>
          </w:p>
        </w:tc>
        <w:tc>
          <w:tcPr>
            <w:tcW w:w="2240" w:type="dxa"/>
            <w:vAlign w:val="bottom"/>
            <w:tcBorders>
              <w:bottom w:val="single" w:sz="8" w:color="CCEEFF"/>
            </w:tcBorders>
            <w:gridSpan w:val="3"/>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140" w:type="dxa"/>
            <w:vAlign w:val="bottom"/>
            <w:tcBorders>
              <w:bottom w:val="single" w:sz="8" w:color="auto"/>
            </w:tcBorders>
            <w:gridSpan w:val="2"/>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1240" w:type="dxa"/>
            <w:vAlign w:val="bottom"/>
            <w:gridSpan w:val="8"/>
          </w:tcPr>
          <w:p>
            <w:pPr>
              <w:ind w:left="660"/>
              <w:spacing w:after="0"/>
              <w:rPr>
                <w:sz w:val="20"/>
                <w:szCs w:val="20"/>
                <w:color w:val="auto"/>
              </w:rPr>
            </w:pPr>
            <w:r>
              <w:rPr>
                <w:rFonts w:ascii="Arial" w:cs="Arial" w:eastAsia="Arial" w:hAnsi="Arial"/>
                <w:sz w:val="18"/>
                <w:szCs w:val="18"/>
                <w:color w:val="auto"/>
                <w:w w:val="92"/>
              </w:rPr>
              <w:t>The following table presents the lease costs and the classification on our Income Statement for the three and nine months ended September 30,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2019.</w:t>
            </w: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24"/>
                <w:szCs w:val="24"/>
                <w:color w:val="auto"/>
              </w:rPr>
            </w:pPr>
          </w:p>
        </w:tc>
        <w:tc>
          <w:tcPr>
            <w:tcW w:w="1940" w:type="dxa"/>
            <w:vAlign w:val="bottom"/>
          </w:tcPr>
          <w:p>
            <w:pPr>
              <w:jc w:val="center"/>
              <w:ind w:right="112"/>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Income Statement Classification</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w w:val="95"/>
              </w:rPr>
              <w:t>September 30, 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0"/>
              </w:rPr>
              <w:t>September 30, 2019</w:t>
            </w:r>
          </w:p>
        </w:tc>
        <w:tc>
          <w:tcPr>
            <w:tcW w:w="0" w:type="dxa"/>
            <w:vAlign w:val="bottom"/>
          </w:tcPr>
          <w:p>
            <w:pPr>
              <w:spacing w:after="0"/>
              <w:rPr>
                <w:sz w:val="1"/>
                <w:szCs w:val="1"/>
                <w:color w:val="auto"/>
              </w:rPr>
            </w:pPr>
          </w:p>
        </w:tc>
      </w:tr>
      <w:tr>
        <w:trPr>
          <w:trHeight w:val="228"/>
        </w:trPr>
        <w:tc>
          <w:tcPr>
            <w:tcW w:w="35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Marketing and sales expense</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22"/>
        </w:trPr>
        <w:tc>
          <w:tcPr>
            <w:tcW w:w="3500" w:type="dxa"/>
            <w:vAlign w:val="bottom"/>
            <w:vMerge w:val="continue"/>
            <w:shd w:val="clear" w:color="auto" w:fill="CCEEFF"/>
          </w:tcPr>
          <w:p>
            <w:pPr>
              <w:spacing w:after="0"/>
              <w:rPr>
                <w:sz w:val="10"/>
                <w:szCs w:val="10"/>
                <w:color w:val="auto"/>
              </w:rPr>
            </w:pPr>
          </w:p>
        </w:tc>
        <w:tc>
          <w:tcPr>
            <w:tcW w:w="33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General and administrative expense</w:t>
            </w:r>
          </w:p>
        </w:tc>
        <w:tc>
          <w:tcPr>
            <w:tcW w:w="300" w:type="dxa"/>
            <w:vAlign w:val="bottom"/>
            <w:vMerge w:val="continue"/>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CCEEFF"/>
            </w:tcBorders>
            <w:shd w:val="clear" w:color="auto" w:fill="CCEEFF"/>
          </w:tcPr>
          <w:p>
            <w:pPr>
              <w:spacing w:after="0"/>
              <w:rPr>
                <w:sz w:val="10"/>
                <w:szCs w:val="10"/>
                <w:color w:val="auto"/>
              </w:rPr>
            </w:pPr>
          </w:p>
        </w:tc>
        <w:tc>
          <w:tcPr>
            <w:tcW w:w="3360" w:type="dxa"/>
            <w:vAlign w:val="bottom"/>
            <w:tcBorders>
              <w:bottom w:val="single" w:sz="8" w:color="CCEEFF"/>
            </w:tcBorders>
            <w:gridSpan w:val="2"/>
            <w:vMerge w:val="continue"/>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9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3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right-of-use assets</w:t>
            </w:r>
          </w:p>
        </w:tc>
        <w:tc>
          <w:tcPr>
            <w:tcW w:w="3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33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30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3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Marketing and sales expense</w:t>
            </w: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60" w:type="dxa"/>
            <w:vAlign w:val="bottom"/>
            <w:vMerge w:val="restart"/>
          </w:tcPr>
          <w:p>
            <w:pPr>
              <w:jc w:val="right"/>
              <w:ind w:right="95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maturity of our operating and financing lease liabilities as of September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1"/>
                <w:szCs w:val="21"/>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b w:val="1"/>
                <w:bCs w:val="1"/>
                <w:color w:val="auto"/>
              </w:rPr>
              <w:t>Operating Leases</w:t>
            </w:r>
          </w:p>
        </w:tc>
        <w:tc>
          <w:tcPr>
            <w:tcW w:w="1760" w:type="dxa"/>
            <w:vAlign w:val="bottom"/>
          </w:tcPr>
          <w:p>
            <w:pPr>
              <w:jc w:val="right"/>
              <w:ind w:right="33"/>
              <w:spacing w:after="0"/>
              <w:rPr>
                <w:sz w:val="20"/>
                <w:szCs w:val="20"/>
                <w:color w:val="auto"/>
              </w:rPr>
            </w:pPr>
            <w:r>
              <w:rPr>
                <w:rFonts w:ascii="Arial" w:cs="Arial" w:eastAsia="Arial" w:hAnsi="Arial"/>
                <w:sz w:val="16"/>
                <w:szCs w:val="16"/>
                <w:b w:val="1"/>
                <w:bCs w:val="1"/>
                <w:color w:val="auto"/>
              </w:rPr>
              <w:t>Finance Leases</w:t>
            </w:r>
            <w:r>
              <w:rPr>
                <w:rFonts w:ascii="Arial" w:cs="Arial" w:eastAsia="Arial" w:hAnsi="Arial"/>
                <w:sz w:val="17"/>
                <w:szCs w:val="17"/>
                <w:b w:val="1"/>
                <w:bCs w:val="1"/>
                <w:color w:val="auto"/>
                <w:vertAlign w:val="superscript"/>
              </w:rPr>
              <w:t>(1)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7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ind w:right="155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5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20" w:hanging="652"/>
        <w:spacing w:after="0" w:line="227" w:lineRule="auto"/>
        <w:tabs>
          <w:tab w:leader="none" w:pos="66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Finance lease payments include $7 million related to a residual value guarantee associated with a purchase commitment for an operating property in New York, New York. See Footnote 11 “Contingencies and Commitments” for additional information regarding this transaction.</w:t>
      </w:r>
    </w:p>
    <w:p>
      <w:pPr>
        <w:sectPr>
          <w:pgSz w:w="11900" w:h="16838" w:orient="portrait"/>
          <w:cols w:equalWidth="0" w:num="1">
            <w:col w:w="11240"/>
          </w:cols>
          <w:pgMar w:left="320" w:top="125" w:right="33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remaining lease term (in years)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Finance leases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leases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Finance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20955</wp:posOffset>
            </wp:positionV>
            <wp:extent cx="672084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20840" cy="179705"/>
                    </a:xfrm>
                    <a:prstGeom prst="rect">
                      <a:avLst/>
                    </a:prstGeom>
                    <a:noFill/>
                  </pic:spPr>
                </pic:pic>
              </a:graphicData>
            </a:graphic>
          </wp:anchor>
        </w:drawing>
      </w:r>
    </w:p>
    <w:p>
      <w:pPr>
        <w:spacing w:after="0" w:line="39" w:lineRule="exact"/>
        <w:rPr>
          <w:sz w:val="20"/>
          <w:szCs w:val="20"/>
          <w:color w:val="auto"/>
        </w:rPr>
      </w:pPr>
    </w:p>
    <w:p>
      <w:pPr>
        <w:ind w:left="920" w:right="3060" w:hanging="242"/>
        <w:spacing w:after="0" w:line="313" w:lineRule="auto"/>
        <w:rPr>
          <w:sz w:val="20"/>
          <w:szCs w:val="20"/>
          <w:color w:val="auto"/>
        </w:rPr>
      </w:pPr>
      <w:r>
        <w:rPr>
          <w:rFonts w:ascii="Arial" w:cs="Arial" w:eastAsia="Arial" w:hAnsi="Arial"/>
          <w:sz w:val="18"/>
          <w:szCs w:val="18"/>
          <w:color w:val="auto"/>
        </w:rPr>
        <w:t>Cash paid for amounts included in measurement of lease liabilities Operating cash flows for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-7620</wp:posOffset>
            </wp:positionV>
            <wp:extent cx="672084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20840" cy="17145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Operating cash flows for operating leases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Financing cash flows for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672084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2084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At September 30, 2019</w:t>
      </w:r>
    </w:p>
    <w:p>
      <w:pPr>
        <w:spacing w:after="0" w:line="3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11.4 years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1.2 years</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6.1%</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September 30, 2019</w:t>
      </w:r>
    </w:p>
    <w:p>
      <w:pPr>
        <w:spacing w:after="0" w:line="348" w:lineRule="exact"/>
        <w:rPr>
          <w:sz w:val="20"/>
          <w:szCs w:val="20"/>
          <w:color w:val="auto"/>
        </w:rPr>
      </w:pPr>
    </w:p>
    <w:p>
      <w:pPr>
        <w:spacing w:after="0"/>
        <w:tabs>
          <w:tab w:leader="none" w:pos="17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w:t>
      </w:r>
    </w:p>
    <w:p>
      <w:pPr>
        <w:spacing w:after="0" w:line="12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w:t>
      </w:r>
    </w:p>
    <w:p>
      <w:pPr>
        <w:spacing w:after="0" w:line="77"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12769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720"/>
            <w:col w:w="1980"/>
          </w:cols>
          <w:pgMar w:left="320" w:top="125" w:right="339" w:bottom="1440" w:gutter="0" w:footer="0" w:header="0"/>
          <w:type w:val="continuous"/>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SECURITIZED DEBT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securitized debt, net of unamortized debt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0"/>
                <w:szCs w:val="20"/>
                <w:color w:val="auto"/>
              </w:rPr>
            </w:pPr>
          </w:p>
        </w:tc>
        <w:tc>
          <w:tcPr>
            <w:tcW w:w="212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September 30, 2019</w:t>
            </w:r>
          </w:p>
        </w:tc>
        <w:tc>
          <w:tcPr>
            <w:tcW w:w="240" w:type="dxa"/>
            <w:vAlign w:val="bottom"/>
          </w:tcPr>
          <w:p>
            <w:pPr>
              <w:spacing w:after="0"/>
              <w:rPr>
                <w:sz w:val="20"/>
                <w:szCs w:val="20"/>
                <w:color w:val="auto"/>
              </w:rPr>
            </w:pPr>
          </w:p>
        </w:tc>
        <w:tc>
          <w:tcPr>
            <w:tcW w:w="200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At December 31, 2018</w:t>
            </w: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1,624</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97"/>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Warehouse Credit Facility, gross</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21"/>
                <w:szCs w:val="21"/>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97"/>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(3)</w:t>
            </w:r>
          </w:p>
        </w:tc>
        <w:tc>
          <w:tcPr>
            <w:tcW w:w="24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1"/>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Interest rates as of September 30, 2019 range from 2.2% to 6.3%, with a weighted average interest rate of 2.9%</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Effective interest rate as of September 30, 2019 was 3.3%</w:t>
      </w:r>
    </w:p>
    <w:p>
      <w:pPr>
        <w:spacing w:after="0" w:line="50" w:lineRule="exact"/>
        <w:rPr>
          <w:rFonts w:ascii="Arial" w:cs="Arial" w:eastAsia="Arial" w:hAnsi="Arial"/>
          <w:sz w:val="24"/>
          <w:szCs w:val="24"/>
          <w:color w:val="auto"/>
          <w:vertAlign w:val="superscript"/>
        </w:rPr>
      </w:pPr>
    </w:p>
    <w:p>
      <w:pPr>
        <w:ind w:left="660" w:hanging="652"/>
        <w:spacing w:after="0" w:line="183"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Non-recourse</w:t>
      </w:r>
    </w:p>
    <w:p>
      <w:pPr>
        <w:spacing w:after="0" w:line="203"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See Footnote 17 “Variable Interest Entities” for a discussion of the collateral for the non-recourse debt associated with the securitized vacation ownership notes receivable and our non-recourse warehouse credit facility (the “Warehouse Credit Facility”). The debt associated with our vacation ownership notes receivable securitizations and our Warehouse Credit Facility is non-recourse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 Securitizations</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May 23, 2019, we completed the securitization of a pool of $459 million of vacation ownership notes receivable. In connection with the securitization, investors purchased in a private placement $450 million in vacation ownership loan backed notes from MVW 2019-1 LLC (the “2019-1 LLC”). Three classes of vacation ownership loan backed notes were issued by the 2019-1 LLC: $350 million of Class A Notes, $67 million of Class B Notes and $33 million of Class C Notes. The Class A Notes have an interest rate of 2.89 percent, the Class B Notes have an interest rate of 3.00 percent and the Class C Notes have an interest rate of 3.33 percent, for an overall weighted average interest rate of 2.94 percent.</w:t>
      </w:r>
    </w:p>
    <w:p>
      <w:pPr>
        <w:spacing w:after="0" w:line="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October 10, 2019, subsequent to the third quarter of 2019, we completed the securitization of a pool of $315 million of vacation ownership notes receivable. Approximately $236 million of the vacation ownership notes receivable were purchased on October 10, 2019 by MVW 2019-2 LLC (the “2019-2 LLC”), and we expect the remaining vacation ownership notes receivable to be purchased by the 2019-2 LLC prior to March 31, 2020. The 2019-2 LLC holds the remaining proceeds, which will be released as the remaining vacation ownership notes receivable are purchased. On November 7, 2019, an additional $44 million of the remaining vacation ownership notes receivable were purchased and $42 million was released from restricted cash. Any funds not used to purchase vacation ownership notes receivable will be returned to the investors. Three classes of vacation ownership loan backed notes were issued by the 2019-2 LLC: $232 million of Class A Notes, $54 million of Class B Notes and $23 million of Class C Notes. The Class A Notes have an interest rate of 2.22 percent, the Class B Notes have an interest rate of 2.44 percent and the Class C Notes have an interest rate of 2.68 percent, for an overall weighted average interest rate of 2.29 percent.</w:t>
      </w:r>
    </w:p>
    <w:p>
      <w:pPr>
        <w:spacing w:after="0" w:line="7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third quarter of 2019, and as of September 30, 2019, no securitized vacation ownership notes receivable pools were out of compliance with their respective established parameters. As of September 30, 2019, we had 11 securitized vacation ownership notes receivable pools outstanding.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below due to prepayments by the vacation ownership notes receivable obligors.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securitized debt as of September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Vacation Ownership</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Notes Receivable</w:t>
            </w:r>
          </w:p>
        </w:tc>
        <w:tc>
          <w:tcPr>
            <w:tcW w:w="200" w:type="dxa"/>
            <w:vAlign w:val="bottom"/>
          </w:tcPr>
          <w:p>
            <w:pPr>
              <w:spacing w:after="0"/>
              <w:rPr>
                <w:sz w:val="17"/>
                <w:szCs w:val="17"/>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Warehouse Credit</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Securitizations</w:t>
            </w:r>
          </w:p>
        </w:tc>
        <w:tc>
          <w:tcPr>
            <w:tcW w:w="20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Facility</w:t>
            </w:r>
          </w:p>
        </w:tc>
        <w:tc>
          <w:tcPr>
            <w:tcW w:w="400" w:type="dxa"/>
            <w:vAlign w:val="bottom"/>
          </w:tcPr>
          <w:p>
            <w:pPr>
              <w:spacing w:after="0"/>
              <w:rPr>
                <w:sz w:val="20"/>
                <w:szCs w:val="20"/>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Other</w:t>
            </w:r>
          </w:p>
        </w:tc>
        <w:tc>
          <w:tcPr>
            <w:tcW w:w="420" w:type="dxa"/>
            <w:vAlign w:val="bottom"/>
          </w:tcPr>
          <w:p>
            <w:pPr>
              <w:spacing w:after="0"/>
              <w:rPr>
                <w:sz w:val="20"/>
                <w:szCs w:val="20"/>
                <w:color w:val="auto"/>
              </w:rPr>
            </w:pPr>
          </w:p>
        </w:tc>
        <w:tc>
          <w:tcPr>
            <w:tcW w:w="1380" w:type="dxa"/>
            <w:vAlign w:val="bottom"/>
          </w:tcPr>
          <w:p>
            <w:pPr>
              <w:jc w:val="right"/>
              <w:ind w:right="631"/>
              <w:spacing w:after="0"/>
              <w:rPr>
                <w:sz w:val="20"/>
                <w:szCs w:val="20"/>
                <w:color w:val="auto"/>
              </w:rPr>
            </w:pPr>
            <w:r>
              <w:rPr>
                <w:rFonts w:ascii="Arial" w:cs="Arial" w:eastAsia="Arial" w:hAnsi="Arial"/>
                <w:sz w:val="16"/>
                <w:szCs w:val="16"/>
                <w:b w:val="1"/>
                <w:bCs w:val="1"/>
                <w:color w:val="auto"/>
              </w:rPr>
              <w:t>Total</w:t>
            </w:r>
          </w:p>
        </w:tc>
      </w:tr>
      <w:tr>
        <w:trPr>
          <w:trHeight w:val="250"/>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Payments Year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2019, remaining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245</w:t>
            </w: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7"/>
        </w:trPr>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37"/>
        </w:trPr>
        <w:tc>
          <w:tcPr>
            <w:tcW w:w="37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1,700</w:t>
            </w:r>
          </w:p>
        </w:tc>
      </w:tr>
      <w:tr>
        <w:trPr>
          <w:trHeight w:val="27"/>
        </w:trPr>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Warehouse Credit Facility, which has a borrowing capacity of $250 million, allows for the securitization of Legacy-MVW vacation ownership notes receivable on a revolving non-recourse basis through March 13, 2020. During the first quarter of 2019, we securitized vacation ownership notes receivable under our Warehouse Credit Facility. The carrying amount of the vacation ownership notes receivable securitized was $146 million. The advance rate was 85 percent, which resulted in gross proceeds of $124 million. Net proceeds were $123 million due to the funding of reserve accounts of $1 million.</w:t>
      </w:r>
    </w:p>
    <w:p>
      <w:pPr>
        <w:spacing w:after="0" w:line="8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third quarter of 2019, we securitized vacation ownership notes receivable under our Warehouse Credit Facility. The carrying amount of the vacation ownership notes receivable securitized was $67 million. The advance rate was 85 percent, which resulted in gross proceeds of $57 million. Net proceeds were $57 million due to the funding of reserve accounts of less than $1 million.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DEBT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0"/>
                <w:szCs w:val="20"/>
                <w:color w:val="auto"/>
              </w:rPr>
            </w:pPr>
          </w:p>
        </w:tc>
        <w:tc>
          <w:tcPr>
            <w:tcW w:w="1960" w:type="dxa"/>
            <w:vAlign w:val="bottom"/>
            <w:gridSpan w:val="2"/>
          </w:tcPr>
          <w:p>
            <w:pPr>
              <w:ind w:left="60"/>
              <w:spacing w:after="0"/>
              <w:rPr>
                <w:sz w:val="20"/>
                <w:szCs w:val="20"/>
                <w:color w:val="auto"/>
              </w:rPr>
            </w:pPr>
            <w:r>
              <w:rPr>
                <w:rFonts w:ascii="Arial" w:cs="Arial" w:eastAsia="Arial" w:hAnsi="Arial"/>
                <w:sz w:val="16"/>
                <w:szCs w:val="16"/>
                <w:b w:val="1"/>
                <w:bCs w:val="1"/>
                <w:color w:val="auto"/>
              </w:rPr>
              <w:t>At September 30, 2019</w:t>
            </w:r>
          </w:p>
        </w:tc>
        <w:tc>
          <w:tcPr>
            <w:tcW w:w="180" w:type="dxa"/>
            <w:vAlign w:val="bottom"/>
          </w:tcPr>
          <w:p>
            <w:pPr>
              <w:spacing w:after="0"/>
              <w:rPr>
                <w:sz w:val="20"/>
                <w:szCs w:val="20"/>
                <w:color w:val="auto"/>
              </w:rPr>
            </w:pPr>
          </w:p>
        </w:tc>
        <w:tc>
          <w:tcPr>
            <w:tcW w:w="18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At December 31, 2018</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Exchange Notes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Senior Unsecured Notes</w:t>
            </w: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IAC Notes</w:t>
            </w: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 Credit Facility</w:t>
            </w: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Revolving Corporate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Unamortized debt issuance costs</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bearing note payable</w:t>
            </w: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18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80" w:hanging="652"/>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Excludes $4 million of unamortized debt issuance costs as of December 31, 2018, as no cash borrowings were outstanding on the Revolving Corporate Credit Facility at that time.</w:t>
      </w:r>
    </w:p>
    <w:p>
      <w:pPr>
        <w:spacing w:after="0" w:line="94"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shows scheduled future principal payments for our debt, excluding finance leases, as of September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4"/>
          </w:tcPr>
          <w:p>
            <w:pPr>
              <w:ind w:left="60"/>
              <w:spacing w:after="0"/>
              <w:rPr>
                <w:sz w:val="20"/>
                <w:szCs w:val="20"/>
                <w:color w:val="auto"/>
              </w:rPr>
            </w:pPr>
            <w:r>
              <w:rPr>
                <w:rFonts w:ascii="Arial" w:cs="Arial" w:eastAsia="Arial" w:hAnsi="Arial"/>
                <w:sz w:val="16"/>
                <w:szCs w:val="16"/>
                <w:b w:val="1"/>
                <w:bCs w:val="1"/>
                <w:color w:val="auto"/>
              </w:rPr>
              <w:t>Payments Year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7"/>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7"/>
              </w:rPr>
              <w:t>Thereafter</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Total</w:t>
            </w: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IAC Notes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Term Loan</w:t>
            </w: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893</w:t>
            </w:r>
          </w:p>
        </w:tc>
      </w:tr>
      <w:tr>
        <w:trPr>
          <w:trHeight w:val="27"/>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Corporate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
        </w:trPr>
        <w:tc>
          <w:tcPr>
            <w:tcW w:w="3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Our Senior Notes include the following: $750 million aggregate principal amount of 6.500% senior unsecured notes due 2026 issued in the third quarter of 2018 (the “Senior Unsecured Notes”); the 5.625% Senior Unsecured Notes due 2023 assumed in connection with the ILG Acquisition (the “IAC Notes”); and the 5.625% Senior Unsecured Notes due 2023 offered in exchange for the IAC Notes during the third quarter of 2018 (the “Exchange Notes”).</w:t>
      </w:r>
    </w:p>
    <w:p>
      <w:pPr>
        <w:spacing w:after="0" w:line="4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On September 17, 2019, we announced the offer and pricing of senior notes, and on October 1, 2019, subsequent to the third quarter of 2019, we issued $350 million aggregate principal amount of 4.750% Senior Notes due 2028 (the “2028 Notes”). We will pay interest on the 2028 Notes on March 15 and September 15 of each year, commencing on March 15, 2020. The net proceeds from the 2028 Notes were used (i) to redeem all of the outstanding IAC Notes, (ii) to redeem all of the outstanding Exchange Notes, (iii) to repay a portion of the outstanding borrowings under our Revolving Corporate Credit Facility, (iv) to pay transaction expenses and fees in connection with each of the foregoing and (v) for general corporate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Credit Facility</w:t>
      </w:r>
    </w:p>
    <w:p>
      <w:pPr>
        <w:spacing w:after="0" w:line="11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corporate credit facility (“Corporate Credit Facility”), which provides support for our business, including ongoing liquidity and letters of credit, includes a $900 million term loan facility (the “Term Loan”) which matures on August 31, 2025, and a Revolving Corporate Credit Facility with a borrowing capacity of $600 million that terminates on August 31, 2023. The Term Loan bears interest at LIBOR plus 2.25 percent.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to 40 basis points per annum, also depending on our credit rating. The Revolving Corporate Credit Facility also includes a letter of credit sub-facility of $75 million. As of September 30, 2019, we were in compliance with the applicable financial and operating covenants under the Corporate Credit Facility.</w:t>
      </w:r>
    </w:p>
    <w:p>
      <w:pPr>
        <w:spacing w:after="0" w:line="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entered into $250 million of interest rate swaps under which we pay a fixed rate of 2.9625 percent and receive a floating interest rate through September 2023 and $200 million of interest rate swaps under which we pay a fixed rate of 2.2480 percent and receive a floating interest rate through April 2024, in each case to hedge a portion of our interest rate risk on the Term Loan. We also entered into a $100 million interest rate collar with a cap strike rate of 2.5000% and a floor strike rate of 1.8810% through April 2024 to further hedge our interest rate risk on the Term Loan. Both the interest rate swaps and the interest rate collar have been designated and qualify as cash flow hedges of interest rate risk and recorded in Other liabilities on our Balance Sheet as of September 30, 2019. We characterize payments we make in connection with these derivative instruments as interest expense and a reclassification of accumulated other comprehensive income for presentation purposes.</w:t>
      </w:r>
    </w:p>
    <w:p>
      <w:pPr>
        <w:spacing w:after="0" w:line="6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reflects the activity in accumulated other comprehensive loss related to our derivative instruments during the first three quarters of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jc w:val="right"/>
              <w:ind w:right="311"/>
              <w:spacing w:after="0"/>
              <w:rPr>
                <w:sz w:val="20"/>
                <w:szCs w:val="20"/>
                <w:color w:val="auto"/>
              </w:rPr>
            </w:pPr>
            <w:r>
              <w:rPr>
                <w:rFonts w:ascii="Arial" w:cs="Arial" w:eastAsia="Arial" w:hAnsi="Arial"/>
                <w:sz w:val="16"/>
                <w:szCs w:val="16"/>
                <w:b w:val="1"/>
                <w:bCs w:val="1"/>
                <w:color w:val="auto"/>
              </w:rPr>
              <w:t>Derivative Instrument</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Adjustments</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4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4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to Income Statement</w:t>
            </w:r>
          </w:p>
        </w:tc>
        <w:tc>
          <w:tcPr>
            <w:tcW w:w="4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Net other comprehensive loss</w:t>
            </w:r>
          </w:p>
        </w:tc>
        <w:tc>
          <w:tcPr>
            <w:tcW w:w="4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4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4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to Income Statement</w:t>
            </w:r>
          </w:p>
        </w:tc>
        <w:tc>
          <w:tcPr>
            <w:tcW w:w="4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Net other comprehensive loss</w:t>
            </w:r>
          </w:p>
        </w:tc>
        <w:tc>
          <w:tcPr>
            <w:tcW w:w="4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4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4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to Income Statement</w:t>
            </w:r>
          </w:p>
        </w:tc>
        <w:tc>
          <w:tcPr>
            <w:tcW w:w="4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Net other comprehensive loss</w:t>
            </w:r>
          </w:p>
        </w:tc>
        <w:tc>
          <w:tcPr>
            <w:tcW w:w="4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4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3070"/>
              <w:spacing w:after="0"/>
              <w:rPr>
                <w:sz w:val="20"/>
                <w:szCs w:val="20"/>
                <w:color w:val="auto"/>
              </w:rPr>
            </w:pPr>
            <w:r>
              <w:rPr>
                <w:rFonts w:ascii="Arial" w:cs="Arial" w:eastAsia="Arial" w:hAnsi="Arial"/>
                <w:sz w:val="18"/>
                <w:szCs w:val="18"/>
                <w:color w:val="auto"/>
              </w:rPr>
              <w:t>36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$230 million of 1.50% Convertible Senior Notes due 2022 (the “Convertible Notes”) were convertible at an initial rate of 6.7482 shares of common stock per $1,000 principal amount of Convertible Notes (equivalent to an initial conversion price of approximately $148.19 per share of our common stock). The conversion rate is subject to adjustment for certain events as described in the indenture governing the notes and was subject to adjustment during the third quarter of 2019 to 6.7887 shares of common stock per $1,000 principal amount of Convertible Notes (equivalent to a conversion price of approximately $147.30 per share of our common stock) when we declared a quarterly dividend of $0.45 per share, which was greater than the quarterly dividend at the time of the issuance of the Convertible Notes. Upon conversion, we will pay or deliver, as the case may be, cash, shares of our common stock or a combination of cash and shares of our common stock, at our election. It is our intent to settle conversions of the Convertible Notes through combination settlement, which contemplates repayment in cash of the principal amount and repayment in shares of our common stock of any excess of the conversion value over the principal amount. As of September 30, 2019, the effective interest rate was 4.7% and the remaining discount amortization period was 3.0 years.</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0"/>
                <w:szCs w:val="20"/>
                <w:color w:val="auto"/>
              </w:rPr>
            </w:pPr>
          </w:p>
        </w:tc>
        <w:tc>
          <w:tcPr>
            <w:tcW w:w="1960" w:type="dxa"/>
            <w:vAlign w:val="bottom"/>
            <w:gridSpan w:val="2"/>
          </w:tcPr>
          <w:p>
            <w:pPr>
              <w:ind w:left="60"/>
              <w:spacing w:after="0"/>
              <w:rPr>
                <w:sz w:val="20"/>
                <w:szCs w:val="20"/>
                <w:color w:val="auto"/>
              </w:rPr>
            </w:pPr>
            <w:r>
              <w:rPr>
                <w:rFonts w:ascii="Arial" w:cs="Arial" w:eastAsia="Arial" w:hAnsi="Arial"/>
                <w:sz w:val="16"/>
                <w:szCs w:val="16"/>
                <w:b w:val="1"/>
                <w:bCs w:val="1"/>
                <w:color w:val="auto"/>
              </w:rPr>
              <w:t>At September 30, 2019</w:t>
            </w:r>
          </w:p>
        </w:tc>
        <w:tc>
          <w:tcPr>
            <w:tcW w:w="180" w:type="dxa"/>
            <w:vAlign w:val="bottom"/>
          </w:tcPr>
          <w:p>
            <w:pPr>
              <w:spacing w:after="0"/>
              <w:rPr>
                <w:sz w:val="20"/>
                <w:szCs w:val="20"/>
                <w:color w:val="auto"/>
              </w:rPr>
            </w:pPr>
          </w:p>
        </w:tc>
        <w:tc>
          <w:tcPr>
            <w:tcW w:w="18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At December 31, 2018</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230</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debt discount</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carrying amount of the liability component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 net of issuance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7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3"/>
          </w:tcPr>
          <w:p>
            <w:pPr>
              <w:jc w:val="right"/>
              <w:ind w:right="813"/>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4"/>
          </w:tcPr>
          <w:p>
            <w:pPr>
              <w:jc w:val="right"/>
              <w:ind w:right="105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8"/>
        </w:trPr>
        <w:tc>
          <w:tcPr>
            <w:tcW w:w="37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2"/>
                <w:szCs w:val="22"/>
                <w:color w:val="auto"/>
              </w:rPr>
            </w:pPr>
          </w:p>
        </w:tc>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2019</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September 30, 2018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2019</w:t>
            </w:r>
          </w:p>
        </w:tc>
        <w:tc>
          <w:tcPr>
            <w:tcW w:w="180" w:type="dxa"/>
            <w:vAlign w:val="bottom"/>
          </w:tcPr>
          <w:p>
            <w:pPr>
              <w:spacing w:after="0"/>
              <w:rPr>
                <w:sz w:val="22"/>
                <w:szCs w:val="22"/>
                <w:color w:val="auto"/>
              </w:rPr>
            </w:pPr>
          </w:p>
        </w:tc>
        <w:tc>
          <w:tcPr>
            <w:tcW w:w="162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September 30, 2018</w:t>
            </w:r>
          </w:p>
        </w:tc>
      </w:tr>
      <w:tr>
        <w:trPr>
          <w:trHeight w:val="250"/>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73"/>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37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373"/>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Hedges and Warrants</w:t>
      </w:r>
    </w:p>
    <w:p>
      <w:pPr>
        <w:spacing w:after="0" w:line="11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connection with the offering of the Convertible Notes, we concurrently entered into the following privately-negotiated separate transactions: convertible note hedge transactions with respect to our common stock (“Convertible Note Hedges”), covering a total of approximately 1.55 million shares of our common stock, and warrant transactions (“Warrants”), whereby we sold to the counterparties to the Convertible Note Hedges warrants to acquire approximately 1.55 million shares of our common stock at an initial strike price of $176.68 per share. The strike price was subject to adjustment during the third quarter of 2019 to $175.63 per share when we declared a quarterly dividend of $0.45 per share. As of September 30, 2019, no Convertible Note Hedges or Warrants have been exercised.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Footnote 12 “Leases” for information on our finance leases accounted for under ASC 842.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w:t>
      </w:r>
    </w:p>
    <w:p>
      <w:pPr>
        <w:spacing w:after="0" w:line="1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Amounts borrowed under the Corporate Credit Facility, as well as obligations with respect to letters of credit issued pursuant to that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The IAC Notes are guaranteed by MVWC, ILG and certain other subsidiaries whose voting securities are wholly owned directly or indirectly by ILG. The Senior Unsecured Notes are guaranteed by MVWC and certain of its subsidiaries whose voting securities are wholly owned directly or indirectly by MVWC. The Exchange Notes are guaranteed by MVWC and its domestic subsidiaries that guarantee the Corporate Credit Facility. See Footnote 19 “Supplemental Guarantor Information” for additional information.</w:t>
      </w:r>
    </w:p>
    <w:p>
      <w:pPr>
        <w:sectPr>
          <w:pgSz w:w="11900" w:h="16838" w:orient="portrait"/>
          <w:cols w:equalWidth="0" w:num="1">
            <w:col w:w="11240"/>
          </w:cols>
          <w:pgMar w:left="320" w:top="125" w:right="339" w:bottom="144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SHAREHOLDERS’ EQUITY</w:t>
      </w:r>
    </w:p>
    <w:p>
      <w:pPr>
        <w:spacing w:after="0" w:line="14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Marriott Vacations Worldwide has 100,000,000 authorized shares of common stock, par value of $0.01 per share. At September 30, 2019, there were 57,874,390 shares of Marriott Vacations Worldwide common stock issued, of which 42,592,411 shares were outstanding and 15,281,979 shares were held as treasury stock. At December 31, 2018, there were 57,626,462 shares of Marriott Vacations Worldwide common stock issued, of which 45,992,731 shares were outstanding and 11,633,731 shares were held as treasury stock. Marriott Vacations Worldwide has 2,000,000 authorized shares of preferred stock, par value of $0.01 per share, none of which were issued or outstanding as of September 30, 2019 or December 31,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300" w:type="dxa"/>
            <w:vAlign w:val="bottom"/>
          </w:tcPr>
          <w:p>
            <w:pPr>
              <w:spacing w:after="0"/>
              <w:rPr>
                <w:sz w:val="17"/>
                <w:szCs w:val="17"/>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Cost of Shares</w:t>
            </w:r>
          </w:p>
        </w:tc>
        <w:tc>
          <w:tcPr>
            <w:tcW w:w="140" w:type="dxa"/>
            <w:vAlign w:val="bottom"/>
          </w:tcPr>
          <w:p>
            <w:pPr>
              <w:spacing w:after="0"/>
              <w:rPr>
                <w:sz w:val="17"/>
                <w:szCs w:val="17"/>
                <w:color w:val="auto"/>
              </w:rPr>
            </w:pPr>
          </w:p>
        </w:tc>
        <w:tc>
          <w:tcPr>
            <w:tcW w:w="1760" w:type="dxa"/>
            <w:vAlign w:val="bottom"/>
          </w:tcPr>
          <w:p>
            <w:pPr>
              <w:jc w:val="right"/>
              <w:ind w:right="74"/>
              <w:spacing w:after="0"/>
              <w:rPr>
                <w:sz w:val="20"/>
                <w:szCs w:val="20"/>
                <w:color w:val="auto"/>
              </w:rPr>
            </w:pPr>
            <w:r>
              <w:rPr>
                <w:rFonts w:ascii="Arial" w:cs="Arial" w:eastAsia="Arial" w:hAnsi="Arial"/>
                <w:sz w:val="16"/>
                <w:szCs w:val="16"/>
                <w:b w:val="1"/>
                <w:bCs w:val="1"/>
                <w:color w:val="auto"/>
                <w:w w:val="90"/>
              </w:rPr>
              <w:t>Average Price Paid per</w:t>
            </w:r>
          </w:p>
        </w:tc>
      </w:tr>
      <w:tr>
        <w:trPr>
          <w:trHeight w:val="237"/>
        </w:trPr>
        <w:tc>
          <w:tcPr>
            <w:tcW w:w="5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Repurchased</w:t>
            </w:r>
          </w:p>
        </w:tc>
        <w:tc>
          <w:tcPr>
            <w:tcW w:w="300" w:type="dxa"/>
            <w:vAlign w:val="bottom"/>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Repurchased</w:t>
            </w:r>
          </w:p>
        </w:tc>
        <w:tc>
          <w:tcPr>
            <w:tcW w:w="140" w:type="dxa"/>
            <w:vAlign w:val="bottom"/>
          </w:tcPr>
          <w:p>
            <w:pPr>
              <w:spacing w:after="0"/>
              <w:rPr>
                <w:sz w:val="20"/>
                <w:szCs w:val="20"/>
                <w:color w:val="auto"/>
              </w:rPr>
            </w:pPr>
          </w:p>
        </w:tc>
        <w:tc>
          <w:tcPr>
            <w:tcW w:w="1760" w:type="dxa"/>
            <w:vAlign w:val="bottom"/>
          </w:tcPr>
          <w:p>
            <w:pPr>
              <w:jc w:val="right"/>
              <w:ind w:right="674"/>
              <w:spacing w:after="0"/>
              <w:rPr>
                <w:sz w:val="20"/>
                <w:szCs w:val="20"/>
                <w:color w:val="auto"/>
              </w:rPr>
            </w:pPr>
            <w:r>
              <w:rPr>
                <w:rFonts w:ascii="Arial" w:cs="Arial" w:eastAsia="Arial" w:hAnsi="Arial"/>
                <w:sz w:val="16"/>
                <w:szCs w:val="16"/>
                <w:b w:val="1"/>
                <w:bCs w:val="1"/>
                <w:color w:val="auto"/>
              </w:rPr>
              <w:t>Share</w:t>
            </w:r>
          </w:p>
        </w:tc>
      </w:tr>
      <w:tr>
        <w:trPr>
          <w:trHeight w:val="250"/>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2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11,687,774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67.85</w:t>
            </w: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color w:val="auto"/>
              </w:rPr>
              <w:t>For the first three quarters of 2019</w:t>
            </w:r>
          </w:p>
        </w:tc>
        <w:tc>
          <w:tcPr>
            <w:tcW w:w="2040" w:type="dxa"/>
            <w:vAlign w:val="bottom"/>
          </w:tcPr>
          <w:p>
            <w:pPr>
              <w:jc w:val="right"/>
              <w:ind w:right="34"/>
              <w:spacing w:after="0"/>
              <w:rPr>
                <w:sz w:val="20"/>
                <w:szCs w:val="20"/>
                <w:color w:val="auto"/>
              </w:rPr>
            </w:pPr>
            <w:r>
              <w:rPr>
                <w:rFonts w:ascii="Arial" w:cs="Arial" w:eastAsia="Arial" w:hAnsi="Arial"/>
                <w:sz w:val="18"/>
                <w:szCs w:val="18"/>
                <w:color w:val="auto"/>
              </w:rPr>
              <w:t>3,667,175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93.24</w:t>
            </w:r>
          </w:p>
        </w:tc>
      </w:tr>
      <w:tr>
        <w:trPr>
          <w:trHeight w:val="27"/>
        </w:trPr>
        <w:tc>
          <w:tcPr>
            <w:tcW w:w="51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2019</w:t>
            </w:r>
          </w:p>
        </w:tc>
        <w:tc>
          <w:tcPr>
            <w:tcW w:w="2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15,354,949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73.91</w:t>
            </w:r>
          </w:p>
        </w:tc>
      </w:tr>
      <w:tr>
        <w:trPr>
          <w:trHeight w:val="20"/>
        </w:trPr>
        <w:tc>
          <w:tcPr>
            <w:tcW w:w="51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July 30, 2019, our Board of Directors authorized the extension of the duration of our existing share repurchase program to December 31, 2020, as well as the repurchase of up to 4.5 million additional shares of our common stock. As of September 30, 2019, our Board of Directors had authorized the repurchase of an aggregate of up to 19.4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7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As of September 30, 2019, 3.8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first three quarters of 2019 as follows: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2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Declaration Date</w:t>
            </w:r>
          </w:p>
        </w:tc>
        <w:tc>
          <w:tcPr>
            <w:tcW w:w="2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 Date</w:t>
            </w:r>
          </w:p>
        </w:tc>
        <w:tc>
          <w:tcPr>
            <w:tcW w:w="2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Distribution Date</w:t>
            </w: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February 15, 2019</w:t>
            </w:r>
          </w:p>
        </w:tc>
        <w:tc>
          <w:tcPr>
            <w:tcW w:w="2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28, 2019</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14, 2019</w:t>
            </w:r>
          </w:p>
        </w:tc>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$0.45</w:t>
            </w:r>
          </w:p>
        </w:tc>
      </w:tr>
      <w:tr>
        <w:trPr>
          <w:trHeight w:val="243"/>
        </w:trPr>
        <w:tc>
          <w:tcPr>
            <w:tcW w:w="25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May 9, 2019</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23, 2019</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June 6, 2019</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$0.45</w:t>
            </w: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43"/>
        </w:trPr>
        <w:tc>
          <w:tcPr>
            <w:tcW w:w="2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September 5, 2019</w:t>
            </w:r>
          </w:p>
        </w:tc>
        <w:tc>
          <w:tcPr>
            <w:tcW w:w="2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19, 2019</w:t>
            </w:r>
          </w:p>
        </w:tc>
        <w:tc>
          <w:tcPr>
            <w:tcW w:w="26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2019</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$0.45</w:t>
            </w:r>
          </w:p>
        </w:tc>
      </w:tr>
      <w:tr>
        <w:trPr>
          <w:trHeight w:val="27"/>
        </w:trPr>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future dividend payments will be subject to Board approval, and there can be no assurance that we will pay dividends in the future.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Owners’ Associations</w:t>
      </w:r>
    </w:p>
    <w:p>
      <w:pPr>
        <w:spacing w:after="0" w:line="11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As part of the ILG Acquisition we established a noncontrolling interest in property owners’ associations that Legacy-ILG consolidates under the voting interest model, which represents the portion of the property owners’ associations related to individual or third-party VOI owners. As of September 30, 2019, this noncontrolling interest amounts to $10 million and is included on our Balance Sheet as a component of equity.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SHARE-BASED COMPENSATION</w:t>
      </w:r>
    </w:p>
    <w:p>
      <w:pPr>
        <w:spacing w:after="0" w:line="14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We maintain the Marriott Vacations Worldwide Corporation Stock and Cash Incentive Plan (the “MVW Stock Plan”) for the benefit of our officers, directors and employees. Under the MVW Stock Plan, we are authorized to award: (1) restricted stock units (“RSUs”) of our common stock, (2) SARs relating to our common stock and (3) stock options to purchase our common stock. A total of 6 million shares are authorized for issuance pursuant to grants under the MVW Stock Plan. As of September 30, 2019, less than 1 million shares were available for grants under the MVW Stock Plan.</w:t>
      </w:r>
    </w:p>
    <w:p>
      <w:pPr>
        <w:spacing w:after="0" w:line="49" w:lineRule="exact"/>
        <w:rPr>
          <w:sz w:val="20"/>
          <w:szCs w:val="20"/>
          <w:color w:val="auto"/>
        </w:rPr>
      </w:pPr>
    </w:p>
    <w:p>
      <w:pPr>
        <w:jc w:val="both"/>
        <w:ind w:right="320" w:firstLine="661"/>
        <w:spacing w:after="0" w:line="263" w:lineRule="auto"/>
        <w:rPr>
          <w:sz w:val="20"/>
          <w:szCs w:val="20"/>
          <w:color w:val="auto"/>
        </w:rPr>
      </w:pPr>
      <w:r>
        <w:rPr>
          <w:rFonts w:ascii="Arial" w:cs="Arial" w:eastAsia="Arial" w:hAnsi="Arial"/>
          <w:sz w:val="18"/>
          <w:szCs w:val="18"/>
          <w:color w:val="auto"/>
        </w:rPr>
        <w:t>As part of the ILG Acquisition, we assumed the Interval Leisure Group, Inc. 2013 Stock and Incentive Plan (the “ILG Stock Plan”) and equity based awards outstanding under the ILG Stock Plan. As of September 30, 2019, 1 million shares were available for grants under the ILG Stock Plan to Legacy-ILG employees.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40" w:type="dxa"/>
            <w:vAlign w:val="bottom"/>
            <w:gridSpan w:val="5"/>
          </w:tcPr>
          <w:p>
            <w:pPr>
              <w:ind w:left="10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720" w:type="dxa"/>
            <w:vAlign w:val="bottom"/>
            <w:gridSpan w:val="4"/>
          </w:tcPr>
          <w:p>
            <w:pPr>
              <w:jc w:val="right"/>
              <w:ind w:right="117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8"/>
        </w:trPr>
        <w:tc>
          <w:tcPr>
            <w:tcW w:w="3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2"/>
                <w:szCs w:val="22"/>
                <w:color w:val="auto"/>
              </w:rPr>
            </w:pPr>
          </w:p>
        </w:tc>
        <w:tc>
          <w:tcPr>
            <w:tcW w:w="184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2019</w:t>
            </w:r>
          </w:p>
        </w:tc>
        <w:tc>
          <w:tcPr>
            <w:tcW w:w="180" w:type="dxa"/>
            <w:vAlign w:val="bottom"/>
          </w:tcPr>
          <w:p>
            <w:pPr>
              <w:spacing w:after="0"/>
              <w:rPr>
                <w:sz w:val="22"/>
                <w:szCs w:val="22"/>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22"/>
                <w:szCs w:val="22"/>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2019</w:t>
            </w:r>
          </w:p>
        </w:tc>
        <w:tc>
          <w:tcPr>
            <w:tcW w:w="200" w:type="dxa"/>
            <w:vAlign w:val="bottom"/>
          </w:tcPr>
          <w:p>
            <w:pPr>
              <w:spacing w:after="0"/>
              <w:rPr>
                <w:sz w:val="22"/>
                <w:szCs w:val="22"/>
                <w:color w:val="auto"/>
              </w:rPr>
            </w:pPr>
          </w:p>
        </w:tc>
        <w:tc>
          <w:tcPr>
            <w:tcW w:w="1700" w:type="dxa"/>
            <w:vAlign w:val="bottom"/>
          </w:tcPr>
          <w:p>
            <w:pPr>
              <w:jc w:val="right"/>
              <w:ind w:right="191"/>
              <w:spacing w:after="0"/>
              <w:rPr>
                <w:sz w:val="20"/>
                <w:szCs w:val="20"/>
                <w:color w:val="auto"/>
              </w:rPr>
            </w:pPr>
            <w:r>
              <w:rPr>
                <w:rFonts w:ascii="Arial" w:cs="Arial" w:eastAsia="Arial" w:hAnsi="Arial"/>
                <w:sz w:val="16"/>
                <w:szCs w:val="16"/>
                <w:b w:val="1"/>
                <w:bCs w:val="1"/>
                <w:color w:val="auto"/>
                <w:w w:val="93"/>
              </w:rPr>
              <w:t>September 30, 2018</w:t>
            </w:r>
          </w:p>
        </w:tc>
      </w:tr>
      <w:tr>
        <w:trPr>
          <w:trHeight w:val="249"/>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Service-based RSUs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Performance-based RSUs</w:t>
            </w:r>
          </w:p>
        </w:tc>
        <w:tc>
          <w:tcPr>
            <w:tcW w:w="2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 Converted RSUs</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37"/>
        </w:trPr>
        <w:tc>
          <w:tcPr>
            <w:tcW w:w="3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SARs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3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0"/>
                <w:szCs w:val="20"/>
                <w:color w:val="auto"/>
              </w:rPr>
            </w:pPr>
          </w:p>
        </w:tc>
        <w:tc>
          <w:tcPr>
            <w:tcW w:w="1960" w:type="dxa"/>
            <w:vAlign w:val="bottom"/>
            <w:gridSpan w:val="2"/>
          </w:tcPr>
          <w:p>
            <w:pPr>
              <w:ind w:left="60"/>
              <w:spacing w:after="0"/>
              <w:rPr>
                <w:sz w:val="20"/>
                <w:szCs w:val="20"/>
                <w:color w:val="auto"/>
              </w:rPr>
            </w:pPr>
            <w:r>
              <w:rPr>
                <w:rFonts w:ascii="Arial" w:cs="Arial" w:eastAsia="Arial" w:hAnsi="Arial"/>
                <w:sz w:val="16"/>
                <w:szCs w:val="16"/>
                <w:b w:val="1"/>
                <w:bCs w:val="1"/>
                <w:color w:val="auto"/>
              </w:rPr>
              <w:t>At September 30, 2019</w:t>
            </w:r>
          </w:p>
        </w:tc>
        <w:tc>
          <w:tcPr>
            <w:tcW w:w="180" w:type="dxa"/>
            <w:vAlign w:val="bottom"/>
          </w:tcPr>
          <w:p>
            <w:pPr>
              <w:spacing w:after="0"/>
              <w:rPr>
                <w:sz w:val="20"/>
                <w:szCs w:val="20"/>
                <w:color w:val="auto"/>
              </w:rPr>
            </w:pPr>
          </w:p>
        </w:tc>
        <w:tc>
          <w:tcPr>
            <w:tcW w:w="184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At December 31, 2018</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RSUs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Performance-based RSUs</w:t>
            </w:r>
          </w:p>
        </w:tc>
        <w:tc>
          <w:tcPr>
            <w:tcW w:w="18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 Converted RSUs</w:t>
            </w: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70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SARs</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granted 190,403 service-based RSUs, which are subject to time-based vesting conditions, with a weighted average grant-date fair value of $96.30, to our employees and non-employee directors during the first three quarters of 2019. During the first three quarters of 2019, we also granted performance-based RSUs, which are subject to performance-based vesting conditions, to members of management. A maximum of 287,876 RSUs may be earned under the performance-based RSU awards granted during the first three quarters of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granted 111,111 SARs, with a weighted average grant-date fair value of $28.89 and a weighted average exercise price of $100.52, to members of management during the first three quarters of 2019.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first three quarters of 2019:</w:t>
      </w:r>
    </w:p>
    <w:p>
      <w:pPr>
        <w:spacing w:after="0" w:line="158" w:lineRule="exact"/>
        <w:rPr>
          <w:sz w:val="20"/>
          <w:szCs w:val="20"/>
          <w:color w:val="auto"/>
        </w:rPr>
      </w:pPr>
    </w:p>
    <w:tbl>
      <w:tblPr>
        <w:tblLayout w:type="fixed"/>
        <w:tblInd w:w="2640" w:type="dxa"/>
        <w:tblCellMar>
          <w:top w:w="0" w:type="dxa"/>
          <w:left w:w="0" w:type="dxa"/>
          <w:bottom w:w="0" w:type="dxa"/>
          <w:right w:w="0" w:type="dxa"/>
        </w:tblCellMar>
      </w:tblPr>
      <w:tr>
        <w:trPr>
          <w:trHeight w:val="27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70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8"/>
              </w:rPr>
              <w:t>31.10%</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700" w:type="dxa"/>
            <w:vAlign w:val="bottom"/>
          </w:tcPr>
          <w:p>
            <w:pPr>
              <w:jc w:val="center"/>
              <w:ind w:left="670"/>
              <w:spacing w:after="0"/>
              <w:rPr>
                <w:sz w:val="20"/>
                <w:szCs w:val="20"/>
                <w:color w:val="auto"/>
              </w:rPr>
            </w:pPr>
            <w:r>
              <w:rPr>
                <w:rFonts w:ascii="Arial" w:cs="Arial" w:eastAsia="Arial" w:hAnsi="Arial"/>
                <w:sz w:val="18"/>
                <w:szCs w:val="18"/>
                <w:color w:val="auto"/>
                <w:w w:val="90"/>
              </w:rPr>
              <w:t>1.76%</w:t>
            </w:r>
          </w:p>
        </w:tc>
      </w:tr>
      <w:tr>
        <w:trPr>
          <w:trHeight w:val="27"/>
        </w:trPr>
        <w:tc>
          <w:tcPr>
            <w:tcW w:w="32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70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0"/>
              </w:rPr>
              <w:t>2.59%</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700" w:type="dxa"/>
            <w:vAlign w:val="bottom"/>
          </w:tcPr>
          <w:p>
            <w:pPr>
              <w:jc w:val="center"/>
              <w:ind w:left="670"/>
              <w:spacing w:after="0"/>
              <w:rPr>
                <w:sz w:val="20"/>
                <w:szCs w:val="20"/>
                <w:color w:val="auto"/>
              </w:rPr>
            </w:pPr>
            <w:r>
              <w:rPr>
                <w:rFonts w:ascii="Arial" w:cs="Arial" w:eastAsia="Arial" w:hAnsi="Arial"/>
                <w:sz w:val="18"/>
                <w:szCs w:val="18"/>
                <w:color w:val="auto"/>
                <w:w w:val="85"/>
              </w:rPr>
              <w:t>6.25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Legacy-ILG Deferred Compensation Plan</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Certain deferred share units (“DSUs”) of ILG common stock were outstanding on the Acquisition Date under the Interval Leisure Group, Inc. Deferred Compensation Plan for Non-Employee Directors. On the Acquisition Date, these DSUs were converted to equity-based awards with respect to MVW’s common stock and cash-based awards, resulting in 12,265 DSUs (“ILG DSUs”) and $1 million of cash-based awards. The ILG DSUs had a weighted average fair value of $114.31 on the Acquisition Date. The services associated with the ILG DSUs were completed as of the Acquisition Date, resulting in no deferred compensation costs. The ILG DSUs and related cash-based awards were paid in full during the first quarter of 2019 and there is no remaining obligation as of September 30, 2019.</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VARIABLE INTEREST ENTITIES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As part of the ILG Acquisition, we acquired the variable interests in the entities associated with ILG’s outstanding vacation ownership notes receivable securitization transactions. As these vacation ownership notes receivable securitizations are similar in nature to the Legacy-MVW vacation ownership notes receivable securitizations they have been aggregated for disclosure purposes.</w:t>
      </w:r>
    </w:p>
    <w:p>
      <w:pPr>
        <w:spacing w:after="0" w:line="7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September 30,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Vacation Ownership</w:t>
            </w:r>
          </w:p>
        </w:tc>
        <w:tc>
          <w:tcPr>
            <w:tcW w:w="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Notes Receivable</w:t>
            </w:r>
          </w:p>
        </w:tc>
        <w:tc>
          <w:tcPr>
            <w:tcW w:w="380" w:type="dxa"/>
            <w:vAlign w:val="bottom"/>
          </w:tcPr>
          <w:p>
            <w:pPr>
              <w:spacing w:after="0"/>
              <w:rPr>
                <w:sz w:val="17"/>
                <w:szCs w:val="17"/>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Warehouse</w:t>
            </w: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Securitizations</w:t>
            </w:r>
          </w:p>
        </w:tc>
        <w:tc>
          <w:tcPr>
            <w:tcW w:w="380" w:type="dxa"/>
            <w:vAlign w:val="bottom"/>
          </w:tcPr>
          <w:p>
            <w:pPr>
              <w:spacing w:after="0"/>
              <w:rPr>
                <w:sz w:val="20"/>
                <w:szCs w:val="20"/>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6"/>
              </w:rPr>
              <w:t>Credit Facility</w:t>
            </w:r>
          </w:p>
        </w:tc>
        <w:tc>
          <w:tcPr>
            <w:tcW w:w="520" w:type="dxa"/>
            <w:vAlign w:val="bottom"/>
          </w:tcPr>
          <w:p>
            <w:pPr>
              <w:spacing w:after="0"/>
              <w:rPr>
                <w:sz w:val="20"/>
                <w:szCs w:val="20"/>
                <w:color w:val="auto"/>
              </w:rPr>
            </w:pPr>
          </w:p>
        </w:tc>
        <w:tc>
          <w:tcPr>
            <w:tcW w:w="1720" w:type="dxa"/>
            <w:vAlign w:val="bottom"/>
          </w:tcPr>
          <w:p>
            <w:pPr>
              <w:jc w:val="right"/>
              <w:ind w:right="8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w w:val="94"/>
              </w:rPr>
              <w:t>Vacation ownership notes receivable, net of reserves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Liabilities</w:t>
            </w: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jc w:val="right"/>
              <w:ind w:right="7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third quarter of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Vacation Ownership</w:t>
            </w:r>
          </w:p>
        </w:tc>
        <w:tc>
          <w:tcPr>
            <w:tcW w:w="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Notes Receivable</w:t>
            </w:r>
          </w:p>
        </w:tc>
        <w:tc>
          <w:tcPr>
            <w:tcW w:w="380" w:type="dxa"/>
            <w:vAlign w:val="bottom"/>
          </w:tcPr>
          <w:p>
            <w:pPr>
              <w:spacing w:after="0"/>
              <w:rPr>
                <w:sz w:val="17"/>
                <w:szCs w:val="17"/>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Warehouse</w:t>
            </w: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Securitizations</w:t>
            </w:r>
          </w:p>
        </w:tc>
        <w:tc>
          <w:tcPr>
            <w:tcW w:w="380" w:type="dxa"/>
            <w:vAlign w:val="bottom"/>
          </w:tcPr>
          <w:p>
            <w:pPr>
              <w:spacing w:after="0"/>
              <w:rPr>
                <w:sz w:val="20"/>
                <w:szCs w:val="20"/>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6"/>
              </w:rPr>
              <w:t>Credit Facility</w:t>
            </w:r>
          </w:p>
        </w:tc>
        <w:tc>
          <w:tcPr>
            <w:tcW w:w="520" w:type="dxa"/>
            <w:vAlign w:val="bottom"/>
          </w:tcPr>
          <w:p>
            <w:pPr>
              <w:spacing w:after="0"/>
              <w:rPr>
                <w:sz w:val="20"/>
                <w:szCs w:val="20"/>
                <w:color w:val="auto"/>
              </w:rPr>
            </w:pPr>
          </w:p>
        </w:tc>
        <w:tc>
          <w:tcPr>
            <w:tcW w:w="1720" w:type="dxa"/>
            <w:vAlign w:val="bottom"/>
          </w:tcPr>
          <w:p>
            <w:pPr>
              <w:jc w:val="right"/>
              <w:ind w:right="852"/>
              <w:spacing w:after="0"/>
              <w:rPr>
                <w:sz w:val="20"/>
                <w:szCs w:val="20"/>
                <w:color w:val="auto"/>
              </w:rPr>
            </w:pPr>
            <w:r>
              <w:rPr>
                <w:rFonts w:ascii="Arial" w:cs="Arial" w:eastAsia="Arial" w:hAnsi="Arial"/>
                <w:sz w:val="16"/>
                <w:szCs w:val="16"/>
                <w:b w:val="1"/>
                <w:bCs w:val="1"/>
                <w:color w:val="auto"/>
              </w:rPr>
              <w:t>Total</w:t>
            </w:r>
          </w:p>
        </w:tc>
      </w:tr>
      <w:tr>
        <w:trPr>
          <w:trHeight w:val="250"/>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first three quarters of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Vacation Ownership</w:t>
            </w:r>
          </w:p>
        </w:tc>
        <w:tc>
          <w:tcPr>
            <w:tcW w:w="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Notes Receivable</w:t>
            </w:r>
          </w:p>
        </w:tc>
        <w:tc>
          <w:tcPr>
            <w:tcW w:w="380" w:type="dxa"/>
            <w:vAlign w:val="bottom"/>
          </w:tcPr>
          <w:p>
            <w:pPr>
              <w:spacing w:after="0"/>
              <w:rPr>
                <w:sz w:val="17"/>
                <w:szCs w:val="17"/>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Warehouse</w:t>
            </w: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Securitizations</w:t>
            </w:r>
          </w:p>
        </w:tc>
        <w:tc>
          <w:tcPr>
            <w:tcW w:w="380" w:type="dxa"/>
            <w:vAlign w:val="bottom"/>
          </w:tcPr>
          <w:p>
            <w:pPr>
              <w:spacing w:after="0"/>
              <w:rPr>
                <w:sz w:val="20"/>
                <w:szCs w:val="20"/>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6"/>
              </w:rPr>
              <w:t>Credit Facility</w:t>
            </w:r>
          </w:p>
        </w:tc>
        <w:tc>
          <w:tcPr>
            <w:tcW w:w="520" w:type="dxa"/>
            <w:vAlign w:val="bottom"/>
          </w:tcPr>
          <w:p>
            <w:pPr>
              <w:spacing w:after="0"/>
              <w:rPr>
                <w:sz w:val="20"/>
                <w:szCs w:val="20"/>
                <w:color w:val="auto"/>
              </w:rPr>
            </w:pPr>
          </w:p>
        </w:tc>
        <w:tc>
          <w:tcPr>
            <w:tcW w:w="1720" w:type="dxa"/>
            <w:vAlign w:val="bottom"/>
          </w:tcPr>
          <w:p>
            <w:pPr>
              <w:jc w:val="right"/>
              <w:ind w:right="852"/>
              <w:spacing w:after="0"/>
              <w:rPr>
                <w:sz w:val="20"/>
                <w:szCs w:val="20"/>
                <w:color w:val="auto"/>
              </w:rPr>
            </w:pPr>
            <w:r>
              <w:rPr>
                <w:rFonts w:ascii="Arial" w:cs="Arial" w:eastAsia="Arial" w:hAnsi="Arial"/>
                <w:sz w:val="16"/>
                <w:szCs w:val="16"/>
                <w:b w:val="1"/>
                <w:bCs w:val="1"/>
                <w:color w:val="auto"/>
              </w:rPr>
              <w:t>Total</w:t>
            </w:r>
          </w:p>
        </w:tc>
      </w:tr>
      <w:tr>
        <w:trPr>
          <w:trHeight w:val="249"/>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cash flows between us and the vacation ownership notes receivable securitization variable interest entities: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20" w:type="dxa"/>
            <w:vAlign w:val="bottom"/>
            <w:gridSpan w:val="4"/>
          </w:tcPr>
          <w:p>
            <w:pPr>
              <w:jc w:val="right"/>
              <w:ind w:right="151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6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20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2019</w:t>
            </w:r>
          </w:p>
        </w:tc>
        <w:tc>
          <w:tcPr>
            <w:tcW w:w="280" w:type="dxa"/>
            <w:vAlign w:val="bottom"/>
          </w:tcPr>
          <w:p>
            <w:pPr>
              <w:spacing w:after="0"/>
              <w:rPr>
                <w:sz w:val="22"/>
                <w:szCs w:val="22"/>
                <w:color w:val="auto"/>
              </w:rPr>
            </w:pPr>
          </w:p>
        </w:tc>
        <w:tc>
          <w:tcPr>
            <w:tcW w:w="1960" w:type="dxa"/>
            <w:vAlign w:val="bottom"/>
          </w:tcPr>
          <w:p>
            <w:pPr>
              <w:jc w:val="right"/>
              <w:ind w:right="351"/>
              <w:spacing w:after="0"/>
              <w:rPr>
                <w:sz w:val="20"/>
                <w:szCs w:val="20"/>
                <w:color w:val="auto"/>
              </w:rPr>
            </w:pPr>
            <w:r>
              <w:rPr>
                <w:rFonts w:ascii="Arial" w:cs="Arial" w:eastAsia="Arial" w:hAnsi="Arial"/>
                <w:sz w:val="16"/>
                <w:szCs w:val="16"/>
                <w:b w:val="1"/>
                <w:bCs w:val="1"/>
                <w:color w:val="auto"/>
              </w:rPr>
              <w:t>September 30, 2018</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419</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280" w:type="dxa"/>
            <w:vAlign w:val="bottom"/>
          </w:tcPr>
          <w:p>
            <w:pPr>
              <w:spacing w:after="0"/>
              <w:rPr>
                <w:sz w:val="21"/>
                <w:szCs w:val="21"/>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release</w:t>
            </w: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37"/>
        </w:trPr>
        <w:tc>
          <w:tcPr>
            <w:tcW w:w="664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847</w:t>
            </w: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Voluntary clean-up call</w:t>
            </w: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to investors</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Funding of restricted cash</w:t>
            </w: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3"/>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447</w:t>
            </w:r>
          </w:p>
        </w:tc>
      </w:tr>
      <w:tr>
        <w:trPr>
          <w:trHeight w:val="27"/>
        </w:trPr>
        <w:tc>
          <w:tcPr>
            <w:tcW w:w="6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Under the terms of our vacation ownership notes receivable securitizations, we have the right to substitute loans for, or repurchase, defaulted loans at our option, subject to certain limitations.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flows between us and the Warehouse Credit Facility variable interest entity: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20" w:type="dxa"/>
            <w:vAlign w:val="bottom"/>
            <w:gridSpan w:val="4"/>
          </w:tcPr>
          <w:p>
            <w:pPr>
              <w:jc w:val="right"/>
              <w:ind w:right="151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6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8"/>
        </w:trPr>
        <w:tc>
          <w:tcPr>
            <w:tcW w:w="6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20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2019</w:t>
            </w:r>
          </w:p>
        </w:tc>
        <w:tc>
          <w:tcPr>
            <w:tcW w:w="280" w:type="dxa"/>
            <w:vAlign w:val="bottom"/>
          </w:tcPr>
          <w:p>
            <w:pPr>
              <w:spacing w:after="0"/>
              <w:rPr>
                <w:sz w:val="22"/>
                <w:szCs w:val="22"/>
                <w:color w:val="auto"/>
              </w:rPr>
            </w:pPr>
          </w:p>
        </w:tc>
        <w:tc>
          <w:tcPr>
            <w:tcW w:w="1960" w:type="dxa"/>
            <w:vAlign w:val="bottom"/>
          </w:tcPr>
          <w:p>
            <w:pPr>
              <w:jc w:val="right"/>
              <w:ind w:right="371"/>
              <w:spacing w:after="0"/>
              <w:rPr>
                <w:sz w:val="20"/>
                <w:szCs w:val="20"/>
                <w:color w:val="auto"/>
              </w:rPr>
            </w:pPr>
            <w:r>
              <w:rPr>
                <w:rFonts w:ascii="Arial" w:cs="Arial" w:eastAsia="Arial" w:hAnsi="Arial"/>
                <w:sz w:val="16"/>
                <w:szCs w:val="16"/>
                <w:b w:val="1"/>
                <w:bCs w:val="1"/>
                <w:color w:val="auto"/>
                <w:w w:val="99"/>
              </w:rPr>
              <w:t>September 30, 2018</w:t>
            </w:r>
          </w:p>
        </w:tc>
      </w:tr>
      <w:tr>
        <w:trPr>
          <w:trHeight w:val="249"/>
        </w:trPr>
        <w:tc>
          <w:tcPr>
            <w:tcW w:w="6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280" w:type="dxa"/>
            <w:vAlign w:val="bottom"/>
          </w:tcPr>
          <w:p>
            <w:pPr>
              <w:spacing w:after="0"/>
              <w:rPr>
                <w:sz w:val="21"/>
                <w:szCs w:val="21"/>
                <w:color w:val="auto"/>
              </w:rPr>
            </w:pPr>
          </w:p>
        </w:tc>
        <w:tc>
          <w:tcPr>
            <w:tcW w:w="19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release</w:t>
            </w: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662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Warehouse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Interest to investors</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Funding of 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662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Flows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a commitment to purchase an operating property located in San Francisco, California, that we currently manage as Marriott Vacation Club Pulse, San Francisco. Refer to Footnote 11 “Contingencies and Commitments” for additional information on the commitment. We are required to purchase the operating property from the third party developer unless the developer has sold the property to another party. The operating property is held by a variable interest entity for which we are not the primary beneficiary as we cannot prevent the variable interest entity from selling the operating property at a higher price. Accordingly, we have not consolidated the variable interest entity. As of September 30, 2019, our Balance Sheet reflected $2 million in Accounts Receivable, including a note receivable of less than $1 million, and $1 million in Accrued liabilities, relating to our involvement with this variable interest entity. We believe that our maximum exposure to loss as a result of our involvement with this variable interest entity is $1 million as of September 30, 2019.</w:t>
      </w:r>
    </w:p>
    <w:p>
      <w:pPr>
        <w:spacing w:after="0" w:line="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commitment to purchase an operating property located in New York, New York, that we currently manage as Marriott Vacation Club Pulse, New York City. Refer to Footnote 11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September 30, 2019, our Balance Sheet reflected $8 million in Property and equipment related to a finance lease and leasehold improvements, $1 million in Accrued liabilities and $7 million in Debt related to the finance lease liability for ancillary and operations space we lease from the variable interest entity. In addition, a note receivable of less than $1 million is included in the Accounts receivable line on the Balance Sheet as of September 30, 2019. We believe that our maximum exposure to loss as a result of our involvement with this variable interest entity is less than $1 million as of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consolidate the liabilities of the Marriott Vacations Worldwide Deferred Compensation Plan and the related assets, which consist of the COLI policies held in the rabbi trust. The rabbi trust is considered a variable interest entity. We are considered the primary beneficiary of the rabbi trust because we direct the activities of the trust and are the beneficiary of the trust. At September 30, 2019, the value of the assets held in the rabbi trust was $36 million, which is included in the Other line within assets on our Balance Sheets.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 w:hanging="485"/>
        <w:spacing w:after="0"/>
        <w:tabs>
          <w:tab w:leader="none" w:pos="5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76" w:lineRule="exact"/>
        <w:rPr>
          <w:sz w:val="20"/>
          <w:szCs w:val="20"/>
          <w:color w:val="auto"/>
        </w:rPr>
      </w:pPr>
    </w:p>
    <w:p>
      <w:pPr>
        <w:ind w:left="980" w:right="60" w:hanging="324"/>
        <w:spacing w:after="0" w:line="291"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Vacation Ownership includes a diverse portfolio of resorts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Westin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58" w:lineRule="exact"/>
        <w:rPr>
          <w:rFonts w:ascii="Arial" w:cs="Arial" w:eastAsia="Arial" w:hAnsi="Arial"/>
          <w:sz w:val="16"/>
          <w:szCs w:val="16"/>
          <w:color w:val="auto"/>
        </w:rPr>
      </w:pPr>
    </w:p>
    <w:p>
      <w:pPr>
        <w:ind w:left="980" w:right="180"/>
        <w:spacing w:after="0" w:line="263" w:lineRule="auto"/>
        <w:rPr>
          <w:rFonts w:ascii="Arial" w:cs="Arial" w:eastAsia="Arial" w:hAnsi="Arial"/>
          <w:sz w:val="16"/>
          <w:szCs w:val="16"/>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75" w:lineRule="exact"/>
        <w:rPr>
          <w:rFonts w:ascii="Arial" w:cs="Arial" w:eastAsia="Arial" w:hAnsi="Arial"/>
          <w:sz w:val="16"/>
          <w:szCs w:val="16"/>
          <w:color w:val="auto"/>
        </w:rPr>
      </w:pPr>
    </w:p>
    <w:p>
      <w:pPr>
        <w:ind w:left="980" w:right="40" w:hanging="324"/>
        <w:spacing w:after="0" w:line="301"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Exchange &amp; Third-Party Management, includes exchange networks and membership programs, as well as management of resorts and lodging properties. We provide these services through a variety of brands including Interval International, Trading Places International, Vacation Resorts International, Aqua-Aston and Great Destinations. Exchange &amp; Third-Party Management revenue generally is fee-based and derived from membership, exchange and rental transactions, property and association management, and other related products and services.</w:t>
      </w:r>
    </w:p>
    <w:p>
      <w:pPr>
        <w:spacing w:after="0" w:line="4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 model, as our CODM does not use this information to make operating segment resource allocations. Prior year segment information has been reclassified to conform to the current reportable segment presentation.</w:t>
      </w:r>
    </w:p>
    <w:p>
      <w:pPr>
        <w:spacing w:after="0" w:line="87" w:lineRule="exact"/>
        <w:rPr>
          <w:sz w:val="20"/>
          <w:szCs w:val="20"/>
          <w:color w:val="auto"/>
        </w:rPr>
      </w:pPr>
    </w:p>
    <w:p>
      <w:pPr>
        <w:ind w:right="160" w:firstLine="661"/>
        <w:spacing w:after="0" w:line="255" w:lineRule="auto"/>
        <w:rPr>
          <w:sz w:val="20"/>
          <w:szCs w:val="20"/>
          <w:color w:val="auto"/>
        </w:rPr>
      </w:pPr>
      <w:r>
        <w:rPr>
          <w:rFonts w:ascii="Arial" w:cs="Arial" w:eastAsia="Arial" w:hAnsi="Arial"/>
          <w:sz w:val="18"/>
          <w:szCs w:val="18"/>
          <w:color w:val="auto"/>
        </w:rPr>
        <w:t>Our CODM uses Adjusted EBITDA to evaluate the profitability of our operating segments, and the components of net income attributable to common shareholders excluded from Adjusted EBITDA are not separately evaluated. Adjusted EBITDA is defined as net income attributable to common shareholders, before interest expense (excluding consumer financing interest expense associated with term loan securitization transactions), income taxes, depreciation and amortization, excluding share-based compensation expense and adjusted for certain items that affect the comparability or our operating performance. Our reconciliation of the aggregate amount of Adjusted EBITDA for our reportable segments to consolidated net income attributable to common shareholders is presented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6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660" w:type="dxa"/>
            <w:vAlign w:val="bottom"/>
            <w:gridSpan w:val="4"/>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2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520" w:type="dxa"/>
            <w:vAlign w:val="bottom"/>
          </w:tcPr>
          <w:p>
            <w:pPr>
              <w:spacing w:after="0"/>
              <w:rPr>
                <w:sz w:val="18"/>
                <w:szCs w:val="18"/>
                <w:color w:val="auto"/>
              </w:rPr>
            </w:pPr>
          </w:p>
        </w:tc>
        <w:tc>
          <w:tcPr>
            <w:tcW w:w="1460" w:type="dxa"/>
            <w:vAlign w:val="bottom"/>
            <w:gridSpan w:val="3"/>
          </w:tcPr>
          <w:p>
            <w:pPr>
              <w:ind w:left="18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0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September 30,</w:t>
            </w:r>
          </w:p>
        </w:tc>
      </w:tr>
      <w:tr>
        <w:trPr>
          <w:trHeight w:val="237"/>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3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7"/>
        </w:trPr>
        <w:tc>
          <w:tcPr>
            <w:tcW w:w="5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segment revenues</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5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Reconciliation to Net Income (Loss) Attributable to Common Shareholders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gridSpan w:val="5"/>
          </w:tcPr>
          <w:p>
            <w:pPr>
              <w:jc w:val="right"/>
              <w:ind w:right="611"/>
              <w:spacing w:after="0"/>
              <w:rPr>
                <w:sz w:val="20"/>
                <w:szCs w:val="20"/>
                <w:color w:val="auto"/>
              </w:rPr>
            </w:pPr>
            <w:r>
              <w:rPr>
                <w:rFonts w:ascii="Arial" w:cs="Arial" w:eastAsia="Arial" w:hAnsi="Arial"/>
                <w:sz w:val="16"/>
                <w:szCs w:val="16"/>
                <w:b w:val="1"/>
                <w:bCs w:val="1"/>
                <w:color w:val="auto"/>
                <w:w w:val="95"/>
              </w:rPr>
              <w:t>Nine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tcPr>
          <w:p>
            <w:pPr>
              <w:spacing w:after="0"/>
              <w:rPr>
                <w:sz w:val="20"/>
                <w:szCs w:val="20"/>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 Vacation Ownership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Adjusted EBITDA Exchange &amp; Third-Party Management</w:t>
            </w:r>
          </w:p>
        </w:tc>
        <w:tc>
          <w:tcPr>
            <w:tcW w:w="1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Tax (provision) benefit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Certain items</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Net (loss) income attributable to common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Assets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5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Borders>
              <w:bottom w:val="single" w:sz="8" w:color="CCEEFF"/>
            </w:tcBorders>
          </w:tcPr>
          <w:p>
            <w:pPr>
              <w:spacing w:after="0"/>
              <w:rPr>
                <w:sz w:val="24"/>
                <w:szCs w:val="24"/>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At September 30, 2019</w:t>
            </w:r>
          </w:p>
        </w:tc>
        <w:tc>
          <w:tcPr>
            <w:tcW w:w="12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6"/>
                <w:szCs w:val="16"/>
                <w:b w:val="1"/>
                <w:bCs w:val="1"/>
                <w:color w:val="auto"/>
              </w:rPr>
              <w:t>At December 31, 2018</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Vacation Ownership</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6,801</w:t>
            </w:r>
          </w:p>
        </w:tc>
        <w:tc>
          <w:tcPr>
            <w:tcW w:w="68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Exchange &amp; Third-Party Management</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segment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7,962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9,059</w:t>
            </w:r>
          </w:p>
        </w:tc>
        <w:tc>
          <w:tcPr>
            <w:tcW w:w="68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conduct business globally, and our operations outside the United States represented approximately 13 percent and 14 percent of our revenues, excluding cost reimbursements, for the three months ended September 30, 2019 and September 30, 2018, respectively, and 13 percent of our revenues, excluding cost reimbursements, for each of the nine months ended September 30, 2019 and September 30, 2018.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6" w:name="page47"/>
    <w:bookmarkEnd w:id="46"/>
    <w:p>
      <w:pPr>
        <w:ind w:right="6800" w:firstLine="35"/>
        <w:spacing w:after="0" w:line="393" w:lineRule="auto"/>
        <w:tabs>
          <w:tab w:leader="none" w:pos="36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 IAC Notes</w:t>
      </w:r>
    </w:p>
    <w:p>
      <w:pPr>
        <w:spacing w:after="0" w:line="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IAC Notes are guaranteed by MVWC, ILG and certain other subsidiaries whose voting securities are wholly owned directly or indirectly by ILG (such subsidiaries collectively, the “IAC Notes Guarantors”). These guarantees are full and unconditional and joint and several. The guarantees of the IAC Notes Guarantors are subject to release in limited circumstances only upon the occurrence of certain customary conditions. The indenture governing the IAC Notes contains covenants that, among other things, limit the ability of Interval Acquisition Corp. (the “Issuer”) and the IAC Notes Guarantors to pay dividends to us or make distributions, loans or advances to us.</w:t>
      </w:r>
    </w:p>
    <w:p>
      <w:pPr>
        <w:spacing w:after="0" w:line="80"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following tables present consolidating financial information as of September 30, 2019 and December 31, 2018, and for the three and nine months ended September 30, 2019 and September 30, 2018 for MVWC and ILG on a stand-alone basis, the Issuer on a stand-alone basis, the IAC Notes Guarantors, the combined non-guarantor subsidiaries of MVW and MVW on a consolidated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20"/>
              <w:spacing w:after="0"/>
              <w:rPr>
                <w:sz w:val="20"/>
                <w:szCs w:val="20"/>
                <w:color w:val="auto"/>
              </w:rPr>
            </w:pPr>
            <w:r>
              <w:rPr>
                <w:rFonts w:ascii="Arial" w:cs="Arial" w:eastAsia="Arial" w:hAnsi="Arial"/>
                <w:sz w:val="16"/>
                <w:szCs w:val="16"/>
                <w:b w:val="1"/>
                <w:bCs w:val="1"/>
                <w:color w:val="auto"/>
              </w:rPr>
              <w:t>As of September 30, 2019</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Interval</w:t>
            </w:r>
          </w:p>
        </w:tc>
        <w:tc>
          <w:tcPr>
            <w:tcW w:w="22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IAC Notes</w:t>
            </w:r>
          </w:p>
        </w:tc>
        <w:tc>
          <w:tcPr>
            <w:tcW w:w="1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Non-Guarantor</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Arial" w:cs="Arial" w:eastAsia="Arial" w:hAnsi="Arial"/>
                <w:sz w:val="16"/>
                <w:szCs w:val="16"/>
                <w:b w:val="1"/>
                <w:bCs w:val="1"/>
                <w:color w:val="auto"/>
              </w:rPr>
              <w:t>MVW</w:t>
            </w:r>
          </w:p>
        </w:tc>
      </w:tr>
      <w:tr>
        <w:trPr>
          <w:trHeight w:val="237"/>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Acquisition Corp.</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7"/>
              </w:rPr>
              <w:t>Guarantors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Total Eliminations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2"/>
              </w:rPr>
              <w:t>Consolidated</w:t>
            </w:r>
          </w:p>
        </w:tc>
      </w:tr>
      <w:tr>
        <w:trPr>
          <w:trHeight w:val="24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322</w:t>
            </w: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Vacation ownership notes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receivable, net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2,168</w:t>
            </w: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770</w:t>
            </w: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1,044</w:t>
            </w: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parent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97"/>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5,605</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9,059</w:t>
            </w:r>
          </w:p>
        </w:tc>
      </w:tr>
      <w:tr>
        <w:trPr>
          <w:trHeight w:val="311"/>
        </w:trPr>
        <w:tc>
          <w:tcPr>
            <w:tcW w:w="2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248</w:t>
            </w: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293</w:t>
            </w: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Payroll and benefits liability</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185</w:t>
            </w: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Securitized debt, net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1,686</w:t>
            </w: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2,294</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Due to subsidiary</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307</w:t>
            </w: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MVW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5,605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9,059</w:t>
            </w: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62"/>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45</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1282"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As of December 31, 2018</w:t>
            </w:r>
            <w:r>
              <w:rPr>
                <w:rFonts w:ascii="Arial" w:cs="Arial" w:eastAsia="Arial" w:hAnsi="Arial"/>
                <w:sz w:val="17"/>
                <w:szCs w:val="17"/>
                <w:b w:val="1"/>
                <w:bCs w:val="1"/>
                <w:color w:val="auto"/>
                <w:vertAlign w:val="superscript"/>
              </w:rPr>
              <w:t>(1)</w:t>
            </w: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Interval</w:t>
            </w:r>
          </w:p>
        </w:tc>
        <w:tc>
          <w:tcPr>
            <w:tcW w:w="18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IAC Notes</w:t>
            </w:r>
          </w:p>
        </w:tc>
        <w:tc>
          <w:tcPr>
            <w:tcW w:w="1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Non-Guarantor</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7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Acquisition Corp.</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Guarantors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Total Eliminations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Vacation ownership notes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receivable, net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parent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97"/>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4,186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5,688</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311"/>
        </w:trPr>
        <w:tc>
          <w:tcPr>
            <w:tcW w:w="2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Payroll and benefits liability</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Securitized debt, net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Due to subsidiary</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MVW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5,688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Amounts have been revised to correct certain immaterial prior period errors as reported in the 2018 Annual Report and have been reclassified to conform to the current year presentation.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97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Condensed Consolidating Statement of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40" w:type="dxa"/>
            <w:vAlign w:val="bottom"/>
            <w:gridSpan w:val="7"/>
          </w:tcPr>
          <w:p>
            <w:pPr>
              <w:ind w:left="100"/>
              <w:spacing w:after="0"/>
              <w:rPr>
                <w:sz w:val="20"/>
                <w:szCs w:val="20"/>
                <w:color w:val="auto"/>
              </w:rPr>
            </w:pPr>
            <w:r>
              <w:rPr>
                <w:rFonts w:ascii="Arial" w:cs="Arial" w:eastAsia="Arial" w:hAnsi="Arial"/>
                <w:sz w:val="16"/>
                <w:szCs w:val="16"/>
                <w:b w:val="1"/>
                <w:bCs w:val="1"/>
                <w:color w:val="auto"/>
                <w:w w:val="93"/>
              </w:rPr>
              <w:t>Three Months Ended September 30, 2019</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51"/>
              <w:spacing w:after="0"/>
              <w:rPr>
                <w:sz w:val="20"/>
                <w:szCs w:val="20"/>
                <w:color w:val="auto"/>
              </w:rPr>
            </w:pPr>
            <w:r>
              <w:rPr>
                <w:rFonts w:ascii="Arial" w:cs="Arial" w:eastAsia="Arial" w:hAnsi="Arial"/>
                <w:sz w:val="16"/>
                <w:szCs w:val="16"/>
                <w:b w:val="1"/>
                <w:bCs w:val="1"/>
                <w:color w:val="auto"/>
                <w:w w:val="98"/>
              </w:rPr>
              <w:t>Interval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IAC Notes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Acquisition Corp.</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Total Eliminations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4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other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 income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Equity in net (loss) income of</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(loss) income attributable to</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40" w:type="dxa"/>
            <w:vAlign w:val="bottom"/>
            <w:gridSpan w:val="7"/>
          </w:tcPr>
          <w:p>
            <w:pPr>
              <w:ind w:left="100"/>
              <w:spacing w:after="0"/>
              <w:rPr>
                <w:sz w:val="20"/>
                <w:szCs w:val="20"/>
                <w:color w:val="auto"/>
              </w:rPr>
            </w:pPr>
            <w:r>
              <w:rPr>
                <w:rFonts w:ascii="Arial" w:cs="Arial" w:eastAsia="Arial" w:hAnsi="Arial"/>
                <w:sz w:val="16"/>
                <w:szCs w:val="16"/>
                <w:b w:val="1"/>
                <w:bCs w:val="1"/>
                <w:color w:val="auto"/>
                <w:w w:val="93"/>
              </w:rPr>
              <w:t>Three Months Ended September 30, 2018</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51"/>
              <w:spacing w:after="0"/>
              <w:rPr>
                <w:sz w:val="20"/>
                <w:szCs w:val="20"/>
                <w:color w:val="auto"/>
              </w:rPr>
            </w:pPr>
            <w:r>
              <w:rPr>
                <w:rFonts w:ascii="Arial" w:cs="Arial" w:eastAsia="Arial" w:hAnsi="Arial"/>
                <w:sz w:val="16"/>
                <w:szCs w:val="16"/>
                <w:b w:val="1"/>
                <w:bCs w:val="1"/>
                <w:color w:val="auto"/>
                <w:w w:val="98"/>
              </w:rPr>
              <w:t>Interval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IAC Notes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Acquisition Corp.</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Total Eliminations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4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and 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Benefit (provision) for income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(loss) income of</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subsidiaries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00" w:type="dxa"/>
            <w:vAlign w:val="bottom"/>
          </w:tcPr>
          <w:p>
            <w:pPr>
              <w:ind w:left="40"/>
              <w:spacing w:after="0"/>
              <w:rPr>
                <w:sz w:val="20"/>
                <w:szCs w:val="20"/>
                <w:color w:val="auto"/>
              </w:rPr>
            </w:pPr>
            <w:r>
              <w:rPr>
                <w:rFonts w:ascii="Arial" w:cs="Arial" w:eastAsia="Arial" w:hAnsi="Arial"/>
                <w:sz w:val="18"/>
                <w:szCs w:val="18"/>
                <w:color w:val="auto"/>
                <w:w w:val="99"/>
              </w:rPr>
              <w:t>Net (loss) income attributable to</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vMerge w:val="restart"/>
          </w:tcPr>
          <w:p>
            <w:pPr>
              <w:spacing w:after="0"/>
              <w:rPr>
                <w:sz w:val="18"/>
                <w:szCs w:val="18"/>
                <w:color w:val="auto"/>
              </w:rPr>
            </w:pP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5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2"/>
        </w:trPr>
        <w:tc>
          <w:tcPr>
            <w:tcW w:w="2600" w:type="dxa"/>
            <w:vAlign w:val="bottom"/>
          </w:tcPr>
          <w:p>
            <w:pPr>
              <w:ind w:left="40"/>
              <w:spacing w:after="0"/>
              <w:rPr>
                <w:sz w:val="20"/>
                <w:szCs w:val="20"/>
                <w:color w:val="auto"/>
              </w:rPr>
            </w:pPr>
            <w:r>
              <w:rPr>
                <w:rFonts w:ascii="Arial" w:cs="Arial" w:eastAsia="Arial" w:hAnsi="Arial"/>
                <w:sz w:val="18"/>
                <w:szCs w:val="18"/>
                <w:color w:val="auto"/>
              </w:rPr>
              <w:t>common shareholders</w:t>
            </w:r>
          </w:p>
        </w:tc>
        <w:tc>
          <w:tcPr>
            <w:tcW w:w="2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w w:val="89"/>
              </w:rPr>
              <w:t>47</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6"/>
          </w:tcPr>
          <w:p>
            <w:pPr>
              <w:ind w:left="20"/>
              <w:spacing w:after="0"/>
              <w:rPr>
                <w:sz w:val="20"/>
                <w:szCs w:val="20"/>
                <w:color w:val="auto"/>
              </w:rPr>
            </w:pPr>
            <w:r>
              <w:rPr>
                <w:rFonts w:ascii="Arial" w:cs="Arial" w:eastAsia="Arial" w:hAnsi="Arial"/>
                <w:sz w:val="16"/>
                <w:szCs w:val="16"/>
                <w:b w:val="1"/>
                <w:bCs w:val="1"/>
                <w:color w:val="auto"/>
                <w:w w:val="94"/>
              </w:rPr>
              <w:t>Nine Months Ended September 30, 2019</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Interval</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IAC Notes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Acquisition Corp.</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Total Eliminations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49"/>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and 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 income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Equity in net income (loss) of</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income (loss) attributable to</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6"/>
          </w:tcPr>
          <w:p>
            <w:pPr>
              <w:ind w:left="20"/>
              <w:spacing w:after="0"/>
              <w:rPr>
                <w:sz w:val="20"/>
                <w:szCs w:val="20"/>
                <w:color w:val="auto"/>
              </w:rPr>
            </w:pPr>
            <w:r>
              <w:rPr>
                <w:rFonts w:ascii="Arial" w:cs="Arial" w:eastAsia="Arial" w:hAnsi="Arial"/>
                <w:sz w:val="16"/>
                <w:szCs w:val="16"/>
                <w:b w:val="1"/>
                <w:bCs w:val="1"/>
                <w:color w:val="auto"/>
                <w:w w:val="94"/>
              </w:rPr>
              <w:t>Nine Months Ended September 30, 2018</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Interval</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IAC Notes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MVWC</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Acquisition Corp.</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4"/>
              </w:rPr>
              <w:t>Total Eliminations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Gains (losses) and other income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 income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Equity in net income (loss) of</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subsidiaries</w:t>
            </w: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Net income (loss) attributable to</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08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Condensed Consolidating Statement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6"/>
          </w:tcPr>
          <w:p>
            <w:pPr>
              <w:ind w:left="20"/>
              <w:spacing w:after="0"/>
              <w:rPr>
                <w:sz w:val="20"/>
                <w:szCs w:val="20"/>
                <w:color w:val="auto"/>
              </w:rPr>
            </w:pPr>
            <w:r>
              <w:rPr>
                <w:rFonts w:ascii="Arial" w:cs="Arial" w:eastAsia="Arial" w:hAnsi="Arial"/>
                <w:sz w:val="16"/>
                <w:szCs w:val="16"/>
                <w:b w:val="1"/>
                <w:bCs w:val="1"/>
                <w:color w:val="auto"/>
                <w:w w:val="94"/>
              </w:rPr>
              <w:t>Nine Months Ended September 30, 2019</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Interval</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IAC Notes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3"/>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MVWC</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Acquisition Corp.</w:t>
            </w:r>
          </w:p>
        </w:tc>
        <w:tc>
          <w:tcPr>
            <w:tcW w:w="2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Eliminations</w:t>
            </w:r>
          </w:p>
        </w:tc>
        <w:tc>
          <w:tcPr>
            <w:tcW w:w="180" w:type="dxa"/>
            <w:vAlign w:val="bottom"/>
          </w:tcPr>
          <w:p>
            <w:pPr>
              <w:spacing w:after="0"/>
              <w:rPr>
                <w:sz w:val="20"/>
                <w:szCs w:val="20"/>
                <w:color w:val="auto"/>
              </w:rPr>
            </w:pPr>
          </w:p>
        </w:tc>
        <w:tc>
          <w:tcPr>
            <w:tcW w:w="118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16"/>
        </w:trPr>
        <w:tc>
          <w:tcPr>
            <w:tcW w:w="4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Net cash, cash equivalents and</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restricted cash (used in) provided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Net cash, cash equivalents and</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w w:val="95"/>
              </w:rPr>
              <w:t>restricted cash (used in) provided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by investing activities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Net cash, cash equivalents and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restricted cash provided by (used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Cash, cash equivalents and</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restricted cash, beginning of</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period</w:t>
            </w: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2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end of period</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6"/>
          </w:tcPr>
          <w:p>
            <w:pPr>
              <w:ind w:left="20"/>
              <w:spacing w:after="0"/>
              <w:rPr>
                <w:sz w:val="20"/>
                <w:szCs w:val="20"/>
                <w:color w:val="auto"/>
              </w:rPr>
            </w:pPr>
            <w:r>
              <w:rPr>
                <w:rFonts w:ascii="Arial" w:cs="Arial" w:eastAsia="Arial" w:hAnsi="Arial"/>
                <w:sz w:val="16"/>
                <w:szCs w:val="16"/>
                <w:b w:val="1"/>
                <w:bCs w:val="1"/>
                <w:color w:val="auto"/>
                <w:w w:val="94"/>
              </w:rPr>
              <w:t>Nine Months Ended September 30, 2018</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Interval</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IAC Notes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3"/>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MVWC</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Acquisition Corp.</w:t>
            </w:r>
          </w:p>
        </w:tc>
        <w:tc>
          <w:tcPr>
            <w:tcW w:w="2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Guarantors</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Eliminations</w:t>
            </w:r>
          </w:p>
        </w:tc>
        <w:tc>
          <w:tcPr>
            <w:tcW w:w="180" w:type="dxa"/>
            <w:vAlign w:val="bottom"/>
          </w:tcPr>
          <w:p>
            <w:pPr>
              <w:spacing w:after="0"/>
              <w:rPr>
                <w:sz w:val="20"/>
                <w:szCs w:val="20"/>
                <w:color w:val="auto"/>
              </w:rPr>
            </w:pPr>
          </w:p>
        </w:tc>
        <w:tc>
          <w:tcPr>
            <w:tcW w:w="118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15"/>
        </w:trPr>
        <w:tc>
          <w:tcPr>
            <w:tcW w:w="4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Net cash, cash equivalents and</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restricted cash (used in) provided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by operating activities</w:t>
            </w:r>
          </w:p>
        </w:tc>
        <w:tc>
          <w:tcPr>
            <w:tcW w:w="260" w:type="dxa"/>
            <w:vAlign w:val="bottom"/>
            <w:tcBorders>
              <w:bottom w:val="single" w:sz="8" w:color="CCEEFF"/>
            </w:tcBorders>
            <w:vMerge w:val="continue"/>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vMerge w:val="continue"/>
            <w:shd w:val="clear" w:color="auto" w:fill="CCEEFF"/>
          </w:tcPr>
          <w:p>
            <w:pPr>
              <w:spacing w:after="0"/>
              <w:rPr>
                <w:sz w:val="20"/>
                <w:szCs w:val="20"/>
                <w:color w:val="auto"/>
              </w:rPr>
            </w:pPr>
          </w:p>
        </w:tc>
        <w:tc>
          <w:tcPr>
            <w:tcW w:w="1200" w:type="dxa"/>
            <w:vAlign w:val="bottom"/>
            <w:tcBorders>
              <w:bottom w:val="single" w:sz="8" w:color="CCEEFF"/>
            </w:tcBorders>
            <w:gridSpan w:val="2"/>
            <w:vMerge w:val="continue"/>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Net cash, cash equivalents and</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w w:val="95"/>
              </w:rPr>
              <w:t>restricted cash (used in) provided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by investing activities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Net cash, cash equivalents and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restricted cash provided by (used</w:t>
            </w:r>
          </w:p>
        </w:tc>
        <w:tc>
          <w:tcPr>
            <w:tcW w:w="2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1,905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Cash, cash equivalents and</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restricted cash, beginning of</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period</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end of period</w:t>
            </w:r>
          </w:p>
        </w:tc>
        <w:tc>
          <w:tcPr>
            <w:tcW w:w="26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49</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 and Exchange Notes</w:t>
      </w:r>
    </w:p>
    <w:p>
      <w:pPr>
        <w:spacing w:after="0" w:line="121" w:lineRule="exact"/>
        <w:rPr>
          <w:sz w:val="20"/>
          <w:szCs w:val="20"/>
          <w:color w:val="auto"/>
        </w:rPr>
      </w:pPr>
    </w:p>
    <w:p>
      <w:pPr>
        <w:jc w:val="both"/>
        <w:ind w:right="280" w:firstLine="648"/>
        <w:spacing w:after="0" w:line="301" w:lineRule="auto"/>
        <w:rPr>
          <w:sz w:val="20"/>
          <w:szCs w:val="20"/>
          <w:color w:val="auto"/>
        </w:rPr>
      </w:pPr>
      <w:r>
        <w:rPr>
          <w:rFonts w:ascii="Arial" w:cs="Arial" w:eastAsia="Arial" w:hAnsi="Arial"/>
          <w:sz w:val="16"/>
          <w:szCs w:val="16"/>
          <w:color w:val="auto"/>
        </w:rPr>
        <w:t>The Senior Unsecured Notes and Exchanges Notes (collectively referred to as the “Senior MVW Notes”) are guaranteed by MVWC, Marriott Ownership Resorts, Inc. (“MORI”), ILG and certain other subsidiaries whose voting securities are wholly owned directly or indirectly by MORI or ILG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tables present consolidating financial information as of September 30, 2019 and December 31, 2018, and for the three and nine months ended September 30, 2019 and September 30, 2018 for MVWC on a stand-alone basis, each of MORI and ILG on a stand-alone basis (collectively, the “Issuers” and each individually, an “Issuer”), the Senior Notes Guarantors, the combined non-guarantor subsidiaries of MVW and MVW on a consolidated basis.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spacing w:after="0"/>
              <w:rPr>
                <w:sz w:val="20"/>
                <w:szCs w:val="20"/>
                <w:color w:val="auto"/>
              </w:rPr>
            </w:pPr>
            <w:r>
              <w:rPr>
                <w:rFonts w:ascii="Arial" w:cs="Arial" w:eastAsia="Arial" w:hAnsi="Arial"/>
                <w:sz w:val="16"/>
                <w:szCs w:val="16"/>
                <w:b w:val="1"/>
                <w:bCs w:val="1"/>
                <w:color w:val="auto"/>
              </w:rPr>
              <w:t>As of September 30, 2019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Issuers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Senior Notes</w:t>
            </w:r>
          </w:p>
        </w:tc>
        <w:tc>
          <w:tcPr>
            <w:tcW w:w="13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Non-Guarantor</w:t>
            </w:r>
          </w:p>
        </w:tc>
        <w:tc>
          <w:tcPr>
            <w:tcW w:w="140" w:type="dxa"/>
            <w:vAlign w:val="bottom"/>
          </w:tcPr>
          <w:p>
            <w:pPr>
              <w:spacing w:after="0"/>
              <w:rPr>
                <w:sz w:val="20"/>
                <w:szCs w:val="20"/>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110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MVWC</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MORI</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Guarantors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4"/>
              </w:rPr>
              <w:t>Eliminations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49"/>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Vacation ownership notes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40"/>
              <w:spacing w:after="0"/>
              <w:rPr>
                <w:sz w:val="20"/>
                <w:szCs w:val="20"/>
                <w:color w:val="auto"/>
              </w:rPr>
            </w:pPr>
            <w:r>
              <w:rPr>
                <w:rFonts w:ascii="Arial" w:cs="Arial" w:eastAsia="Arial" w:hAnsi="Arial"/>
                <w:sz w:val="18"/>
                <w:szCs w:val="18"/>
                <w:color w:val="auto"/>
              </w:rPr>
              <w:t>receivable, net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parent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97"/>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311"/>
        </w:trPr>
        <w:tc>
          <w:tcPr>
            <w:tcW w:w="2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Payroll and benefits liability</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Deferred compensation liability</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Securitized debt, net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Due to subsidiary</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MVW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5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As of December 31, 2018</w:t>
            </w:r>
            <w:r>
              <w:rPr>
                <w:rFonts w:ascii="Arial" w:cs="Arial" w:eastAsia="Arial" w:hAnsi="Arial"/>
                <w:sz w:val="17"/>
                <w:szCs w:val="17"/>
                <w:b w:val="1"/>
                <w:bCs w:val="1"/>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Issuers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Senior Notes</w:t>
            </w:r>
          </w:p>
        </w:tc>
        <w:tc>
          <w:tcPr>
            <w:tcW w:w="13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Non-Guarantor</w:t>
            </w:r>
          </w:p>
        </w:tc>
        <w:tc>
          <w:tcPr>
            <w:tcW w:w="140" w:type="dxa"/>
            <w:vAlign w:val="bottom"/>
          </w:tcPr>
          <w:p>
            <w:pPr>
              <w:spacing w:after="0"/>
              <w:rPr>
                <w:sz w:val="20"/>
                <w:szCs w:val="20"/>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110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6"/>
                <w:szCs w:val="16"/>
                <w:b w:val="1"/>
                <w:bCs w:val="1"/>
                <w:color w:val="auto"/>
              </w:rPr>
              <w:t>MVWC</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MORI</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Guarantors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4"/>
              </w:rPr>
              <w:t>Eliminations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2500" w:type="dxa"/>
            <w:vAlign w:val="bottom"/>
          </w:tcPr>
          <w:p>
            <w:pPr>
              <w:ind w:left="40"/>
              <w:spacing w:after="0"/>
              <w:rPr>
                <w:sz w:val="20"/>
                <w:szCs w:val="20"/>
                <w:color w:val="auto"/>
              </w:rPr>
            </w:pPr>
            <w:r>
              <w:rPr>
                <w:rFonts w:ascii="Arial" w:cs="Arial" w:eastAsia="Arial" w:hAnsi="Arial"/>
                <w:sz w:val="18"/>
                <w:szCs w:val="18"/>
                <w:color w:val="auto"/>
              </w:rPr>
              <w:t>Vacation ownership notes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40"/>
              <w:spacing w:after="0"/>
              <w:rPr>
                <w:sz w:val="20"/>
                <w:szCs w:val="20"/>
                <w:color w:val="auto"/>
              </w:rPr>
            </w:pPr>
            <w:r>
              <w:rPr>
                <w:rFonts w:ascii="Arial" w:cs="Arial" w:eastAsia="Arial" w:hAnsi="Arial"/>
                <w:sz w:val="18"/>
                <w:szCs w:val="18"/>
                <w:color w:val="auto"/>
              </w:rPr>
              <w:t>receivable, net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parent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97"/>
        </w:trPr>
        <w:tc>
          <w:tcPr>
            <w:tcW w:w="2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5,568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311"/>
        </w:trPr>
        <w:tc>
          <w:tcPr>
            <w:tcW w:w="25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Payroll and benefits liability</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Deferred compensation liability</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Securitized debt, net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Due to subsidiary</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MVW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8"/>
                <w:szCs w:val="18"/>
                <w:color w:val="auto"/>
                <w:w w:val="99"/>
              </w:rPr>
              <w:t>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0" w:hanging="652"/>
        <w:spacing w:after="0" w:line="216"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Amounts have been revised to correct certain immaterial prior period errors as reported in the 2018 Annual Report and have been reclassified to conform to the current year presentation.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Statement of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8"/>
          </w:tcPr>
          <w:p>
            <w:pPr>
              <w:ind w:left="320"/>
              <w:spacing w:after="0"/>
              <w:rPr>
                <w:sz w:val="20"/>
                <w:szCs w:val="20"/>
                <w:color w:val="auto"/>
              </w:rPr>
            </w:pPr>
            <w:r>
              <w:rPr>
                <w:rFonts w:ascii="Arial" w:cs="Arial" w:eastAsia="Arial" w:hAnsi="Arial"/>
                <w:sz w:val="16"/>
                <w:szCs w:val="16"/>
                <w:b w:val="1"/>
                <w:bCs w:val="1"/>
                <w:color w:val="auto"/>
              </w:rPr>
              <w:t>Three Months Ended September 30, 2019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Senior Notes</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20"/>
                <w:szCs w:val="20"/>
                <w:color w:val="auto"/>
              </w:rPr>
            </w:pPr>
          </w:p>
        </w:tc>
        <w:tc>
          <w:tcPr>
            <w:tcW w:w="1100" w:type="dxa"/>
            <w:vAlign w:val="bottom"/>
            <w:vMerge w:val="restart"/>
          </w:tcPr>
          <w:p>
            <w:pPr>
              <w:jc w:val="center"/>
              <w:ind w:right="5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MVWC</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MORI</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2"/>
              </w:rPr>
              <w:t>Guarantors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94"/>
              </w:rPr>
              <w:t>Eliminations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and other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income, net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ILG acquisition-related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rPr>
                <w:sz w:val="20"/>
                <w:szCs w:val="20"/>
                <w:color w:val="auto"/>
              </w:rPr>
            </w:pPr>
            <w:r>
              <w:rPr>
                <w:rFonts w:ascii="Arial" w:cs="Arial" w:eastAsia="Arial" w:hAnsi="Arial"/>
                <w:sz w:val="18"/>
                <w:szCs w:val="18"/>
                <w:color w:val="auto"/>
                <w:w w:val="99"/>
              </w:rPr>
              <w:t>Equity in net (loss) income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of subsidiaries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common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8"/>
          </w:tcPr>
          <w:p>
            <w:pPr>
              <w:ind w:left="320"/>
              <w:spacing w:after="0"/>
              <w:rPr>
                <w:sz w:val="20"/>
                <w:szCs w:val="20"/>
                <w:color w:val="auto"/>
              </w:rPr>
            </w:pPr>
            <w:r>
              <w:rPr>
                <w:rFonts w:ascii="Arial" w:cs="Arial" w:eastAsia="Arial" w:hAnsi="Arial"/>
                <w:sz w:val="16"/>
                <w:szCs w:val="16"/>
                <w:b w:val="1"/>
                <w:bCs w:val="1"/>
                <w:color w:val="auto"/>
              </w:rPr>
              <w:t>Three Months Ended September 30, 2018</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Senior Notes</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20"/>
                <w:szCs w:val="20"/>
                <w:color w:val="auto"/>
              </w:rPr>
            </w:pPr>
          </w:p>
        </w:tc>
        <w:tc>
          <w:tcPr>
            <w:tcW w:w="1100" w:type="dxa"/>
            <w:vAlign w:val="bottom"/>
            <w:vMerge w:val="restart"/>
          </w:tcPr>
          <w:p>
            <w:pPr>
              <w:jc w:val="center"/>
              <w:ind w:right="5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MVWC</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MORI</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2"/>
              </w:rPr>
              <w:t>Guarantors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94"/>
              </w:rPr>
              <w:t>Eliminations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Gains and other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ILG acquisition-related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rPr>
                <w:sz w:val="20"/>
                <w:szCs w:val="20"/>
                <w:color w:val="auto"/>
              </w:rPr>
            </w:pPr>
            <w:r>
              <w:rPr>
                <w:rFonts w:ascii="Arial" w:cs="Arial" w:eastAsia="Arial" w:hAnsi="Arial"/>
                <w:sz w:val="18"/>
                <w:szCs w:val="18"/>
                <w:color w:val="auto"/>
              </w:rPr>
              <w:t>Benefit (provision) for</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Equity in net (loss) income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40"/>
              <w:spacing w:after="0"/>
              <w:rPr>
                <w:sz w:val="20"/>
                <w:szCs w:val="20"/>
                <w:color w:val="auto"/>
              </w:rPr>
            </w:pPr>
            <w:r>
              <w:rPr>
                <w:rFonts w:ascii="Arial" w:cs="Arial" w:eastAsia="Arial" w:hAnsi="Arial"/>
                <w:sz w:val="18"/>
                <w:szCs w:val="18"/>
                <w:color w:val="auto"/>
              </w:rPr>
              <w:t>attributable to common</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8"/>
                <w:szCs w:val="18"/>
                <w:color w:val="auto"/>
              </w:rPr>
              <w:t>shareholders</w:t>
            </w:r>
          </w:p>
        </w:tc>
        <w:tc>
          <w:tcPr>
            <w:tcW w:w="2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20" w:type="dxa"/>
            <w:vAlign w:val="bottom"/>
            <w:gridSpan w:val="8"/>
          </w:tcPr>
          <w:p>
            <w:pPr>
              <w:ind w:left="360"/>
              <w:spacing w:after="0"/>
              <w:rPr>
                <w:sz w:val="20"/>
                <w:szCs w:val="20"/>
                <w:color w:val="auto"/>
              </w:rPr>
            </w:pPr>
            <w:r>
              <w:rPr>
                <w:rFonts w:ascii="Arial" w:cs="Arial" w:eastAsia="Arial" w:hAnsi="Arial"/>
                <w:sz w:val="16"/>
                <w:szCs w:val="16"/>
                <w:b w:val="1"/>
                <w:bCs w:val="1"/>
                <w:color w:val="auto"/>
              </w:rPr>
              <w:t>Nine Months Ended September 30, 2019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Senior Notes</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20"/>
                <w:szCs w:val="20"/>
                <w:color w:val="auto"/>
              </w:rPr>
            </w:pPr>
          </w:p>
        </w:tc>
        <w:tc>
          <w:tcPr>
            <w:tcW w:w="1100" w:type="dxa"/>
            <w:vAlign w:val="bottom"/>
            <w:vMerge w:val="restart"/>
          </w:tcPr>
          <w:p>
            <w:pPr>
              <w:jc w:val="center"/>
              <w:ind w:right="5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MVWC</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MORI</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2"/>
              </w:rPr>
              <w:t>Guarantors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94"/>
              </w:rPr>
              <w:t>Eliminations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4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Gains and other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ILG acquisition-related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rPr>
                <w:sz w:val="20"/>
                <w:szCs w:val="20"/>
                <w:color w:val="auto"/>
              </w:rPr>
            </w:pPr>
            <w:r>
              <w:rPr>
                <w:rFonts w:ascii="Arial" w:cs="Arial" w:eastAsia="Arial" w:hAnsi="Arial"/>
                <w:sz w:val="18"/>
                <w:szCs w:val="18"/>
                <w:color w:val="auto"/>
                <w:w w:val="99"/>
              </w:rPr>
              <w:t>Equity in net income (loss)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of subsidiaries</w:t>
            </w:r>
          </w:p>
        </w:tc>
        <w:tc>
          <w:tcPr>
            <w:tcW w:w="2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common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20" w:type="dxa"/>
            <w:vAlign w:val="bottom"/>
            <w:gridSpan w:val="8"/>
          </w:tcPr>
          <w:p>
            <w:pPr>
              <w:ind w:left="360"/>
              <w:spacing w:after="0"/>
              <w:rPr>
                <w:sz w:val="20"/>
                <w:szCs w:val="20"/>
                <w:color w:val="auto"/>
              </w:rPr>
            </w:pPr>
            <w:r>
              <w:rPr>
                <w:rFonts w:ascii="Arial" w:cs="Arial" w:eastAsia="Arial" w:hAnsi="Arial"/>
                <w:sz w:val="16"/>
                <w:szCs w:val="16"/>
                <w:b w:val="1"/>
                <w:bCs w:val="1"/>
                <w:color w:val="auto"/>
              </w:rPr>
              <w:t>Nine Months Ended September 30, 2018</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Senior Notes</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20"/>
                <w:szCs w:val="20"/>
                <w:color w:val="auto"/>
              </w:rPr>
            </w:pPr>
          </w:p>
        </w:tc>
        <w:tc>
          <w:tcPr>
            <w:tcW w:w="1100" w:type="dxa"/>
            <w:vAlign w:val="bottom"/>
            <w:vMerge w:val="restart"/>
          </w:tcPr>
          <w:p>
            <w:pPr>
              <w:jc w:val="center"/>
              <w:ind w:right="51"/>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MVWC</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MORI</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92"/>
              </w:rPr>
              <w:t>Guarantors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94"/>
              </w:rPr>
              <w:t>Eliminations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and other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income, net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ILG acquisition-related costs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(provision) for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rPr>
                <w:sz w:val="20"/>
                <w:szCs w:val="20"/>
                <w:color w:val="auto"/>
              </w:rPr>
            </w:pPr>
            <w:r>
              <w:rPr>
                <w:rFonts w:ascii="Arial" w:cs="Arial" w:eastAsia="Arial" w:hAnsi="Arial"/>
                <w:sz w:val="18"/>
                <w:szCs w:val="18"/>
                <w:color w:val="auto"/>
                <w:w w:val="99"/>
              </w:rPr>
              <w:t>Equity in net income (loss)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of subsidiaries</w:t>
            </w:r>
          </w:p>
        </w:tc>
        <w:tc>
          <w:tcPr>
            <w:tcW w:w="2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common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Statement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gridSpan w:val="8"/>
          </w:tcPr>
          <w:p>
            <w:pPr>
              <w:ind w:left="300"/>
              <w:spacing w:after="0"/>
              <w:rPr>
                <w:sz w:val="20"/>
                <w:szCs w:val="20"/>
                <w:color w:val="auto"/>
              </w:rPr>
            </w:pPr>
            <w:r>
              <w:rPr>
                <w:rFonts w:ascii="Arial" w:cs="Arial" w:eastAsia="Arial" w:hAnsi="Arial"/>
                <w:sz w:val="16"/>
                <w:szCs w:val="16"/>
                <w:b w:val="1"/>
                <w:bCs w:val="1"/>
                <w:color w:val="auto"/>
              </w:rPr>
              <w:t>Nine Months Ended September 30, 2019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Senior Notes</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20"/>
                <w:szCs w:val="20"/>
                <w:color w:val="auto"/>
              </w:rPr>
            </w:pPr>
          </w:p>
        </w:tc>
        <w:tc>
          <w:tcPr>
            <w:tcW w:w="110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MVWC</w:t>
            </w:r>
          </w:p>
        </w:tc>
        <w:tc>
          <w:tcPr>
            <w:tcW w:w="220" w:type="dxa"/>
            <w:vAlign w:val="bottom"/>
          </w:tcPr>
          <w:p>
            <w:pPr>
              <w:spacing w:after="0"/>
              <w:rPr>
                <w:sz w:val="22"/>
                <w:szCs w:val="22"/>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MORI</w:t>
            </w:r>
          </w:p>
        </w:tc>
        <w:tc>
          <w:tcPr>
            <w:tcW w:w="30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ILG</w:t>
            </w: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Guarantors</w:t>
            </w:r>
          </w:p>
        </w:tc>
        <w:tc>
          <w:tcPr>
            <w:tcW w:w="160" w:type="dxa"/>
            <w:vAlign w:val="bottom"/>
          </w:tcPr>
          <w:p>
            <w:pPr>
              <w:spacing w:after="0"/>
              <w:rPr>
                <w:sz w:val="22"/>
                <w:szCs w:val="2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Eliminations</w:t>
            </w:r>
          </w:p>
        </w:tc>
        <w:tc>
          <w:tcPr>
            <w:tcW w:w="120" w:type="dxa"/>
            <w:vAlign w:val="bottom"/>
          </w:tcPr>
          <w:p>
            <w:pPr>
              <w:spacing w:after="0"/>
              <w:rPr>
                <w:sz w:val="22"/>
                <w:szCs w:val="22"/>
                <w:color w:val="auto"/>
              </w:rPr>
            </w:pPr>
          </w:p>
        </w:tc>
        <w:tc>
          <w:tcPr>
            <w:tcW w:w="110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15"/>
        </w:trPr>
        <w:tc>
          <w:tcPr>
            <w:tcW w:w="2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and restricted cash (used in)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provided by operating</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2260" w:type="dxa"/>
            <w:vAlign w:val="bottom"/>
          </w:tcPr>
          <w:p>
            <w:pPr>
              <w:ind w:left="40"/>
              <w:spacing w:after="0"/>
              <w:rPr>
                <w:sz w:val="20"/>
                <w:szCs w:val="20"/>
                <w:color w:val="auto"/>
              </w:rPr>
            </w:pPr>
            <w:r>
              <w:rPr>
                <w:rFonts w:ascii="Arial" w:cs="Arial" w:eastAsia="Arial" w:hAnsi="Arial"/>
                <w:sz w:val="18"/>
                <w:szCs w:val="18"/>
                <w:color w:val="auto"/>
              </w:rPr>
              <w:t>Net cash, 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w w:val="96"/>
              </w:rPr>
              <w:t>and restricted cash (used in)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provided by investing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cash equivalents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and restricted cash provided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by (used in) financing</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2260" w:type="dxa"/>
            <w:vAlign w:val="bottom"/>
          </w:tcPr>
          <w:p>
            <w:pPr>
              <w:ind w:left="40"/>
              <w:spacing w:after="0"/>
              <w:rPr>
                <w:sz w:val="20"/>
                <w:szCs w:val="20"/>
                <w:color w:val="auto"/>
              </w:rPr>
            </w:pPr>
            <w:r>
              <w:rPr>
                <w:rFonts w:ascii="Arial" w:cs="Arial" w:eastAsia="Arial" w:hAnsi="Arial"/>
                <w:sz w:val="18"/>
                <w:szCs w:val="18"/>
                <w:color w:val="auto"/>
                <w:w w:val="99"/>
              </w:rPr>
              <w:t>Cash, cash equivalents and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w w:val="97"/>
              </w:rPr>
              <w:t>restricted cash, beginning of</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40"/>
              <w:spacing w:after="0"/>
              <w:rPr>
                <w:sz w:val="20"/>
                <w:szCs w:val="20"/>
                <w:color w:val="auto"/>
              </w:rPr>
            </w:pPr>
            <w:r>
              <w:rPr>
                <w:rFonts w:ascii="Arial" w:cs="Arial" w:eastAsia="Arial" w:hAnsi="Arial"/>
                <w:sz w:val="18"/>
                <w:szCs w:val="18"/>
                <w:color w:val="auto"/>
              </w:rPr>
              <w:t>period</w:t>
            </w:r>
          </w:p>
        </w:tc>
        <w:tc>
          <w:tcPr>
            <w:tcW w:w="22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Cash, cash equivalents and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restricted cash, end of period</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0" w:type="dxa"/>
            <w:vAlign w:val="bottom"/>
            <w:gridSpan w:val="8"/>
          </w:tcPr>
          <w:p>
            <w:pPr>
              <w:ind w:left="300"/>
              <w:spacing w:after="0"/>
              <w:rPr>
                <w:sz w:val="20"/>
                <w:szCs w:val="20"/>
                <w:color w:val="auto"/>
              </w:rPr>
            </w:pPr>
            <w:r>
              <w:rPr>
                <w:rFonts w:ascii="Arial" w:cs="Arial" w:eastAsia="Arial" w:hAnsi="Arial"/>
                <w:sz w:val="16"/>
                <w:szCs w:val="16"/>
                <w:b w:val="1"/>
                <w:bCs w:val="1"/>
                <w:color w:val="auto"/>
              </w:rPr>
              <w:t>Nine Months Ended September 30, 2018</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Issuers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Senior Notes</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20"/>
                <w:szCs w:val="2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20" w:type="dxa"/>
            <w:vAlign w:val="bottom"/>
          </w:tcPr>
          <w:p>
            <w:pPr>
              <w:spacing w:after="0"/>
              <w:rPr>
                <w:sz w:val="20"/>
                <w:szCs w:val="20"/>
                <w:color w:val="auto"/>
              </w:rPr>
            </w:pPr>
          </w:p>
        </w:tc>
        <w:tc>
          <w:tcPr>
            <w:tcW w:w="110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MVWC</w:t>
            </w:r>
          </w:p>
        </w:tc>
        <w:tc>
          <w:tcPr>
            <w:tcW w:w="220" w:type="dxa"/>
            <w:vAlign w:val="bottom"/>
          </w:tcPr>
          <w:p>
            <w:pPr>
              <w:spacing w:after="0"/>
              <w:rPr>
                <w:sz w:val="22"/>
                <w:szCs w:val="22"/>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MORI</w:t>
            </w:r>
          </w:p>
        </w:tc>
        <w:tc>
          <w:tcPr>
            <w:tcW w:w="30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ILG</w:t>
            </w: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Guarantors</w:t>
            </w:r>
          </w:p>
        </w:tc>
        <w:tc>
          <w:tcPr>
            <w:tcW w:w="160" w:type="dxa"/>
            <w:vAlign w:val="bottom"/>
          </w:tcPr>
          <w:p>
            <w:pPr>
              <w:spacing w:after="0"/>
              <w:rPr>
                <w:sz w:val="22"/>
                <w:szCs w:val="2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Eliminations</w:t>
            </w:r>
          </w:p>
        </w:tc>
        <w:tc>
          <w:tcPr>
            <w:tcW w:w="120" w:type="dxa"/>
            <w:vAlign w:val="bottom"/>
          </w:tcPr>
          <w:p>
            <w:pPr>
              <w:spacing w:after="0"/>
              <w:rPr>
                <w:sz w:val="22"/>
                <w:szCs w:val="22"/>
                <w:color w:val="auto"/>
              </w:rPr>
            </w:pPr>
          </w:p>
        </w:tc>
        <w:tc>
          <w:tcPr>
            <w:tcW w:w="110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15"/>
        </w:trPr>
        <w:tc>
          <w:tcPr>
            <w:tcW w:w="2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and restricted cash (used in)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provided by operating</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2260" w:type="dxa"/>
            <w:vAlign w:val="bottom"/>
          </w:tcPr>
          <w:p>
            <w:pPr>
              <w:ind w:left="40"/>
              <w:spacing w:after="0"/>
              <w:rPr>
                <w:sz w:val="20"/>
                <w:szCs w:val="20"/>
                <w:color w:val="auto"/>
              </w:rPr>
            </w:pPr>
            <w:r>
              <w:rPr>
                <w:rFonts w:ascii="Arial" w:cs="Arial" w:eastAsia="Arial" w:hAnsi="Arial"/>
                <w:sz w:val="18"/>
                <w:szCs w:val="18"/>
                <w:color w:val="auto"/>
              </w:rPr>
              <w:t>Net cash, cash equivalents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w w:val="96"/>
              </w:rPr>
              <w:t>and restricted cash (used in)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rPr>
              <w:t>provided by investing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cash equivalents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and restricted cash provided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by (used in) financing</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9"/>
        </w:trPr>
        <w:tc>
          <w:tcPr>
            <w:tcW w:w="2260" w:type="dxa"/>
            <w:vAlign w:val="bottom"/>
          </w:tcPr>
          <w:p>
            <w:pPr>
              <w:ind w:left="40"/>
              <w:spacing w:after="0"/>
              <w:rPr>
                <w:sz w:val="20"/>
                <w:szCs w:val="20"/>
                <w:color w:val="auto"/>
              </w:rPr>
            </w:pPr>
            <w:r>
              <w:rPr>
                <w:rFonts w:ascii="Arial" w:cs="Arial" w:eastAsia="Arial" w:hAnsi="Arial"/>
                <w:sz w:val="18"/>
                <w:szCs w:val="18"/>
                <w:color w:val="auto"/>
                <w:w w:val="99"/>
              </w:rPr>
              <w:t>Cash, cash equivalents and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40"/>
              <w:spacing w:after="0"/>
              <w:rPr>
                <w:sz w:val="20"/>
                <w:szCs w:val="20"/>
                <w:color w:val="auto"/>
              </w:rPr>
            </w:pPr>
            <w:r>
              <w:rPr>
                <w:rFonts w:ascii="Arial" w:cs="Arial" w:eastAsia="Arial" w:hAnsi="Arial"/>
                <w:sz w:val="18"/>
                <w:szCs w:val="18"/>
                <w:color w:val="auto"/>
                <w:w w:val="97"/>
              </w:rPr>
              <w:t>restricted cash, beginning of</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40"/>
              <w:spacing w:after="0"/>
              <w:rPr>
                <w:sz w:val="20"/>
                <w:szCs w:val="20"/>
                <w:color w:val="auto"/>
              </w:rPr>
            </w:pPr>
            <w:r>
              <w:rPr>
                <w:rFonts w:ascii="Arial" w:cs="Arial" w:eastAsia="Arial" w:hAnsi="Arial"/>
                <w:sz w:val="18"/>
                <w:szCs w:val="18"/>
                <w:color w:val="auto"/>
              </w:rPr>
              <w:t>period</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Cash, cash equivalents and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7"/>
        </w:trPr>
        <w:tc>
          <w:tcPr>
            <w:tcW w:w="2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restricted cash, end of period</w:t>
            </w:r>
          </w:p>
        </w:tc>
        <w:tc>
          <w:tcPr>
            <w:tcW w:w="22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5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risk factors discussed in “Risk Factors” in our most recent Annual Report on Form 10-K, and which may be discussed in subsequent Quarterly Reports on Form 10-Q or other filings with the Securities and Exchange Commission (“SEC”),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8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7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September 1, 2018, we completed the ILG Acquisition for approximately $4.2 billion in aggregate consideration. In connection with the ILG Acquisition, we entered into multiple financing arrangements, which include the issuance of senior notes and the replacement of our previously existing corporate credit facility with a new senior secured corporate credit agreement, our Corporate Credit Facility, that provides for a term loan and revolving loans.</w:t>
      </w:r>
    </w:p>
    <w:p>
      <w:pPr>
        <w:spacing w:after="0" w:line="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refer to our business associated with the brands that existed prior to the ILG Acquisition as “Legacy-MVW” and to ILG’s business and brands that we acquired as “Legacy-ILG.”</w:t>
      </w:r>
    </w:p>
    <w:p>
      <w:pPr>
        <w:spacing w:after="0" w:line="6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Vacation Ownership segment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Exchange &amp; Third-Party Management segment includes exchange networks and membership programs, as well as management of resorts and lodging properties. We provide these services through a variety of brands including Interval International, Trading Places International, Vacation Resorts International, Aqua-Aston and Great Destinations. Exchange &amp; Third-Party Management revenue generally is fee-based and derived from membership, exchange and rental transactions, property and association management, and other related products and services.</w:t>
      </w:r>
    </w:p>
    <w:p>
      <w:pPr>
        <w:spacing w:after="0" w:line="6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Hurricane Activity</w:t>
      </w:r>
    </w:p>
    <w:p>
      <w:pPr>
        <w:spacing w:after="0" w:line="11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2017, over 20 Legacy-MVW properties and two Legacy-ILG properties were negatively impacted by one or both of Hurricane Irma and Hurricane Maria (collectively, the “2017 Hurricanes”). All of the Legacy-MVW properties reopened prior to the end of 2018. The Legacy-ILG property in St. John partially reopened in the first quarter of 2019 and the Legacy-ILG resort in Puerto Rico is expected to open in 2020.</w:t>
      </w:r>
    </w:p>
    <w:p>
      <w:pPr>
        <w:spacing w:after="0" w:line="5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received $29 million and $9 million of net insurance proceeds in 2018 and 2019, respectively, related to the settlement of Legacy-MVW business interruption insurance claims arising from the 2017 Hurricanes. We have submitted most of the insurance claims for our Legacy-ILG business interruption losses as well as Legacy-MVW and Legacy-ILG property damage experienced by both us and associated property owners’ associations from these 2017 Hurricanes. We received an initial $25 million advance of insurance proceeds related to the business interruption losses at the Legacy-ILG St. John property in 2018 and, subsequent to the end of the third quarter of 2019, we received a final payment of $38 million. We also received $7 million of insurance proceeds related to the business interruption losses at the other Legacy-ILG properties in 2019 and we received advances of $108 million of insurance proceeds related to the Legacy-ILG property damage experienced by the related property owners’ associations as of the second quarter of 2019. Repairs are underway at the Legacy-ILG resort in Puerto Rico and the related insurance claim is expected to be submitted in 2020 upon the completion of construction. However, we cannot quantify the extent of any additional payments under such claims at this time as the claims would not be higher than our deductible.</w:t>
      </w:r>
    </w:p>
    <w:p>
      <w:pPr>
        <w:spacing w:after="0" w:line="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third quarter of 2018, our Legacy-MVW properties in South Carolina and Florida were negatively impacted by Hurricane Florence and Hurricane Michael, respectively (collectively, the “2018 Hurricanes”). We expect to submit insurance claims for our business interruption losses as well as property damage experienced by both us and associated property owners’ associations from these 2018 Hurricanes. However, we cannot quantify the extent of any payments under such claims at this time.</w:t>
      </w:r>
    </w:p>
    <w:p>
      <w:pPr>
        <w:spacing w:after="0" w:line="79" w:lineRule="exact"/>
        <w:rPr>
          <w:sz w:val="20"/>
          <w:szCs w:val="20"/>
          <w:color w:val="auto"/>
        </w:rPr>
      </w:pPr>
    </w:p>
    <w:p>
      <w:pPr>
        <w:ind w:right="280" w:firstLine="648"/>
        <w:spacing w:after="0" w:line="275" w:lineRule="auto"/>
        <w:rPr>
          <w:sz w:val="20"/>
          <w:szCs w:val="20"/>
          <w:color w:val="auto"/>
        </w:rPr>
      </w:pPr>
      <w:r>
        <w:rPr>
          <w:rFonts w:ascii="Arial" w:cs="Arial" w:eastAsia="Arial" w:hAnsi="Arial"/>
          <w:sz w:val="17"/>
          <w:szCs w:val="17"/>
          <w:color w:val="auto"/>
        </w:rPr>
        <w:t>During the third quarter of 2019, several properties in our Vacation Ownership segment were negatively impacted by Hurricane Dorian. We estimate contract sales in the third quarter were adversely impacted by approximately $7 million as a result of mandatory evacuations, resort and sales center shutdowns, and cancellations of reservations and scheduled tours. Our assessment is that the physical damage resulting from the hurricane to the resorts and sales centers operated by the company was minimal. We do not expect to submit insurance claims for our business interruption losses, or for property damage experienced by us or associated property owners’ associations, from this hurricane.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recognize revenues from the sale of vacation ownership products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57"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As a result of the revenue recognition requirements included in Accounting Standards Codification (“ASC”) Topic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(“ASC 606”), there may be timing differences between the date of the contract with the customer and when revenue is recognized. When</w:t>
      </w:r>
      <w:r>
        <w:rPr>
          <w:rFonts w:ascii="Arial" w:cs="Arial" w:eastAsia="Arial" w:hAnsi="Arial"/>
          <w:sz w:val="16"/>
          <w:szCs w:val="16"/>
          <w:i w:val="1"/>
          <w:iCs w:val="1"/>
          <w:color w:val="auto"/>
        </w:rPr>
        <w:t xml:space="preserve"> </w:t>
      </w:r>
      <w:r>
        <w:rPr>
          <w:rFonts w:ascii="Arial" w:cs="Arial" w:eastAsia="Arial" w:hAnsi="Arial"/>
          <w:sz w:val="16"/>
          <w:szCs w:val="16"/>
          <w:color w:val="auto"/>
        </w:rPr>
        <w:t>comparing results year-over-year, this timing difference may generate significant variances, which we refer to as the impact of revenue reportability.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report, on a supplemental basis, contract sales for our Vacation Ownership segment. Contract sales consist of the total amount of vacation ownership product sales under contract signed during the period where we have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69" w:lineRule="exact"/>
        <w:rPr>
          <w:sz w:val="20"/>
          <w:szCs w:val="20"/>
          <w:color w:val="auto"/>
        </w:rPr>
      </w:pPr>
    </w:p>
    <w:p>
      <w:pPr>
        <w:jc w:val="both"/>
        <w:ind w:right="120"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7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Exchange</w:t>
      </w:r>
    </w:p>
    <w:p>
      <w:pPr>
        <w:spacing w:after="0" w:line="11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hotel, condominium resort, and property owners’ association management services to vacation property owners.</w:t>
      </w:r>
    </w:p>
    <w:p>
      <w:pPr>
        <w:spacing w:after="0" w:line="41"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7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1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our Vacation Ownership segment and Consolidated Property Owners’ Associations, we refer to these activities as “Resort Management and Other Services.”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30"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760" w:type="dxa"/>
            <w:vAlign w:val="bottom"/>
            <w:gridSpan w:val="3"/>
          </w:tcPr>
          <w:p>
            <w:pPr>
              <w:ind w:left="118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42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420" w:type="dxa"/>
            <w:vAlign w:val="bottom"/>
          </w:tcPr>
          <w:p>
            <w:pPr>
              <w:spacing w:after="0"/>
              <w:rPr>
                <w:sz w:val="20"/>
                <w:szCs w:val="20"/>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September 30, 2019</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September 30, 2018</w:t>
            </w:r>
          </w:p>
        </w:tc>
      </w:tr>
      <w:tr>
        <w:trPr>
          <w:trHeight w:val="33"/>
        </w:trPr>
        <w:tc>
          <w:tcPr>
            <w:tcW w:w="54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FICO score</w:t>
            </w:r>
          </w:p>
        </w:tc>
        <w:tc>
          <w:tcPr>
            <w:tcW w:w="18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736</w:t>
            </w:r>
          </w:p>
        </w:tc>
      </w:tr>
      <w:tr>
        <w:trPr>
          <w:trHeight w:val="27"/>
        </w:trPr>
        <w:tc>
          <w:tcPr>
            <w:tcW w:w="54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Included within our vacation ownership notes receivable are originated vacation ownership notes receivable and vacation ownership notes receivable acquired in connection with the ILG Acquisition.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Acquired vacation ownership notes receivable are accounted for using the expected cash flow method of recognizing discount accretion based on the expected cash flows. At acquisition, we recorded these vacation ownership notes receivable at fair value, which included a credit discount that is accreted as an adjustment to yield over the estimated life of the vacation ownership notes receivable. Our acquired vacation ownership notes receivable are remeasured at each reporting date based on expected future cash flows which takes into consideration an estimated measure of anticipated defaults and early repayments. See Footnote 6 “Vacation Ownership Notes Receivable” for further information regarding the accounting for acquired vacation ownership notes receivable.</w:t>
      </w:r>
    </w:p>
    <w:p>
      <w:pPr>
        <w:spacing w:after="0" w:line="8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for originated vacation ownership notes receivable, is impacted positively by the origination of new vacation ownership notes receivable and negatively by principal collections. We calculate financing propensity as contract sales volume of finance contracts originated in the period divided by contract sales volume of all contracts originated in the period. We do not include resales contract sales in the financing propensity calculation. Financing propensity was 67 percent in the third quarter of 2018 and 66 percent in the third quarter of 2019. We expect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7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117"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760" w:type="dxa"/>
            <w:vAlign w:val="bottom"/>
            <w:gridSpan w:val="3"/>
          </w:tcPr>
          <w:p>
            <w:pPr>
              <w:ind w:left="118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420" w:type="dxa"/>
            <w:vAlign w:val="bottom"/>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September 30, 2019</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September 30, 2018</w:t>
            </w:r>
          </w:p>
        </w:tc>
      </w:tr>
      <w:tr>
        <w:trPr>
          <w:trHeight w:val="33"/>
        </w:trPr>
        <w:tc>
          <w:tcPr>
            <w:tcW w:w="54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Historical default rates</w:t>
            </w:r>
          </w:p>
        </w:tc>
        <w:tc>
          <w:tcPr>
            <w:tcW w:w="1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2.8%</w:t>
            </w:r>
          </w:p>
        </w:tc>
      </w:tr>
      <w:tr>
        <w:trPr>
          <w:trHeight w:val="27"/>
        </w:trPr>
        <w:tc>
          <w:tcPr>
            <w:tcW w:w="54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Financing expenses include consumer financing interest expense, which represents interest expense associated with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the MVCD program when the points are redeemed for rental stays at one of our resorts or in other third-party offerings.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Arial" w:cs="Arial" w:eastAsia="Arial" w:hAnsi="Arial"/>
          <w:sz w:val="16"/>
          <w:szCs w:val="16"/>
          <w:i w:val="1"/>
          <w:iCs w:val="1"/>
          <w:color w:val="auto"/>
        </w:rPr>
        <w:t>Real Estate - Time-Sharing Activities</w:t>
      </w:r>
      <w:r>
        <w:rPr>
          <w:rFonts w:ascii="Arial" w:cs="Arial" w:eastAsia="Arial" w:hAnsi="Arial"/>
          <w:sz w:val="16"/>
          <w:szCs w:val="16"/>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6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our Exchange &amp; Third-Party Management segment, we offer vacation rental opportunities to members of the Interval International Network and certain other membership programs. The offering of Getaways allows us to monetize excess availability of resort accommodations within the applicable exchange network. Resort accommodations available as Getaways typically result from seasonal oversupply or underutilized space, as well as resort accommodations we source specifically for Getaways.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63"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63"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Bonvoy points and offerings available as part of third-party offerings, for owners who elect to exchange their inventory;</w:t>
      </w:r>
    </w:p>
    <w:p>
      <w:pPr>
        <w:spacing w:after="0" w:line="8"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secure resort accommodations for use in Getaways.</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consists of all interest expense other than consumer financing interest expense, which is included with Financing expense.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960" w:hanging="332"/>
        <w:spacing w:after="0"/>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Total contract sales include contract sales from the sale of vacation ownership products including joint ventures</w:t>
      </w:r>
    </w:p>
    <w:p>
      <w:pPr>
        <w:spacing w:after="0" w:line="117" w:lineRule="exact"/>
        <w:rPr>
          <w:rFonts w:ascii="Arial" w:cs="Arial" w:eastAsia="Arial" w:hAnsi="Arial"/>
          <w:sz w:val="18"/>
          <w:szCs w:val="18"/>
          <w:color w:val="auto"/>
        </w:rPr>
      </w:pPr>
    </w:p>
    <w:p>
      <w:pPr>
        <w:ind w:left="1960" w:right="440" w:hanging="332"/>
        <w:spacing w:after="0" w:line="277"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Consolidated contract sales exclude contract sales from the sale of vacation ownership products for non-consolidated joint ventures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 margin percentage;</w:t>
      </w:r>
    </w:p>
    <w:p>
      <w:pPr>
        <w:spacing w:after="0" w:line="117" w:lineRule="exact"/>
        <w:rPr>
          <w:rFonts w:ascii="Arial" w:cs="Arial" w:eastAsia="Arial" w:hAnsi="Arial"/>
          <w:sz w:val="18"/>
          <w:szCs w:val="18"/>
          <w:color w:val="auto"/>
        </w:rPr>
      </w:pPr>
    </w:p>
    <w:p>
      <w:pPr>
        <w:ind w:left="1300" w:right="220" w:hanging="320"/>
        <w:spacing w:after="0" w:line="25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(which we refer to as “tour flow”). We believe that this operating metric is valuable in evaluating the effectiveness of the sales process as it combines the impact of average contract price with the number of touring guests who make a purchase;</w:t>
      </w:r>
    </w:p>
    <w:p>
      <w:pPr>
        <w:spacing w:after="0" w:line="79" w:lineRule="exact"/>
        <w:rPr>
          <w:rFonts w:ascii="Arial" w:cs="Arial" w:eastAsia="Arial" w:hAnsi="Arial"/>
          <w:sz w:val="18"/>
          <w:szCs w:val="18"/>
          <w:color w:val="auto"/>
        </w:rPr>
      </w:pPr>
    </w:p>
    <w:p>
      <w:pPr>
        <w:ind w:left="1300" w:right="80" w:hanging="320"/>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Average revenue per member, which we calculate by dividing membership fee revenue, transaction revenue and other member revenue for the Interval International network by the monthly weighted average number of Interval International network active members during the applicable period; and</w:t>
      </w:r>
    </w:p>
    <w:p>
      <w:pPr>
        <w:spacing w:after="0" w:line="75"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Total active members, which is the number of Interval International network active members at the end of the applicable period.</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125"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3"/>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gridSpan w:val="3"/>
          </w:tcPr>
          <w:p>
            <w:pPr>
              <w:jc w:val="right"/>
              <w:ind w:right="113"/>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68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5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September 30, 2018</w:t>
            </w:r>
          </w:p>
        </w:tc>
        <w:tc>
          <w:tcPr>
            <w:tcW w:w="0" w:type="dxa"/>
            <w:vAlign w:val="bottom"/>
          </w:tcPr>
          <w:p>
            <w:pPr>
              <w:spacing w:after="0"/>
              <w:rPr>
                <w:sz w:val="1"/>
                <w:szCs w:val="1"/>
                <w:color w:val="auto"/>
              </w:rPr>
            </w:pPr>
          </w:p>
        </w:tc>
      </w:tr>
      <w:tr>
        <w:trPr>
          <w:trHeight w:val="250"/>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540" w:type="dxa"/>
            <w:vAlign w:val="bottom"/>
          </w:tcPr>
          <w:p>
            <w:pPr>
              <w:jc w:val="right"/>
              <w:ind w:right="33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Rental</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Rental</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Litigation charges</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Impairment</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6"/>
        </w:trPr>
        <w:tc>
          <w:tcPr>
            <w:tcW w:w="4600" w:type="dxa"/>
            <w:vAlign w:val="bottom"/>
          </w:tcPr>
          <w:p>
            <w:pPr>
              <w:ind w:left="480"/>
              <w:spacing w:after="0"/>
              <w:rPr>
                <w:sz w:val="20"/>
                <w:szCs w:val="20"/>
                <w:color w:val="auto"/>
              </w:rPr>
            </w:pPr>
            <w:r>
              <w:rPr>
                <w:rFonts w:ascii="Arial" w:cs="Arial" w:eastAsia="Arial" w:hAnsi="Arial"/>
                <w:sz w:val="18"/>
                <w:szCs w:val="18"/>
                <w:b w:val="1"/>
                <w:bCs w:val="1"/>
                <w:color w:val="auto"/>
              </w:rPr>
              <w:t>TOTAL EXPENSES</w:t>
            </w: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gains and other (expense) income, net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ILG acquisition-related costs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INCOME (LOSS) BEFORE INCOME TAXES AND</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(LOSS) INCOME ATTRIBUTABLE TO COMMON</w:t>
            </w:r>
          </w:p>
        </w:tc>
        <w:tc>
          <w:tcPr>
            <w:tcW w:w="520" w:type="dxa"/>
            <w:vAlign w:val="bottom"/>
            <w:vMerge w:val="restart"/>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w:t>
            </w: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w w:val="98"/>
              </w:rPr>
              <w:t>Change Excluding</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26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Pr>
          <w:p>
            <w:pPr>
              <w:spacing w:after="0"/>
              <w:rPr>
                <w:sz w:val="20"/>
                <w:szCs w:val="20"/>
                <w:color w:val="auto"/>
              </w:rPr>
            </w:pPr>
          </w:p>
        </w:tc>
        <w:tc>
          <w:tcPr>
            <w:tcW w:w="17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Vacation Ownership</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Total contract sales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2</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 contract sales</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2</w:t>
            </w:r>
          </w:p>
        </w:tc>
        <w:tc>
          <w:tcPr>
            <w:tcW w:w="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Exchange &amp; Third-Party Management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active members at end of period (000's)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400" w:type="dxa"/>
            <w:vAlign w:val="bottom"/>
          </w:tcPr>
          <w:p>
            <w:pPr>
              <w:ind w:left="28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18"/>
                <w:szCs w:val="18"/>
                <w:color w:val="auto"/>
                <w:vertAlign w:val="superscript"/>
              </w:rPr>
              <w:t>(1)</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22"/>
                <w:szCs w:val="22"/>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rPr>
              <w:t>_______________</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440" w:hanging="652"/>
        <w:spacing w:after="0" w:line="399"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 xml:space="preserve">Only includes members of the Interval International exchange network. </w:t>
      </w:r>
      <w:r>
        <w:rPr>
          <w:rFonts w:ascii="Arial" w:cs="Arial" w:eastAsia="Arial" w:hAnsi="Arial"/>
          <w:sz w:val="18"/>
          <w:szCs w:val="18"/>
          <w:i w:val="1"/>
          <w:iCs w:val="1"/>
          <w:color w:val="auto"/>
        </w:rPr>
        <w:t>2019 First Three Quarters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ind w:left="26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w w:val="98"/>
              </w:rPr>
              <w:t>Change Excluding</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26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Pr>
          <w:p>
            <w:pPr>
              <w:spacing w:after="0"/>
              <w:rPr>
                <w:sz w:val="20"/>
                <w:szCs w:val="20"/>
                <w:color w:val="auto"/>
              </w:rPr>
            </w:pPr>
          </w:p>
        </w:tc>
        <w:tc>
          <w:tcPr>
            <w:tcW w:w="17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Vacation Ownership</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Total contract sales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445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35</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 contract sales</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35</w:t>
            </w:r>
          </w:p>
        </w:tc>
        <w:tc>
          <w:tcPr>
            <w:tcW w:w="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Exchange &amp; Third-Party Management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active members at end of period (000's)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400" w:type="dxa"/>
            <w:vAlign w:val="bottom"/>
          </w:tcPr>
          <w:p>
            <w:pPr>
              <w:ind w:left="280"/>
              <w:spacing w:after="0"/>
              <w:rPr>
                <w:sz w:val="20"/>
                <w:szCs w:val="20"/>
                <w:color w:val="auto"/>
              </w:rPr>
            </w:pPr>
            <w:r>
              <w:rPr>
                <w:rFonts w:ascii="Arial" w:cs="Arial" w:eastAsia="Arial" w:hAnsi="Arial"/>
                <w:sz w:val="18"/>
                <w:szCs w:val="18"/>
                <w:color w:val="auto"/>
              </w:rPr>
              <w:t>Average revenue per member</w:t>
            </w:r>
            <w:r>
              <w:rPr>
                <w:rFonts w:ascii="Arial" w:cs="Arial" w:eastAsia="Arial" w:hAnsi="Arial"/>
                <w:sz w:val="18"/>
                <w:szCs w:val="18"/>
                <w:color w:val="auto"/>
                <w:vertAlign w:val="superscript"/>
              </w:rPr>
              <w:t>(1)</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130.21</w:t>
            </w:r>
          </w:p>
        </w:tc>
        <w:tc>
          <w:tcPr>
            <w:tcW w:w="100" w:type="dxa"/>
            <w:vAlign w:val="bottom"/>
          </w:tcPr>
          <w:p>
            <w:pPr>
              <w:spacing w:after="0"/>
              <w:rPr>
                <w:sz w:val="22"/>
                <w:szCs w:val="22"/>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117.71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400" w:type="dxa"/>
            <w:vAlign w:val="bottom"/>
          </w:tcPr>
          <w:p>
            <w:pPr>
              <w:spacing w:after="0"/>
              <w:rPr>
                <w:sz w:val="20"/>
                <w:szCs w:val="20"/>
                <w:color w:val="auto"/>
              </w:rPr>
            </w:pPr>
            <w:r>
              <w:rPr>
                <w:rFonts w:ascii="Arial" w:cs="Arial" w:eastAsia="Arial" w:hAnsi="Arial"/>
                <w:sz w:val="18"/>
                <w:szCs w:val="18"/>
                <w:color w:val="auto"/>
              </w:rPr>
              <w:t>_______________</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540" w:right="5440" w:hanging="5532"/>
        <w:spacing w:after="0" w:line="569" w:lineRule="auto"/>
        <w:tabs>
          <w:tab w:leader="none" w:pos="662"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Only includes members of the Interval International exchange network. 61</w:t>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1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following table presents our revenues for the third quarter of 2019 compared to the third quarter of 2018 and, as a result of the ILG Acquisition on September 1, 2018, includes results for Legacy-ILG for the third quarter of 2019 and for the month of September during the third quarter of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Pr>
          <w:p>
            <w:pPr>
              <w:spacing w:after="0"/>
              <w:rPr>
                <w:sz w:val="20"/>
                <w:szCs w:val="20"/>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9"/>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1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following table presents our revenues for the first three quarters of 2019 compared to the first three quarters of 2018 and, as a result of the ILG Acquisition on September 1, 2018, includes results for Legacy-ILG for the first three quarters of 2019 and for the month of September during the first three quarters of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6"/>
          </w:tcPr>
          <w:p>
            <w:pPr>
              <w:ind w:left="26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4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42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gridSpan w:val="3"/>
          </w:tcPr>
          <w:p>
            <w:pPr>
              <w:jc w:val="right"/>
              <w:ind w:right="119"/>
              <w:spacing w:after="0"/>
              <w:rPr>
                <w:sz w:val="20"/>
                <w:szCs w:val="20"/>
                <w:color w:val="auto"/>
              </w:rPr>
            </w:pPr>
            <w:r>
              <w:rPr>
                <w:rFonts w:ascii="Arial" w:cs="Arial" w:eastAsia="Arial" w:hAnsi="Arial"/>
                <w:sz w:val="18"/>
                <w:szCs w:val="18"/>
                <w:color w:val="auto"/>
                <w:w w:val="99"/>
              </w:rPr>
              <w:t>62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attributable to common shareholders, before interest expense (excluding consumer financing interest expense associated with term loan securitization transactions), income taxes, depreciation and amortization. For purposes of our EBITDA and Adjusted EBITDA calculations, we do not adjust for consumer financing interest expense because we consider it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6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attributable to common shareholders, which is the most directly comparable GAAP financial measure.</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4"/>
                <w:szCs w:val="4"/>
                <w:color w:val="auto"/>
              </w:rPr>
            </w:pPr>
          </w:p>
        </w:tc>
        <w:tc>
          <w:tcPr>
            <w:tcW w:w="108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7"/>
                <w:szCs w:val="17"/>
                <w:color w:val="auto"/>
              </w:rPr>
            </w:pPr>
          </w:p>
        </w:tc>
        <w:tc>
          <w:tcPr>
            <w:tcW w:w="1080" w:type="dxa"/>
            <w:vAlign w:val="bottom"/>
          </w:tcPr>
          <w:p>
            <w:pPr>
              <w:jc w:val="center"/>
              <w:ind w:right="73"/>
              <w:spacing w:after="0"/>
              <w:rPr>
                <w:sz w:val="20"/>
                <w:szCs w:val="20"/>
                <w:color w:val="auto"/>
              </w:rPr>
            </w:pPr>
            <w:r>
              <w:rPr>
                <w:rFonts w:ascii="Arial" w:cs="Arial" w:eastAsia="Arial" w:hAnsi="Arial"/>
                <w:sz w:val="16"/>
                <w:szCs w:val="16"/>
                <w:b w:val="1"/>
                <w:bCs w:val="1"/>
                <w:color w:val="auto"/>
                <w:w w:val="96"/>
              </w:rPr>
              <w:t>Legacy-ILG</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40" w:type="dxa"/>
            <w:vAlign w:val="bottom"/>
          </w:tcPr>
          <w:p>
            <w:pPr>
              <w:spacing w:after="0"/>
              <w:rPr>
                <w:sz w:val="20"/>
                <w:szCs w:val="20"/>
                <w:color w:val="auto"/>
              </w:rPr>
            </w:pPr>
          </w:p>
        </w:tc>
        <w:tc>
          <w:tcPr>
            <w:tcW w:w="1080" w:type="dxa"/>
            <w:vAlign w:val="bottom"/>
          </w:tcPr>
          <w:p>
            <w:pPr>
              <w:jc w:val="center"/>
              <w:ind w:right="53"/>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 (benefit)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462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Certain items for the third quarter of 2019 consisted of $73 million of asset impairment charges, $33 million of acquisition costs (including $32 million of ILG acquisition-related costs and $1 million of other acquisition costs), $5 million of losses and other expenses, $2 million of purchase price adjustments, and $3 million of litigation charges.</w:t>
      </w:r>
    </w:p>
    <w:p>
      <w:pPr>
        <w:spacing w:after="0" w:line="7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Certain items for the third quarter of 2018 consisted of $78 million of ILG acquisition-related costs and $17 million of litigation charges, partially offset by $2 million of gains and other income. The net impact of purchase accounting adjustments to adjusted EBITDA was less than $1 million in the third quarter of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vMerge w:val="restart"/>
          </w:tcPr>
          <w:p>
            <w:pPr>
              <w:ind w:left="48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4"/>
                <w:szCs w:val="4"/>
                <w:color w:val="auto"/>
              </w:rPr>
            </w:pPr>
          </w:p>
        </w:tc>
        <w:tc>
          <w:tcPr>
            <w:tcW w:w="108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7"/>
                <w:szCs w:val="17"/>
                <w:color w:val="auto"/>
              </w:rPr>
            </w:pPr>
          </w:p>
        </w:tc>
        <w:tc>
          <w:tcPr>
            <w:tcW w:w="1080" w:type="dxa"/>
            <w:vAlign w:val="bottom"/>
          </w:tcPr>
          <w:p>
            <w:pPr>
              <w:jc w:val="center"/>
              <w:ind w:right="73"/>
              <w:spacing w:after="0"/>
              <w:rPr>
                <w:sz w:val="20"/>
                <w:szCs w:val="20"/>
                <w:color w:val="auto"/>
              </w:rPr>
            </w:pPr>
            <w:r>
              <w:rPr>
                <w:rFonts w:ascii="Arial" w:cs="Arial" w:eastAsia="Arial" w:hAnsi="Arial"/>
                <w:sz w:val="16"/>
                <w:szCs w:val="16"/>
                <w:b w:val="1"/>
                <w:bCs w:val="1"/>
                <w:color w:val="auto"/>
                <w:w w:val="96"/>
              </w:rPr>
              <w:t>Legacy-ILG</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40" w:type="dxa"/>
            <w:vAlign w:val="bottom"/>
          </w:tcPr>
          <w:p>
            <w:pPr>
              <w:spacing w:after="0"/>
              <w:rPr>
                <w:sz w:val="20"/>
                <w:szCs w:val="20"/>
                <w:color w:val="auto"/>
              </w:rPr>
            </w:pPr>
          </w:p>
        </w:tc>
        <w:tc>
          <w:tcPr>
            <w:tcW w:w="1080" w:type="dxa"/>
            <w:vAlign w:val="bottom"/>
          </w:tcPr>
          <w:p>
            <w:pPr>
              <w:jc w:val="center"/>
              <w:ind w:right="53"/>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462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Certain items for the first three quarters of 2019 consisted of $99 million of asset impairment charges, $95 million of acquisition costs (including $94 million of ILG acquisition-related costs and $1 million of other acquisition costs), $7 million of purchase price adjustments, $5 million of litigation charges, and $1 million of other severance costs, partially offset by $5 million of miscellaneous gains and other income.</w:t>
      </w:r>
    </w:p>
    <w:p>
      <w:pPr>
        <w:spacing w:after="0" w:line="5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Certain items for the first three quarters of 2018 consisted of $101 million of acquisition costs (including $98 million of ILG acquisition-related costs and $3 million of acquisition costs associated with the then anticipated capital efficient acquisition of the operating property in San Francisco), $33 million of litigation charges (including $17 million related to a project in Hawaii, $11 million related to a project in San Francisco and $5 million related to a project in Lake Tahoe), and $6 million of losses and other expenses primarily resulting from fraudulently induced electronic payment disbursements made to third parties, partially offset by $1 million favorable true-up of previously recorded costs associated with the 2017 Hurricanes (recorded in Gains and other income) and $1 million of miscellaneous gains and other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4"/>
                <w:szCs w:val="4"/>
                <w:color w:val="auto"/>
              </w:rPr>
            </w:pPr>
          </w:p>
        </w:tc>
        <w:tc>
          <w:tcPr>
            <w:tcW w:w="108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7"/>
                <w:szCs w:val="17"/>
                <w:color w:val="auto"/>
              </w:rPr>
            </w:pPr>
          </w:p>
        </w:tc>
        <w:tc>
          <w:tcPr>
            <w:tcW w:w="108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Legacy-ILG</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14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40" w:type="dxa"/>
            <w:vAlign w:val="bottom"/>
          </w:tcPr>
          <w:p>
            <w:pPr>
              <w:spacing w:after="0"/>
              <w:rPr>
                <w:sz w:val="20"/>
                <w:szCs w:val="20"/>
                <w:color w:val="auto"/>
              </w:rPr>
            </w:pPr>
          </w:p>
        </w:tc>
        <w:tc>
          <w:tcPr>
            <w:tcW w:w="1080" w:type="dxa"/>
            <w:vAlign w:val="bottom"/>
          </w:tcPr>
          <w:p>
            <w:pPr>
              <w:jc w:val="center"/>
              <w:ind w:right="54"/>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1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660"/>
              <w:spacing w:after="0"/>
              <w:rPr>
                <w:sz w:val="20"/>
                <w:szCs w:val="20"/>
                <w:color w:val="auto"/>
              </w:rPr>
            </w:pPr>
            <w:r>
              <w:rPr>
                <w:rFonts w:ascii="Arial" w:cs="Arial" w:eastAsia="Arial" w:hAnsi="Arial"/>
                <w:sz w:val="18"/>
                <w:szCs w:val="18"/>
                <w:i w:val="1"/>
                <w:iCs w:val="1"/>
                <w:color w:val="auto"/>
              </w:rPr>
              <w:t>2019 First Three Quarters</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93"/>
              </w:rPr>
              <w:t>Nine Months Ended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4"/>
                <w:szCs w:val="4"/>
                <w:color w:val="auto"/>
              </w:rPr>
            </w:pPr>
          </w:p>
        </w:tc>
        <w:tc>
          <w:tcPr>
            <w:tcW w:w="108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7"/>
                <w:szCs w:val="17"/>
                <w:color w:val="auto"/>
              </w:rPr>
            </w:pPr>
          </w:p>
        </w:tc>
        <w:tc>
          <w:tcPr>
            <w:tcW w:w="108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Legacy-ILG</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14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40" w:type="dxa"/>
            <w:vAlign w:val="bottom"/>
          </w:tcPr>
          <w:p>
            <w:pPr>
              <w:spacing w:after="0"/>
              <w:rPr>
                <w:sz w:val="20"/>
                <w:szCs w:val="20"/>
                <w:color w:val="auto"/>
              </w:rPr>
            </w:pPr>
          </w:p>
        </w:tc>
        <w:tc>
          <w:tcPr>
            <w:tcW w:w="1080" w:type="dxa"/>
            <w:vAlign w:val="bottom"/>
          </w:tcPr>
          <w:p>
            <w:pPr>
              <w:jc w:val="center"/>
              <w:ind w:right="54"/>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1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Adjusted EBITDA for our reportable segments reconciled to segment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vMerge w:val="restart"/>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4"/>
                <w:szCs w:val="4"/>
                <w:color w:val="auto"/>
              </w:rPr>
            </w:pPr>
          </w:p>
        </w:tc>
        <w:tc>
          <w:tcPr>
            <w:tcW w:w="108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7"/>
                <w:szCs w:val="17"/>
                <w:color w:val="auto"/>
              </w:rPr>
            </w:pPr>
          </w:p>
        </w:tc>
        <w:tc>
          <w:tcPr>
            <w:tcW w:w="108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Legacy-ILG</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40" w:type="dxa"/>
            <w:vAlign w:val="bottom"/>
          </w:tcPr>
          <w:p>
            <w:pPr>
              <w:spacing w:after="0"/>
              <w:rPr>
                <w:sz w:val="20"/>
                <w:szCs w:val="20"/>
                <w:color w:val="auto"/>
              </w:rPr>
            </w:pPr>
          </w:p>
        </w:tc>
        <w:tc>
          <w:tcPr>
            <w:tcW w:w="1080" w:type="dxa"/>
            <w:vAlign w:val="bottom"/>
          </w:tcPr>
          <w:p>
            <w:pPr>
              <w:jc w:val="center"/>
              <w:ind w:right="54"/>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Certain items in the Vacation Ownership segment for the third quarter of 2019 consisted of $73 million of asset impairment charges, $2 million of purchase accounting adjustments, $2 million of litigation charges, and $1 million of acquisition costs, partially offset by $1 million of gains and other income.</w:t>
      </w:r>
    </w:p>
    <w:p>
      <w:pPr>
        <w:spacing w:after="0" w:line="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Certain items in the Vacation Ownership segment for the third quarter of 2018 consisted of $17 million of litigation charges related to a project in Hawaii, partially offset by $1 million of gains and other income and $1 million of purchase accounting adjustments.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vMerge w:val="restart"/>
          </w:tcPr>
          <w:p>
            <w:pPr>
              <w:ind w:left="48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4"/>
                <w:szCs w:val="4"/>
                <w:color w:val="auto"/>
              </w:rPr>
            </w:pPr>
          </w:p>
        </w:tc>
        <w:tc>
          <w:tcPr>
            <w:tcW w:w="108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7"/>
                <w:szCs w:val="17"/>
                <w:color w:val="auto"/>
              </w:rPr>
            </w:pPr>
          </w:p>
        </w:tc>
        <w:tc>
          <w:tcPr>
            <w:tcW w:w="108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Legacy-ILG</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40" w:type="dxa"/>
            <w:vAlign w:val="bottom"/>
          </w:tcPr>
          <w:p>
            <w:pPr>
              <w:spacing w:after="0"/>
              <w:rPr>
                <w:sz w:val="20"/>
                <w:szCs w:val="20"/>
                <w:color w:val="auto"/>
              </w:rPr>
            </w:pPr>
          </w:p>
        </w:tc>
        <w:tc>
          <w:tcPr>
            <w:tcW w:w="1080" w:type="dxa"/>
            <w:vAlign w:val="bottom"/>
          </w:tcPr>
          <w:p>
            <w:pPr>
              <w:jc w:val="center"/>
              <w:ind w:right="54"/>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Certain items in the Vacation Ownership segment for the first three quarters of 2019 consisted of $99 million of asset impairment charges, $7 million of purchase accounting adjustments, $4 million of litigation charges, and $1 million of acquisition costs, partially offset by $9 million of gains and other income.</w:t>
      </w:r>
    </w:p>
    <w:p>
      <w:pPr>
        <w:spacing w:after="0" w:line="7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Certain items in the Vacation Ownership segment for the first three quarters of 2018 consisted of $33 million of litigation charges (including $17 million related to a project in Hawaii, $11 million related to a project in San Francisco and $5 million related to a project in Lake Tahoe) and $3 million of acquisition costs associated with the then anticipated capital efficient acquisition of the operating property in San Francisco, partially offset by a $2 million of gains and other income and $1 million of purchase accounting adjustments.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60" w:type="dxa"/>
            <w:vAlign w:val="bottom"/>
            <w:gridSpan w:val="3"/>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8"/>
        </w:trPr>
        <w:tc>
          <w:tcPr>
            <w:tcW w:w="68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2019</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2018</w:t>
            </w:r>
          </w:p>
        </w:tc>
        <w:tc>
          <w:tcPr>
            <w:tcW w:w="220" w:type="dxa"/>
            <w:vAlign w:val="bottom"/>
          </w:tcPr>
          <w:p>
            <w:pPr>
              <w:spacing w:after="0"/>
              <w:rPr>
                <w:sz w:val="22"/>
                <w:szCs w:val="22"/>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r>
      <w:tr>
        <w:trPr>
          <w:trHeight w:val="249"/>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460" w:type="dxa"/>
            <w:vAlign w:val="bottom"/>
            <w:tcBorders>
              <w:top w:val="single" w:sz="8" w:color="auto"/>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4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items in the Exchange &amp; Third-Party Management segment for the third quarter of 2019 consisted of $1 million of gains and other income.</w:t>
      </w:r>
    </w:p>
    <w:p>
      <w:pPr>
        <w:sectPr>
          <w:pgSz w:w="11900" w:h="16838" w:orient="portrait"/>
          <w:cols w:equalWidth="0" w:num="1">
            <w:col w:w="11240"/>
          </w:cols>
          <w:pgMar w:left="320" w:top="125" w:right="339" w:bottom="1440" w:gutter="0" w:footer="0" w:header="0"/>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3"/>
          </w:tcPr>
          <w:p>
            <w:pPr>
              <w:jc w:val="right"/>
              <w:ind w:right="173"/>
              <w:spacing w:after="0"/>
              <w:rPr>
                <w:sz w:val="20"/>
                <w:szCs w:val="20"/>
                <w:color w:val="auto"/>
              </w:rPr>
            </w:pPr>
            <w:r>
              <w:rPr>
                <w:rFonts w:ascii="Arial" w:cs="Arial" w:eastAsia="Arial" w:hAnsi="Arial"/>
                <w:sz w:val="16"/>
                <w:szCs w:val="16"/>
                <w:b w:val="1"/>
                <w:bCs w:val="1"/>
                <w:color w:val="auto"/>
              </w:rPr>
              <w:t>Nine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8"/>
        </w:trPr>
        <w:tc>
          <w:tcPr>
            <w:tcW w:w="68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2019</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2018</w:t>
            </w:r>
          </w:p>
        </w:tc>
        <w:tc>
          <w:tcPr>
            <w:tcW w:w="220" w:type="dxa"/>
            <w:vAlign w:val="bottom"/>
          </w:tcPr>
          <w:p>
            <w:pPr>
              <w:spacing w:after="0"/>
              <w:rPr>
                <w:sz w:val="22"/>
                <w:szCs w:val="22"/>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480" w:type="dxa"/>
            <w:vAlign w:val="bottom"/>
            <w:tcBorders>
              <w:top w:val="single" w:sz="8" w:color="auto"/>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share-based compensation expense</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4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r>
      <w:tr>
        <w:trPr>
          <w:trHeight w:val="20"/>
        </w:trPr>
        <w:tc>
          <w:tcPr>
            <w:tcW w:w="6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Certain items in the Exchange &amp; Third-Party Management segment for the first three quarters of 2019 consisted of $1 million of purchase accounting adjustments, offset by of $1 million of gains and other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business is grouped into two reportable business segments: Vacation Ownership and Exchange &amp; Third-Party Management. See Footnote 18 “Business Segments” to our Financial Statements for further information on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gridSpan w:val="3"/>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gridSpan w:val="3"/>
          </w:tcPr>
          <w:p>
            <w:pPr>
              <w:jc w:val="right"/>
              <w:ind w:right="113"/>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68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5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September 30, 2018</w:t>
            </w:r>
          </w:p>
        </w:tc>
        <w:tc>
          <w:tcPr>
            <w:tcW w:w="0" w:type="dxa"/>
            <w:vAlign w:val="bottom"/>
          </w:tcPr>
          <w:p>
            <w:pPr>
              <w:spacing w:after="0"/>
              <w:rPr>
                <w:sz w:val="1"/>
                <w:szCs w:val="1"/>
                <w:color w:val="auto"/>
              </w:rPr>
            </w:pPr>
          </w:p>
        </w:tc>
      </w:tr>
      <w:tr>
        <w:trPr>
          <w:trHeight w:val="24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540" w:type="dxa"/>
            <w:vAlign w:val="bottom"/>
          </w:tcPr>
          <w:p>
            <w:pPr>
              <w:jc w:val="right"/>
              <w:ind w:right="33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Rental</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Rental</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charges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37"/>
        </w:trPr>
        <w:tc>
          <w:tcPr>
            <w:tcW w:w="4600" w:type="dxa"/>
            <w:vAlign w:val="bottom"/>
          </w:tcPr>
          <w:p>
            <w:pPr>
              <w:ind w:left="280"/>
              <w:spacing w:after="0"/>
              <w:rPr>
                <w:sz w:val="20"/>
                <w:szCs w:val="20"/>
                <w:color w:val="auto"/>
              </w:rPr>
            </w:pPr>
            <w:r>
              <w:rPr>
                <w:rFonts w:ascii="Arial" w:cs="Arial" w:eastAsia="Arial" w:hAnsi="Arial"/>
                <w:sz w:val="18"/>
                <w:szCs w:val="18"/>
                <w:color w:val="auto"/>
              </w:rPr>
              <w:t>Gains and other income, net</w:t>
            </w: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460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SEGMENT FINANCIAL RESULTS BEFORE</w:t>
            </w:r>
          </w:p>
        </w:tc>
        <w:tc>
          <w:tcPr>
            <w:tcW w:w="5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5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60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SEGMENT FINANCIAL RESULTS ATTRIBUTABLE</w:t>
            </w:r>
          </w:p>
        </w:tc>
        <w:tc>
          <w:tcPr>
            <w:tcW w:w="52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7"/>
                <w:szCs w:val="17"/>
                <w:color w:val="auto"/>
              </w:rPr>
            </w:pPr>
          </w:p>
        </w:tc>
        <w:tc>
          <w:tcPr>
            <w:tcW w:w="940" w:type="dxa"/>
            <w:vAlign w:val="bottom"/>
            <w:tcBorders>
              <w:top w:val="single" w:sz="8" w:color="auto"/>
            </w:tcBorders>
            <w:vMerge w:val="restart"/>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54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7"/>
                <w:szCs w:val="17"/>
                <w:color w:val="auto"/>
              </w:rPr>
            </w:pPr>
          </w:p>
        </w:tc>
        <w:tc>
          <w:tcPr>
            <w:tcW w:w="860" w:type="dxa"/>
            <w:vAlign w:val="bottom"/>
            <w:tcBorders>
              <w:top w:val="single" w:sz="8" w:color="auto"/>
            </w:tcBorders>
            <w:vMerge w:val="restart"/>
          </w:tcPr>
          <w:p>
            <w:pPr>
              <w:jc w:val="right"/>
              <w:ind w:right="653"/>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6"/>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TO COMMON SHAREHOLDERS</w:t>
            </w:r>
          </w:p>
        </w:tc>
        <w:tc>
          <w:tcPr>
            <w:tcW w:w="5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center"/>
              <w:ind w:left="52"/>
              <w:spacing w:after="0"/>
              <w:rPr>
                <w:sz w:val="20"/>
                <w:szCs w:val="20"/>
                <w:color w:val="auto"/>
              </w:rPr>
            </w:pPr>
            <w:r>
              <w:rPr>
                <w:rFonts w:ascii="Arial" w:cs="Arial" w:eastAsia="Arial" w:hAnsi="Arial"/>
                <w:sz w:val="16"/>
                <w:szCs w:val="16"/>
                <w:b w:val="1"/>
                <w:bCs w:val="1"/>
                <w:color w:val="auto"/>
                <w:w w:val="93"/>
              </w:rPr>
              <w:t>Three Months Ended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90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740" w:type="dxa"/>
            <w:vAlign w:val="bottom"/>
          </w:tcPr>
          <w:p>
            <w:pPr>
              <w:jc w:val="center"/>
              <w:ind w:left="295"/>
              <w:spacing w:after="0"/>
              <w:rPr>
                <w:sz w:val="20"/>
                <w:szCs w:val="20"/>
                <w:color w:val="auto"/>
              </w:rPr>
            </w:pPr>
            <w:r>
              <w:rPr>
                <w:rFonts w:ascii="Arial" w:cs="Arial" w:eastAsia="Arial" w:hAnsi="Arial"/>
                <w:sz w:val="16"/>
                <w:szCs w:val="16"/>
                <w:b w:val="1"/>
                <w:bCs w:val="1"/>
                <w:color w:val="auto"/>
                <w:w w:val="89"/>
              </w:rPr>
              <w:t>2018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Pr>
          <w:p>
            <w:pPr>
              <w:spacing w:after="0"/>
              <w:rPr>
                <w:sz w:val="20"/>
                <w:szCs w:val="20"/>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9"/>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contract sales</w:t>
            </w: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Joint venture contract sales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contract sales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660"/>
              <w:spacing w:after="0"/>
              <w:rPr>
                <w:sz w:val="20"/>
                <w:szCs w:val="20"/>
                <w:color w:val="auto"/>
              </w:rPr>
            </w:pPr>
            <w:r>
              <w:rPr>
                <w:rFonts w:ascii="Arial" w:cs="Arial" w:eastAsia="Arial" w:hAnsi="Arial"/>
                <w:sz w:val="18"/>
                <w:szCs w:val="18"/>
                <w:i w:val="1"/>
                <w:iCs w:val="1"/>
                <w:color w:val="auto"/>
              </w:rPr>
              <w:t>2019 First Three Quarters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jc w:val="center"/>
              <w:ind w:left="72"/>
              <w:spacing w:after="0"/>
              <w:rPr>
                <w:sz w:val="20"/>
                <w:szCs w:val="20"/>
                <w:color w:val="auto"/>
              </w:rPr>
            </w:pPr>
            <w:r>
              <w:rPr>
                <w:rFonts w:ascii="Arial" w:cs="Arial" w:eastAsia="Arial" w:hAnsi="Arial"/>
                <w:sz w:val="16"/>
                <w:szCs w:val="16"/>
                <w:b w:val="1"/>
                <w:bCs w:val="1"/>
                <w:color w:val="auto"/>
                <w:w w:val="92"/>
              </w:rPr>
              <w:t>Nine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90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740" w:type="dxa"/>
            <w:vAlign w:val="bottom"/>
          </w:tcPr>
          <w:p>
            <w:pPr>
              <w:jc w:val="center"/>
              <w:ind w:left="295"/>
              <w:spacing w:after="0"/>
              <w:rPr>
                <w:sz w:val="20"/>
                <w:szCs w:val="20"/>
                <w:color w:val="auto"/>
              </w:rPr>
            </w:pPr>
            <w:r>
              <w:rPr>
                <w:rFonts w:ascii="Arial" w:cs="Arial" w:eastAsia="Arial" w:hAnsi="Arial"/>
                <w:sz w:val="16"/>
                <w:szCs w:val="16"/>
                <w:b w:val="1"/>
                <w:bCs w:val="1"/>
                <w:color w:val="auto"/>
                <w:w w:val="89"/>
              </w:rPr>
              <w:t>2018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Pr>
          <w:p>
            <w:pPr>
              <w:spacing w:after="0"/>
              <w:rPr>
                <w:sz w:val="20"/>
                <w:szCs w:val="20"/>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9"/>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contract sales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Joint venture contract sales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contract sales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Sale of Vacation Ownership Products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0" w:type="dxa"/>
            <w:vAlign w:val="bottom"/>
          </w:tcPr>
          <w:p>
            <w:pPr>
              <w:ind w:left="660"/>
              <w:spacing w:after="0"/>
              <w:rPr>
                <w:sz w:val="20"/>
                <w:szCs w:val="20"/>
                <w:color w:val="auto"/>
              </w:rPr>
            </w:pPr>
            <w:r>
              <w:rPr>
                <w:rFonts w:ascii="Arial" w:cs="Arial" w:eastAsia="Arial" w:hAnsi="Arial"/>
                <w:sz w:val="18"/>
                <w:szCs w:val="18"/>
                <w:i w:val="1"/>
                <w:iCs w:val="1"/>
                <w:color w:val="auto"/>
              </w:rPr>
              <w:t>2019 Third Quarter</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jc w:val="center"/>
              <w:ind w:left="52"/>
              <w:spacing w:after="0"/>
              <w:rPr>
                <w:sz w:val="20"/>
                <w:szCs w:val="20"/>
                <w:color w:val="auto"/>
              </w:rPr>
            </w:pPr>
            <w:r>
              <w:rPr>
                <w:rFonts w:ascii="Arial" w:cs="Arial" w:eastAsia="Arial" w:hAnsi="Arial"/>
                <w:sz w:val="16"/>
                <w:szCs w:val="16"/>
                <w:b w:val="1"/>
                <w:bCs w:val="1"/>
                <w:color w:val="auto"/>
                <w:w w:val="93"/>
              </w:rPr>
              <w:t>Three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90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20"/>
                <w:szCs w:val="20"/>
                <w:color w:val="auto"/>
              </w:rPr>
            </w:pPr>
          </w:p>
        </w:tc>
        <w:tc>
          <w:tcPr>
            <w:tcW w:w="740" w:type="dxa"/>
            <w:vAlign w:val="bottom"/>
          </w:tcPr>
          <w:p>
            <w:pPr>
              <w:jc w:val="center"/>
              <w:ind w:left="295"/>
              <w:spacing w:after="0"/>
              <w:rPr>
                <w:sz w:val="20"/>
                <w:szCs w:val="20"/>
                <w:color w:val="auto"/>
              </w:rPr>
            </w:pPr>
            <w:r>
              <w:rPr>
                <w:rFonts w:ascii="Arial" w:cs="Arial" w:eastAsia="Arial" w:hAnsi="Arial"/>
                <w:sz w:val="16"/>
                <w:szCs w:val="16"/>
                <w:b w:val="1"/>
                <w:bCs w:val="1"/>
                <w:color w:val="auto"/>
                <w:w w:val="89"/>
              </w:rPr>
              <w:t>2018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Pr>
          <w:p>
            <w:pPr>
              <w:spacing w:after="0"/>
              <w:rPr>
                <w:sz w:val="20"/>
                <w:szCs w:val="20"/>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Less resales contract sales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joint venture contract sales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Consolidated contract sales, net of resales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271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Settlement revenue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Resales 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252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0" w:type="dxa"/>
            <w:vAlign w:val="bottom"/>
          </w:tcPr>
          <w:p>
            <w:pPr>
              <w:jc w:val="center"/>
              <w:ind w:left="3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20" w:hanging="652"/>
        <w:spacing w:after="0" w:line="216"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Excluding the impact of the ILG Acquisition, sale of vacation ownership products decreased $3 million due to higher sales reserve activity and an unfavorable change in reportability, partially offset by the increase in contract sales. Revenue reportability had a greater negative impact in the third quarter of 2019 than the third quarter of 2018 due to a net increase in unclosed contracts during the respective quarters.</w:t>
      </w:r>
    </w:p>
    <w:p>
      <w:pPr>
        <w:spacing w:after="0" w:line="5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higher Legacy-MVW sales reserve reflected a higher required reserve in the third quarter of 2019 due to the increase in financing propensity and slightly higher default activity as compared to the third quarter of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15"/>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w w:val="98"/>
              </w:rPr>
              <w:t>Change Excluding</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Pr>
          <w:p>
            <w:pPr>
              <w:spacing w:after="0"/>
              <w:rPr>
                <w:sz w:val="20"/>
                <w:szCs w:val="20"/>
                <w:color w:val="auto"/>
              </w:rPr>
            </w:pPr>
          </w:p>
        </w:tc>
        <w:tc>
          <w:tcPr>
            <w:tcW w:w="17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719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Less resales contract sales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joint venture contract sales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auto"/>
              </w:rPr>
              <w:t>Consolidated contract sales, net of resales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692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Settlement revenue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Resales 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2"/>
                <w:szCs w:val="22"/>
                <w:color w:val="auto"/>
              </w:rPr>
            </w:pPr>
          </w:p>
        </w:tc>
        <w:tc>
          <w:tcPr>
            <w:tcW w:w="74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632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20" w:hanging="652"/>
        <w:spacing w:after="0" w:line="21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Excluding the impact of the ILG Acquisition, sale of vacation ownership products increased $8 million, driven by the increase in contract sales, partially offset by the unfavorable year-over-year impact of reportability and a higher sales reserve. Revenue reportability had a negative impact in the first three quarters of 2019 and the first three quarters of 2018 due to an increase in unclosed contracts during the respective quarters.</w:t>
      </w:r>
    </w:p>
    <w:p>
      <w:pPr>
        <w:spacing w:after="0" w:line="5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higher Legacy-MVW sales reserve reflected a higher required reserve in the first three quarters of 2019 due to the increase in financing propensity and slightly higher default activity as compared to the first three quarters of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w w:val="98"/>
              </w:rPr>
              <w:t>Change Excluding</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Pr>
          <w:p>
            <w:pPr>
              <w:spacing w:after="0"/>
              <w:rPr>
                <w:sz w:val="20"/>
                <w:szCs w:val="20"/>
                <w:color w:val="auto"/>
              </w:rPr>
            </w:pPr>
          </w:p>
        </w:tc>
        <w:tc>
          <w:tcPr>
            <w:tcW w:w="170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49"/>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00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1.1 pts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Excluding the impact of the ILG Acquisition, development margin increased $4 million year-over-year. The change in Legacy-MVW development margin reflected $7 million related to more efficient marketing and sales spending and $4 million from a favorable mix of inventory being sold, partially offset by $4 million of higher sales reserve expenses, $2 million from unfavorable product cost true-up activity year-over-year, and a $1 million decline due to unfavorable revenue reportability compared to the third quarter of 2018.</w:t>
      </w:r>
    </w:p>
    <w:p>
      <w:pPr>
        <w:spacing w:after="0" w:line="7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increase in the development margin percentage reflected a 2.3 percentage point improvement from Legacy-MVW results, partially offset by a negative 1.2 percentage point impact from the inclusion of Legacy-ILG results post acquisition. The Legacy-MVW results included a 3.4 percentage point improvement in marketing and sales costs due to leveraging fixed costs on the increase in contract sales and a 1.7 percentage point increase due to a favorable mix of lower cost vacation ownership real estate inventory being sold, partially offset by a 1.6 percentage point decline related to sales reserve and other activity year-over-year, a 0.8 percentage point decrease from unfavorable product cost true-up activity, and a 0.4 percentage point decline due to the unfavorable revenue reportability. Legacy-MVW development margin percentage was 25.9 percent in the third quarter of 2019.</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ind w:left="30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Pr>
          <w:p>
            <w:pPr>
              <w:spacing w:after="0"/>
              <w:rPr>
                <w:sz w:val="20"/>
                <w:szCs w:val="20"/>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0" w:type="dxa"/>
            <w:vAlign w:val="bottom"/>
          </w:tcPr>
          <w:p>
            <w:pPr>
              <w:jc w:val="center"/>
              <w:ind w:left="3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00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1.1 pts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Excluding the impact of the ILG Acquisition, development margin increased $14 million year-over-year. The change in Legacy-MVW development margin reflected $18 million related to more efficient marketing and sales spending, $12 million from a favorable mix of inventory being sold, $6 million from higher vacation ownership contract sales volume net of related sales reserve and direct variable expenses (i.e., cost of vacation ownership products and marketing and sales), and $1 million from favorable product cost true-up activity year-over-year, partially offset by a $17 million decline due to unfavorable revenue reportability and $6 million related to higher sales reserve expenses and other activity compared to the first three quarters of 2018.</w:t>
      </w:r>
    </w:p>
    <w:p>
      <w:pPr>
        <w:spacing w:after="0" w:line="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increase in the development margin percentage reflected a 2.1 percentage point improvement from Legacy-MVW results, partially offset by a negative 1.0 percentage point impact from the inclusion of Legacy-ILG results post acquisition. The Legacy-MVW results included a 3.0 percentage point improvement in marketing and sales costs due to leveraging fixed costs on the increase in contract sales and a 2.0 percentage point increase due to a favorable mix of lower cost vacation ownership real estate inventory being sold, partially offset by a 1.8 percentage point decline due to the unfavorable revenue reportability and a 1.1 percentage point decline related to sales reserve and other activity year-over-year. Legacy-MVW development margin percentage was 21.6 percent in the first three quarters of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380" w:type="dxa"/>
            <w:vAlign w:val="bottom"/>
            <w:gridSpan w:val="2"/>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1160" w:type="dxa"/>
            <w:vAlign w:val="bottom"/>
          </w:tcPr>
          <w:p>
            <w:pPr>
              <w:spacing w:after="0"/>
              <w:rPr>
                <w:sz w:val="18"/>
                <w:szCs w:val="18"/>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7"/>
              </w:rPr>
              <w:t>due to</w:t>
            </w:r>
          </w:p>
        </w:tc>
        <w:tc>
          <w:tcPr>
            <w:tcW w:w="1660" w:type="dxa"/>
            <w:vAlign w:val="bottom"/>
          </w:tcPr>
          <w:p>
            <w:pPr>
              <w:jc w:val="center"/>
              <w:ind w:left="199"/>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160" w:type="dxa"/>
            <w:vAlign w:val="bottom"/>
          </w:tcPr>
          <w:p>
            <w:pPr>
              <w:ind w:left="360"/>
              <w:spacing w:after="0"/>
              <w:rPr>
                <w:sz w:val="20"/>
                <w:szCs w:val="20"/>
                <w:color w:val="auto"/>
              </w:rPr>
            </w:pPr>
            <w:r>
              <w:rPr>
                <w:rFonts w:ascii="Arial" w:cs="Arial" w:eastAsia="Arial" w:hAnsi="Arial"/>
                <w:sz w:val="16"/>
                <w:szCs w:val="16"/>
                <w:b w:val="1"/>
                <w:bCs w:val="1"/>
                <w:color w:val="auto"/>
              </w:rPr>
              <w:t>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8"/>
              </w:rPr>
              <w:t>Legacy-ILG</w:t>
            </w:r>
          </w:p>
        </w:tc>
        <w:tc>
          <w:tcPr>
            <w:tcW w:w="1660" w:type="dxa"/>
            <w:vAlign w:val="bottom"/>
          </w:tcPr>
          <w:p>
            <w:pPr>
              <w:jc w:val="center"/>
              <w:ind w:left="199"/>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Management fee revenues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Ancillary 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management and exchange 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Resort management and other services revenues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Resort management and other services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Resort management and other services margin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Resort management and other services margin percentage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720" w:type="dxa"/>
            <w:vAlign w:val="bottom"/>
          </w:tcPr>
          <w:p>
            <w:pPr>
              <w:jc w:val="center"/>
              <w:ind w:left="290"/>
              <w:spacing w:after="0"/>
              <w:rPr>
                <w:sz w:val="20"/>
                <w:szCs w:val="20"/>
                <w:color w:val="auto"/>
              </w:rPr>
            </w:pPr>
            <w:r>
              <w:rPr>
                <w:rFonts w:ascii="Arial" w:cs="Arial" w:eastAsia="Arial" w:hAnsi="Arial"/>
                <w:sz w:val="18"/>
                <w:szCs w:val="18"/>
                <w:color w:val="auto"/>
                <w:w w:val="99"/>
              </w:rPr>
              <w:t>—%</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2"/>
              </w:rPr>
              <w:t>2%</w:t>
            </w:r>
          </w:p>
        </w:tc>
      </w:tr>
      <w:tr>
        <w:trPr>
          <w:trHeight w:val="270"/>
        </w:trPr>
        <w:tc>
          <w:tcPr>
            <w:tcW w:w="44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left="290"/>
              <w:spacing w:after="0"/>
              <w:rPr>
                <w:sz w:val="20"/>
                <w:szCs w:val="20"/>
                <w:color w:val="auto"/>
              </w:rPr>
            </w:pPr>
            <w:r>
              <w:rPr>
                <w:rFonts w:ascii="Arial" w:cs="Arial" w:eastAsia="Arial" w:hAnsi="Arial"/>
                <w:sz w:val="18"/>
                <w:szCs w:val="18"/>
                <w:color w:val="auto"/>
                <w:w w:val="99"/>
              </w:rPr>
              <w:t>—%</w:t>
            </w:r>
          </w:p>
        </w:tc>
      </w:tr>
      <w:tr>
        <w:trPr>
          <w:trHeight w:val="27"/>
        </w:trPr>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2"/>
              </w:rPr>
              <w:t>2%</w:t>
            </w:r>
          </w:p>
        </w:tc>
      </w:tr>
      <w:tr>
        <w:trPr>
          <w:trHeight w:val="270"/>
        </w:trPr>
        <w:tc>
          <w:tcPr>
            <w:tcW w:w="4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left="290"/>
              <w:spacing w:after="0"/>
              <w:rPr>
                <w:sz w:val="20"/>
                <w:szCs w:val="20"/>
                <w:color w:val="auto"/>
              </w:rPr>
            </w:pPr>
            <w:r>
              <w:rPr>
                <w:rFonts w:ascii="Arial" w:cs="Arial" w:eastAsia="Arial" w:hAnsi="Arial"/>
                <w:sz w:val="18"/>
                <w:szCs w:val="18"/>
                <w:color w:val="auto"/>
                <w:w w:val="99"/>
              </w:rPr>
              <w:t>—%</w:t>
            </w:r>
          </w:p>
        </w:tc>
      </w:tr>
      <w:tr>
        <w:trPr>
          <w:trHeight w:val="27"/>
        </w:trPr>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57"/>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2"/>
              </w:rPr>
              <w:t>4%</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-728345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-376555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-16510</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317"/>
              <w:spacing w:after="0"/>
              <w:rPr>
                <w:sz w:val="20"/>
                <w:szCs w:val="20"/>
                <w:color w:val="auto"/>
              </w:rPr>
            </w:pPr>
            <w:r>
              <w:rPr>
                <w:rFonts w:ascii="Arial" w:cs="Arial" w:eastAsia="Arial" w:hAnsi="Arial"/>
                <w:sz w:val="18"/>
                <w:szCs w:val="18"/>
                <w:color w:val="auto"/>
              </w:rPr>
              <w:t>46.9%</w:t>
            </w:r>
          </w:p>
        </w:tc>
        <w:tc>
          <w:tcPr>
            <w:tcW w:w="1180" w:type="dxa"/>
            <w:vAlign w:val="bottom"/>
          </w:tcPr>
          <w:p>
            <w:pPr>
              <w:jc w:val="right"/>
              <w:ind w:right="236"/>
              <w:spacing w:after="0"/>
              <w:rPr>
                <w:sz w:val="20"/>
                <w:szCs w:val="20"/>
                <w:color w:val="auto"/>
              </w:rPr>
            </w:pPr>
            <w:r>
              <w:rPr>
                <w:rFonts w:ascii="Arial" w:cs="Arial" w:eastAsia="Arial" w:hAnsi="Arial"/>
                <w:sz w:val="18"/>
                <w:szCs w:val="18"/>
                <w:color w:val="auto"/>
              </w:rPr>
              <w:t>47.6%</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(0.7 pts)</w:t>
            </w:r>
          </w:p>
        </w:tc>
        <w:tc>
          <w:tcPr>
            <w:tcW w:w="1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2380" w:type="dxa"/>
            <w:vAlign w:val="bottom"/>
            <w:gridSpan w:val="2"/>
          </w:tcPr>
          <w:p>
            <w:pPr>
              <w:ind w:left="520"/>
              <w:spacing w:after="0"/>
              <w:rPr>
                <w:sz w:val="20"/>
                <w:szCs w:val="20"/>
                <w:color w:val="auto"/>
              </w:rPr>
            </w:pPr>
            <w:r>
              <w:rPr>
                <w:rFonts w:ascii="Arial" w:cs="Arial" w:eastAsia="Arial" w:hAnsi="Arial"/>
                <w:sz w:val="16"/>
                <w:szCs w:val="16"/>
                <w:b w:val="1"/>
                <w:bCs w:val="1"/>
                <w:color w:val="auto"/>
              </w:rPr>
              <w:t>Nine Months Ended</w:t>
            </w:r>
          </w:p>
        </w:tc>
        <w:tc>
          <w:tcPr>
            <w:tcW w:w="118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80"/>
              <w:spacing w:after="0"/>
              <w:rPr>
                <w:sz w:val="20"/>
                <w:szCs w:val="20"/>
                <w:color w:val="auto"/>
              </w:rPr>
            </w:pPr>
            <w:r>
              <w:rPr>
                <w:rFonts w:ascii="Arial" w:cs="Arial" w:eastAsia="Arial" w:hAnsi="Arial"/>
                <w:sz w:val="16"/>
                <w:szCs w:val="16"/>
                <w:b w:val="1"/>
                <w:bCs w:val="1"/>
                <w:color w:val="auto"/>
              </w:rPr>
              <w:t>September 30,</w:t>
            </w: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w w:val="95"/>
              </w:rPr>
              <w:t>September 30,</w:t>
            </w:r>
          </w:p>
        </w:tc>
        <w:tc>
          <w:tcPr>
            <w:tcW w:w="1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7"/>
              </w:rPr>
              <w:t>due to</w:t>
            </w:r>
          </w:p>
        </w:tc>
        <w:tc>
          <w:tcPr>
            <w:tcW w:w="1660" w:type="dxa"/>
            <w:vAlign w:val="bottom"/>
          </w:tcPr>
          <w:p>
            <w:pPr>
              <w:jc w:val="center"/>
              <w:ind w:left="199"/>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0"/>
        </w:trPr>
        <w:tc>
          <w:tcPr>
            <w:tcW w:w="1200" w:type="dxa"/>
            <w:vAlign w:val="bottom"/>
          </w:tcPr>
          <w:p>
            <w:pPr>
              <w:jc w:val="right"/>
              <w:ind w:right="377"/>
              <w:spacing w:after="0"/>
              <w:rPr>
                <w:sz w:val="20"/>
                <w:szCs w:val="20"/>
                <w:color w:val="auto"/>
              </w:rPr>
            </w:pPr>
            <w:r>
              <w:rPr>
                <w:rFonts w:ascii="Arial" w:cs="Arial" w:eastAsia="Arial" w:hAnsi="Arial"/>
                <w:sz w:val="16"/>
                <w:szCs w:val="16"/>
                <w:b w:val="1"/>
                <w:bCs w:val="1"/>
                <w:color w:val="auto"/>
              </w:rPr>
              <w:t>2019</w:t>
            </w:r>
          </w:p>
        </w:tc>
        <w:tc>
          <w:tcPr>
            <w:tcW w:w="1180" w:type="dxa"/>
            <w:vAlign w:val="bottom"/>
          </w:tcPr>
          <w:p>
            <w:pPr>
              <w:jc w:val="right"/>
              <w:ind w:right="316"/>
              <w:spacing w:after="0"/>
              <w:rPr>
                <w:sz w:val="20"/>
                <w:szCs w:val="20"/>
                <w:color w:val="auto"/>
              </w:rPr>
            </w:pPr>
            <w:r>
              <w:rPr>
                <w:rFonts w:ascii="Arial" w:cs="Arial" w:eastAsia="Arial" w:hAnsi="Arial"/>
                <w:sz w:val="16"/>
                <w:szCs w:val="16"/>
                <w:b w:val="1"/>
                <w:bCs w:val="1"/>
                <w:color w:val="auto"/>
              </w:rPr>
              <w:t>2018</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Legacy-ILG</w:t>
            </w:r>
          </w:p>
        </w:tc>
        <w:tc>
          <w:tcPr>
            <w:tcW w:w="1660" w:type="dxa"/>
            <w:vAlign w:val="bottom"/>
          </w:tcPr>
          <w:p>
            <w:pPr>
              <w:jc w:val="center"/>
              <w:ind w:left="199"/>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20955</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4180" w:space="220"/>
            <w:col w:w="6840"/>
          </w:cols>
          <w:pgMar w:left="320" w:top="125"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Management fee revenues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Ancillary 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management and exchange revenues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Resort management and other services revenues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Resort management and other services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Resort management and other services margin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Resort management and other services margin percentage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740" w:type="dxa"/>
            <w:vAlign w:val="bottom"/>
          </w:tcPr>
          <w:p>
            <w:pPr>
              <w:jc w:val="center"/>
              <w:ind w:left="290"/>
              <w:spacing w:after="0"/>
              <w:rPr>
                <w:sz w:val="20"/>
                <w:szCs w:val="20"/>
                <w:color w:val="auto"/>
              </w:rPr>
            </w:pPr>
            <w:r>
              <w:rPr>
                <w:rFonts w:ascii="Arial" w:cs="Arial" w:eastAsia="Arial" w:hAnsi="Arial"/>
                <w:sz w:val="18"/>
                <w:szCs w:val="18"/>
                <w:color w:val="auto"/>
                <w:w w:val="92"/>
              </w:rPr>
              <w:t>1%</w:t>
            </w:r>
          </w:p>
        </w:tc>
      </w:tr>
      <w:tr>
        <w:trPr>
          <w:trHeight w:val="270"/>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740" w:type="dxa"/>
            <w:vAlign w:val="bottom"/>
          </w:tcPr>
          <w:p>
            <w:pPr>
              <w:jc w:val="center"/>
              <w:ind w:left="290"/>
              <w:spacing w:after="0"/>
              <w:rPr>
                <w:sz w:val="20"/>
                <w:szCs w:val="20"/>
                <w:color w:val="auto"/>
              </w:rPr>
            </w:pPr>
            <w:r>
              <w:rPr>
                <w:rFonts w:ascii="Arial" w:cs="Arial" w:eastAsia="Arial" w:hAnsi="Arial"/>
                <w:sz w:val="18"/>
                <w:szCs w:val="18"/>
                <w:color w:val="auto"/>
                <w:w w:val="92"/>
              </w:rPr>
              <w:t>5%</w:t>
            </w:r>
          </w:p>
        </w:tc>
      </w:tr>
      <w:tr>
        <w:trPr>
          <w:trHeight w:val="270"/>
        </w:trPr>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740" w:type="dxa"/>
            <w:vAlign w:val="bottom"/>
          </w:tcPr>
          <w:p>
            <w:pPr>
              <w:jc w:val="center"/>
              <w:ind w:left="270"/>
              <w:spacing w:after="0"/>
              <w:rPr>
                <w:sz w:val="20"/>
                <w:szCs w:val="20"/>
                <w:color w:val="auto"/>
              </w:rPr>
            </w:pPr>
            <w:r>
              <w:rPr>
                <w:rFonts w:ascii="Arial" w:cs="Arial" w:eastAsia="Arial" w:hAnsi="Arial"/>
                <w:sz w:val="18"/>
                <w:szCs w:val="18"/>
                <w:color w:val="auto"/>
                <w:w w:val="94"/>
              </w:rPr>
              <w:t>14%</w:t>
            </w:r>
          </w:p>
        </w:tc>
      </w:tr>
      <w:tr>
        <w:trPr>
          <w:trHeight w:val="27"/>
        </w:trPr>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740" w:type="dxa"/>
            <w:vAlign w:val="bottom"/>
          </w:tcPr>
          <w:p>
            <w:pPr>
              <w:jc w:val="center"/>
              <w:ind w:left="290"/>
              <w:spacing w:after="0"/>
              <w:rPr>
                <w:sz w:val="20"/>
                <w:szCs w:val="20"/>
                <w:color w:val="auto"/>
              </w:rPr>
            </w:pPr>
            <w:r>
              <w:rPr>
                <w:rFonts w:ascii="Arial" w:cs="Arial" w:eastAsia="Arial" w:hAnsi="Arial"/>
                <w:sz w:val="18"/>
                <w:szCs w:val="18"/>
                <w:color w:val="auto"/>
                <w:w w:val="92"/>
              </w:rPr>
              <w:t>6%</w:t>
            </w:r>
          </w:p>
        </w:tc>
      </w:tr>
      <w:tr>
        <w:trPr>
          <w:trHeight w:val="270"/>
        </w:trPr>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jc w:val="center"/>
              <w:ind w:left="290"/>
              <w:spacing w:after="0"/>
              <w:rPr>
                <w:sz w:val="20"/>
                <w:szCs w:val="20"/>
                <w:color w:val="auto"/>
              </w:rPr>
            </w:pPr>
            <w:r>
              <w:rPr>
                <w:rFonts w:ascii="Arial" w:cs="Arial" w:eastAsia="Arial" w:hAnsi="Arial"/>
                <w:sz w:val="18"/>
                <w:szCs w:val="18"/>
                <w:color w:val="auto"/>
                <w:w w:val="94"/>
              </w:rPr>
              <w:t>(4%)</w:t>
            </w:r>
          </w:p>
        </w:tc>
      </w:tr>
      <w:tr>
        <w:trPr>
          <w:trHeight w:val="27"/>
        </w:trPr>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740" w:type="dxa"/>
            <w:vAlign w:val="bottom"/>
          </w:tcPr>
          <w:p>
            <w:pPr>
              <w:jc w:val="center"/>
              <w:ind w:left="290"/>
              <w:spacing w:after="0"/>
              <w:rPr>
                <w:sz w:val="20"/>
                <w:szCs w:val="20"/>
                <w:color w:val="auto"/>
              </w:rPr>
            </w:pPr>
            <w:r>
              <w:rPr>
                <w:rFonts w:ascii="Arial" w:cs="Arial" w:eastAsia="Arial" w:hAnsi="Arial"/>
                <w:sz w:val="18"/>
                <w:szCs w:val="18"/>
                <w:color w:val="auto"/>
                <w:w w:val="92"/>
              </w:rPr>
              <w:t>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(1.3 pts)</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-882015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-530860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-170815</wp:posOffset>
            </wp:positionV>
            <wp:extent cx="71323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gridSpan w:val="2"/>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1160" w:type="dxa"/>
            <w:vAlign w:val="bottom"/>
          </w:tcPr>
          <w:p>
            <w:pPr>
              <w:spacing w:after="0"/>
              <w:rPr>
                <w:sz w:val="18"/>
                <w:szCs w:val="18"/>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Change</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11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7"/>
              </w:rPr>
              <w:t>due to</w:t>
            </w:r>
          </w:p>
        </w:tc>
        <w:tc>
          <w:tcPr>
            <w:tcW w:w="1660" w:type="dxa"/>
            <w:vAlign w:val="bottom"/>
          </w:tcPr>
          <w:p>
            <w:pPr>
              <w:jc w:val="center"/>
              <w:ind w:left="199"/>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0"/>
        </w:trPr>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160" w:type="dxa"/>
            <w:vAlign w:val="bottom"/>
          </w:tcPr>
          <w:p>
            <w:pPr>
              <w:ind w:left="360"/>
              <w:spacing w:after="0"/>
              <w:rPr>
                <w:sz w:val="20"/>
                <w:szCs w:val="20"/>
                <w:color w:val="auto"/>
              </w:rPr>
            </w:pPr>
            <w:r>
              <w:rPr>
                <w:rFonts w:ascii="Arial" w:cs="Arial" w:eastAsia="Arial" w:hAnsi="Arial"/>
                <w:sz w:val="16"/>
                <w:szCs w:val="16"/>
                <w:b w:val="1"/>
                <w:bCs w:val="1"/>
                <w:color w:val="auto"/>
              </w:rPr>
              <w:t>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8"/>
              </w:rPr>
              <w:t>Legacy-ILG</w:t>
            </w:r>
          </w:p>
        </w:tc>
        <w:tc>
          <w:tcPr>
            <w:tcW w:w="1660" w:type="dxa"/>
            <w:vAlign w:val="bottom"/>
          </w:tcPr>
          <w:p>
            <w:pPr>
              <w:jc w:val="center"/>
              <w:ind w:left="199"/>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2">
            <w:col w:w="4180" w:space="220"/>
            <w:col w:w="68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5"/>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center"/>
              <w:ind w:left="3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margin</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38%</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center"/>
              <w:ind w:right="152"/>
              <w:spacing w:after="0"/>
              <w:rPr>
                <w:sz w:val="20"/>
                <w:szCs w:val="20"/>
                <w:color w:val="auto"/>
              </w:rPr>
            </w:pPr>
            <w:r>
              <w:rPr>
                <w:rFonts w:ascii="Arial" w:cs="Arial" w:eastAsia="Arial" w:hAnsi="Arial"/>
                <w:sz w:val="18"/>
                <w:szCs w:val="18"/>
                <w:color w:val="auto"/>
                <w:w w:val="90"/>
              </w:rPr>
              <w:t>21.2%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color w:val="auto"/>
                <w:w w:val="90"/>
              </w:rPr>
              <w:t>14.1%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7.1 pts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8"/>
                <w:szCs w:val="18"/>
                <w:color w:val="auto"/>
              </w:rPr>
            </w:pPr>
          </w:p>
        </w:tc>
        <w:tc>
          <w:tcPr>
            <w:tcW w:w="1760" w:type="dxa"/>
            <w:vAlign w:val="bottom"/>
            <w:gridSpan w:val="2"/>
          </w:tcPr>
          <w:p>
            <w:pPr>
              <w:jc w:val="center"/>
              <w:ind w:right="1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140" w:type="dxa"/>
            <w:vAlign w:val="bottom"/>
          </w:tcPr>
          <w:p>
            <w:pPr>
              <w:spacing w:after="0"/>
              <w:rPr>
                <w:sz w:val="18"/>
                <w:szCs w:val="18"/>
                <w:color w:val="auto"/>
              </w:rPr>
            </w:pPr>
          </w:p>
        </w:tc>
        <w:tc>
          <w:tcPr>
            <w:tcW w:w="1760" w:type="dxa"/>
            <w:vAlign w:val="bottom"/>
            <w:gridSpan w:val="2"/>
          </w:tcPr>
          <w:p>
            <w:pPr>
              <w:jc w:val="center"/>
              <w:ind w:right="1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604,949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403,325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201,624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189,981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11,643</w:t>
            </w:r>
          </w:p>
        </w:tc>
        <w:tc>
          <w:tcPr>
            <w:tcW w:w="10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Average transient key rate</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220.28</w:t>
            </w:r>
          </w:p>
        </w:tc>
        <w:tc>
          <w:tcPr>
            <w:tcW w:w="100" w:type="dxa"/>
            <w:vAlign w:val="bottom"/>
          </w:tcPr>
          <w:p>
            <w:pPr>
              <w:spacing w:after="0"/>
              <w:rPr>
                <w:sz w:val="21"/>
                <w:szCs w:val="21"/>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213.63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4.24</w:t>
            </w:r>
          </w:p>
        </w:tc>
        <w:tc>
          <w:tcPr>
            <w:tcW w:w="1000" w:type="dxa"/>
            <w:vAlign w:val="bottom"/>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occupancy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152"/>
              <w:spacing w:after="0"/>
              <w:rPr>
                <w:sz w:val="20"/>
                <w:szCs w:val="20"/>
                <w:color w:val="auto"/>
              </w:rPr>
            </w:pPr>
            <w:r>
              <w:rPr>
                <w:rFonts w:ascii="Arial" w:cs="Arial" w:eastAsia="Arial" w:hAnsi="Arial"/>
                <w:sz w:val="18"/>
                <w:szCs w:val="18"/>
                <w:color w:val="auto"/>
                <w:w w:val="90"/>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111"/>
              <w:spacing w:after="0"/>
              <w:rPr>
                <w:sz w:val="20"/>
                <w:szCs w:val="20"/>
                <w:color w:val="auto"/>
              </w:rPr>
            </w:pPr>
            <w:r>
              <w:rPr>
                <w:rFonts w:ascii="Arial" w:cs="Arial" w:eastAsia="Arial" w:hAnsi="Arial"/>
                <w:sz w:val="18"/>
                <w:szCs w:val="18"/>
                <w:color w:val="auto"/>
                <w:w w:val="90"/>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(1.4 pts)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(1.3 pts)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0"/>
              </w:rPr>
              <w:t>(0.1 pts)</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540" w:right="3760" w:hanging="5532"/>
        <w:spacing w:after="0" w:line="465" w:lineRule="auto"/>
        <w:tabs>
          <w:tab w:leader="none" w:pos="662"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 70</w:t>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ind w:left="30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180" w:type="dxa"/>
            <w:vAlign w:val="bottom"/>
          </w:tcPr>
          <w:p>
            <w:pPr>
              <w:spacing w:after="0"/>
              <w:rPr>
                <w:sz w:val="18"/>
                <w:szCs w:val="18"/>
                <w:color w:val="auto"/>
              </w:rPr>
            </w:pPr>
          </w:p>
        </w:tc>
        <w:tc>
          <w:tcPr>
            <w:tcW w:w="1720" w:type="dxa"/>
            <w:vAlign w:val="bottom"/>
            <w:gridSpan w:val="2"/>
          </w:tcPr>
          <w:p>
            <w:pPr>
              <w:jc w:val="center"/>
              <w:ind w:right="52"/>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92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180" w:type="dxa"/>
            <w:vAlign w:val="bottom"/>
          </w:tcPr>
          <w:p>
            <w:pPr>
              <w:spacing w:after="0"/>
              <w:rPr>
                <w:sz w:val="20"/>
                <w:szCs w:val="20"/>
                <w:color w:val="auto"/>
              </w:rPr>
            </w:pPr>
          </w:p>
        </w:tc>
        <w:tc>
          <w:tcPr>
            <w:tcW w:w="1720" w:type="dxa"/>
            <w:vAlign w:val="bottom"/>
            <w:gridSpan w:val="2"/>
          </w:tcPr>
          <w:p>
            <w:pPr>
              <w:jc w:val="center"/>
              <w:ind w:right="52"/>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0" w:type="dxa"/>
            <w:vAlign w:val="bottom"/>
            <w:tcBorders>
              <w:top w:val="single" w:sz="8" w:color="auto"/>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0" w:type="dxa"/>
            <w:vAlign w:val="bottom"/>
          </w:tcPr>
          <w:p>
            <w:pPr>
              <w:jc w:val="center"/>
              <w:ind w:left="12"/>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4"/>
              </w:rPr>
              <w:t>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60" w:type="dxa"/>
            <w:vAlign w:val="bottom"/>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4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133"/>
              <w:spacing w:after="0"/>
              <w:rPr>
                <w:sz w:val="20"/>
                <w:szCs w:val="20"/>
                <w:color w:val="auto"/>
              </w:rPr>
            </w:pPr>
            <w:r>
              <w:rPr>
                <w:rFonts w:ascii="Arial" w:cs="Arial" w:eastAsia="Arial" w:hAnsi="Arial"/>
                <w:sz w:val="18"/>
                <w:szCs w:val="18"/>
                <w:color w:val="auto"/>
                <w:w w:val="90"/>
              </w:rPr>
              <w:t>27.1%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12"/>
              <w:spacing w:after="0"/>
              <w:rPr>
                <w:sz w:val="20"/>
                <w:szCs w:val="20"/>
                <w:color w:val="auto"/>
              </w:rPr>
            </w:pPr>
            <w:r>
              <w:rPr>
                <w:rFonts w:ascii="Arial" w:cs="Arial" w:eastAsia="Arial" w:hAnsi="Arial"/>
                <w:sz w:val="18"/>
                <w:szCs w:val="18"/>
                <w:color w:val="auto"/>
                <w:w w:val="93"/>
              </w:rPr>
              <w:t>18.7%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8.4 pts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ind w:left="30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180" w:type="dxa"/>
            <w:vAlign w:val="bottom"/>
          </w:tcPr>
          <w:p>
            <w:pPr>
              <w:spacing w:after="0"/>
              <w:rPr>
                <w:sz w:val="18"/>
                <w:szCs w:val="18"/>
                <w:color w:val="auto"/>
              </w:rPr>
            </w:pPr>
          </w:p>
        </w:tc>
        <w:tc>
          <w:tcPr>
            <w:tcW w:w="1720" w:type="dxa"/>
            <w:vAlign w:val="bottom"/>
            <w:gridSpan w:val="2"/>
          </w:tcPr>
          <w:p>
            <w:pPr>
              <w:jc w:val="center"/>
              <w:ind w:right="52"/>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180" w:type="dxa"/>
            <w:vAlign w:val="bottom"/>
          </w:tcPr>
          <w:p>
            <w:pPr>
              <w:spacing w:after="0"/>
              <w:rPr>
                <w:sz w:val="18"/>
                <w:szCs w:val="18"/>
                <w:color w:val="auto"/>
              </w:rPr>
            </w:pPr>
          </w:p>
        </w:tc>
        <w:tc>
          <w:tcPr>
            <w:tcW w:w="1720" w:type="dxa"/>
            <w:vAlign w:val="bottom"/>
            <w:gridSpan w:val="2"/>
          </w:tcPr>
          <w:p>
            <w:pPr>
              <w:jc w:val="center"/>
              <w:ind w:right="52"/>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1,835,916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1,073,125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762,791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730,482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32,309</w:t>
            </w:r>
          </w:p>
        </w:tc>
        <w:tc>
          <w:tcPr>
            <w:tcW w:w="10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229.95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221.22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5.02</w:t>
            </w:r>
          </w:p>
        </w:tc>
        <w:tc>
          <w:tcPr>
            <w:tcW w:w="1000" w:type="dxa"/>
            <w:vAlign w:val="bottom"/>
          </w:tcPr>
          <w:p>
            <w:pPr>
              <w:jc w:val="center"/>
              <w:ind w:left="32"/>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90"/>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93"/>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(1.3 pts)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(2.3 pts)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2"/>
              </w:rPr>
              <w:t>1.0 pts</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13"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Pr>
          <w:p>
            <w:pPr>
              <w:spacing w:after="0"/>
              <w:rPr>
                <w:sz w:val="20"/>
                <w:szCs w:val="20"/>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0" w:type="dxa"/>
            <w:vAlign w:val="bottom"/>
            <w:tcBorders>
              <w:top w:val="single" w:sz="8" w:color="auto"/>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00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propensity</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Legacy-MVW financing revenues increased due to a $155 million increase in the average gross vacation ownership notes receivable balance ($5 million) and favorable late and service fees ($4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ind w:left="30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Pr>
          <w:p>
            <w:pPr>
              <w:spacing w:after="0"/>
              <w:rPr>
                <w:sz w:val="20"/>
                <w:szCs w:val="20"/>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0" w:type="dxa"/>
            <w:vAlign w:val="bottom"/>
            <w:tcBorders>
              <w:top w:val="single" w:sz="8" w:color="auto"/>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00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Financing propensity</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Legacy-MVW financing revenues increased due to a $157 million increase in the average gross vacation ownership notes receivable balance ($15 million), favorable late and service fees ($4 million), and lower financing program incentive costs. The higher consumer financing interest expense was due to a higher average outstanding debt balance and slightly higher average debt interest rate.</w:t>
      </w:r>
    </w:p>
    <w:p>
      <w:pPr>
        <w:sectPr>
          <w:pgSz w:w="11900" w:h="16838" w:orient="portrait"/>
          <w:cols w:equalWidth="0" w:num="1">
            <w:col w:w="11240"/>
          </w:cols>
          <w:pgMar w:left="320" w:top="125"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Charges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88"/>
              </w:rPr>
              <w:t>Change</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1"/>
              </w:rPr>
              <w:t>due to</w:t>
            </w:r>
          </w:p>
        </w:tc>
        <w:tc>
          <w:tcPr>
            <w:tcW w:w="170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charges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40" w:firstLine="648"/>
        <w:spacing w:after="0" w:line="277" w:lineRule="auto"/>
        <w:rPr>
          <w:sz w:val="20"/>
          <w:szCs w:val="20"/>
          <w:color w:val="auto"/>
        </w:rPr>
      </w:pPr>
      <w:r>
        <w:rPr>
          <w:rFonts w:ascii="Arial" w:cs="Arial" w:eastAsia="Arial" w:hAnsi="Arial"/>
          <w:sz w:val="18"/>
          <w:szCs w:val="18"/>
          <w:color w:val="auto"/>
        </w:rPr>
        <w:t>In the third quarter of 2019, we incurred $2 million of litigation charges related to various matters. In the third quarter of 2018, we incurred $17 million of litigation charges, including $16 million related to a project in Hawaii.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ind w:right="36"/>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88"/>
              </w:rPr>
              <w:t>Change</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1"/>
              </w:rPr>
              <w:t>due to</w:t>
            </w:r>
          </w:p>
        </w:tc>
        <w:tc>
          <w:tcPr>
            <w:tcW w:w="170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charges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(29)</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In the first three quarters of 2019, we incurred $4 million of litigation charges, including $3 million related to projects in Europe and $1 million related to projects in California. In the first three quarters of 2018, we incurred $33 million of litigation charges, including $16 million related to a project in Hawaii, $11 million related to a project in San Francisco, $5 million related to a project in Lake Tahoe, and $1 million related to projects in Europe.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right"/>
              <w:ind w:right="16"/>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fee</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Excluding the impact of the ILG Acquisition, Legacy-MVW royalty fee expense remained flat in the third quarter of 2019 as the amount of closings, in dollars, was similar to the prior year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3"/>
          </w:tcPr>
          <w:p>
            <w:pPr>
              <w:jc w:val="right"/>
              <w:ind w:right="56"/>
              <w:spacing w:after="0"/>
              <w:rPr>
                <w:sz w:val="20"/>
                <w:szCs w:val="20"/>
                <w:color w:val="auto"/>
              </w:rPr>
            </w:pPr>
            <w:r>
              <w:rPr>
                <w:rFonts w:ascii="Arial" w:cs="Arial" w:eastAsia="Arial" w:hAnsi="Arial"/>
                <w:sz w:val="16"/>
                <w:szCs w:val="16"/>
                <w:b w:val="1"/>
                <w:bCs w:val="1"/>
                <w:color w:val="auto"/>
              </w:rPr>
              <w:t>Nine Months Ended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fee</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Excluding the impact of the ILG Acquisition, Legacy-MVW royalty fee expense remained flat year-over-year due to an increase in the mix of sales of pre-owned inventory, which carry a lower royalty fee as compared to initial sales of our inventory (one percent versus two percent), partially offset by an increase in the dollar volume of closings and an increase in the fixed portion of the royalty fee. The prior year period benefited from a contractual decrease in the fixed portion of the royalty fee owed to Marriott International as a result of amendments to our licensing agreements with Marriott International entered into during the first quarter of 2018. This decrease in the fixed portion of the royalty fee was terminated upon completion of the ILG Acquisition on September 1,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4"/>
          </w:tcPr>
          <w:p>
            <w:pPr>
              <w:jc w:val="center"/>
              <w:ind w:left="16"/>
              <w:spacing w:after="0"/>
              <w:rPr>
                <w:sz w:val="20"/>
                <w:szCs w:val="20"/>
                <w:color w:val="auto"/>
              </w:rPr>
            </w:pPr>
            <w:r>
              <w:rPr>
                <w:rFonts w:ascii="Arial" w:cs="Arial" w:eastAsia="Arial" w:hAnsi="Arial"/>
                <w:sz w:val="16"/>
                <w:szCs w:val="16"/>
                <w:b w:val="1"/>
                <w:bCs w:val="1"/>
                <w:color w:val="auto"/>
                <w:w w:val="93"/>
              </w:rPr>
              <w:t>Three Months Ended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180" w:type="dxa"/>
            <w:vAlign w:val="bottom"/>
          </w:tcPr>
          <w:p>
            <w:pPr>
              <w:spacing w:after="0"/>
              <w:rPr>
                <w:sz w:val="18"/>
                <w:szCs w:val="18"/>
                <w:color w:val="auto"/>
              </w:rPr>
            </w:pPr>
          </w:p>
        </w:tc>
        <w:tc>
          <w:tcPr>
            <w:tcW w:w="17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6"/>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ind w:left="256"/>
              <w:spacing w:after="0"/>
              <w:rPr>
                <w:sz w:val="20"/>
                <w:szCs w:val="20"/>
                <w:color w:val="auto"/>
              </w:rPr>
            </w:pPr>
            <w:r>
              <w:rPr>
                <w:rFonts w:ascii="Arial" w:cs="Arial" w:eastAsia="Arial" w:hAnsi="Arial"/>
                <w:sz w:val="16"/>
                <w:szCs w:val="16"/>
                <w:b w:val="1"/>
                <w:bCs w:val="1"/>
                <w:color w:val="auto"/>
                <w:w w:val="89"/>
              </w:rPr>
              <w:t>2018</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360" w:type="dxa"/>
            <w:vAlign w:val="bottom"/>
          </w:tcPr>
          <w:p>
            <w:pPr>
              <w:ind w:left="620"/>
              <w:spacing w:after="0"/>
              <w:rPr>
                <w:sz w:val="20"/>
                <w:szCs w:val="20"/>
                <w:color w:val="auto"/>
              </w:rPr>
            </w:pPr>
            <w:r>
              <w:rPr>
                <w:rFonts w:ascii="Arial" w:cs="Arial" w:eastAsia="Arial" w:hAnsi="Arial"/>
                <w:sz w:val="18"/>
                <w:szCs w:val="18"/>
                <w:i w:val="1"/>
                <w:iCs w:val="1"/>
                <w:color w:val="auto"/>
              </w:rPr>
              <w:t>2019 First Three Quarters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4"/>
          </w:tcPr>
          <w:p>
            <w:pPr>
              <w:jc w:val="center"/>
              <w:ind w:left="36"/>
              <w:spacing w:after="0"/>
              <w:rPr>
                <w:sz w:val="20"/>
                <w:szCs w:val="20"/>
                <w:color w:val="auto"/>
              </w:rPr>
            </w:pPr>
            <w:r>
              <w:rPr>
                <w:rFonts w:ascii="Arial" w:cs="Arial" w:eastAsia="Arial" w:hAnsi="Arial"/>
                <w:sz w:val="16"/>
                <w:szCs w:val="16"/>
                <w:b w:val="1"/>
                <w:bCs w:val="1"/>
                <w:color w:val="auto"/>
                <w:w w:val="92"/>
              </w:rPr>
              <w:t>Nine Months Ended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4"/>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180" w:type="dxa"/>
            <w:vAlign w:val="bottom"/>
          </w:tcPr>
          <w:p>
            <w:pPr>
              <w:spacing w:after="0"/>
              <w:rPr>
                <w:sz w:val="18"/>
                <w:szCs w:val="18"/>
                <w:color w:val="auto"/>
              </w:rPr>
            </w:pPr>
          </w:p>
        </w:tc>
        <w:tc>
          <w:tcPr>
            <w:tcW w:w="17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6"/>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ind w:left="256"/>
              <w:spacing w:after="0"/>
              <w:rPr>
                <w:sz w:val="20"/>
                <w:szCs w:val="20"/>
                <w:color w:val="auto"/>
              </w:rPr>
            </w:pPr>
            <w:r>
              <w:rPr>
                <w:rFonts w:ascii="Arial" w:cs="Arial" w:eastAsia="Arial" w:hAnsi="Arial"/>
                <w:sz w:val="16"/>
                <w:szCs w:val="16"/>
                <w:b w:val="1"/>
                <w:bCs w:val="1"/>
                <w:color w:val="auto"/>
                <w:w w:val="89"/>
              </w:rPr>
              <w:t>2018</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Impairment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360" w:type="dxa"/>
            <w:vAlign w:val="bottom"/>
          </w:tcPr>
          <w:p>
            <w:pPr>
              <w:ind w:left="620"/>
              <w:spacing w:after="0"/>
              <w:rPr>
                <w:sz w:val="20"/>
                <w:szCs w:val="20"/>
                <w:color w:val="auto"/>
              </w:rPr>
            </w:pPr>
            <w:r>
              <w:rPr>
                <w:rFonts w:ascii="Arial" w:cs="Arial" w:eastAsia="Arial" w:hAnsi="Arial"/>
                <w:sz w:val="18"/>
                <w:szCs w:val="18"/>
                <w:i w:val="1"/>
                <w:iCs w:val="1"/>
                <w:color w:val="auto"/>
              </w:rPr>
              <w:t>2019 Third Quarter</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4"/>
          </w:tcPr>
          <w:p>
            <w:pPr>
              <w:jc w:val="center"/>
              <w:ind w:left="16"/>
              <w:spacing w:after="0"/>
              <w:rPr>
                <w:sz w:val="20"/>
                <w:szCs w:val="20"/>
                <w:color w:val="auto"/>
              </w:rPr>
            </w:pPr>
            <w:r>
              <w:rPr>
                <w:rFonts w:ascii="Arial" w:cs="Arial" w:eastAsia="Arial" w:hAnsi="Arial"/>
                <w:sz w:val="16"/>
                <w:szCs w:val="16"/>
                <w:b w:val="1"/>
                <w:bCs w:val="1"/>
                <w:color w:val="auto"/>
                <w:w w:val="93"/>
              </w:rPr>
              <w:t>Three Months Ended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4"/>
            <w:vMerge w:val="restart"/>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2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1"/>
              </w:rPr>
              <w:t>due to</w:t>
            </w:r>
          </w:p>
        </w:tc>
        <w:tc>
          <w:tcPr>
            <w:tcW w:w="180" w:type="dxa"/>
            <w:vAlign w:val="bottom"/>
          </w:tcPr>
          <w:p>
            <w:pPr>
              <w:spacing w:after="0"/>
              <w:rPr>
                <w:sz w:val="18"/>
                <w:szCs w:val="18"/>
                <w:color w:val="auto"/>
              </w:rPr>
            </w:pPr>
          </w:p>
        </w:tc>
        <w:tc>
          <w:tcPr>
            <w:tcW w:w="1720" w:type="dxa"/>
            <w:vAlign w:val="bottom"/>
            <w:gridSpan w:val="3"/>
          </w:tcPr>
          <w:p>
            <w:pPr>
              <w:ind w:left="12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76"/>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ind w:left="236"/>
              <w:spacing w:after="0"/>
              <w:rPr>
                <w:sz w:val="20"/>
                <w:szCs w:val="20"/>
                <w:color w:val="auto"/>
              </w:rPr>
            </w:pPr>
            <w:r>
              <w:rPr>
                <w:rFonts w:ascii="Arial" w:cs="Arial" w:eastAsia="Arial" w:hAnsi="Arial"/>
                <w:sz w:val="16"/>
                <w:szCs w:val="16"/>
                <w:b w:val="1"/>
                <w:bCs w:val="1"/>
                <w:color w:val="auto"/>
                <w:w w:val="95"/>
              </w:rPr>
              <w:t>2018</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Change</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6"/>
                <w:szCs w:val="16"/>
                <w:b w:val="1"/>
                <w:bCs w:val="1"/>
                <w:color w:val="auto"/>
              </w:rPr>
              <w:t>Legacy-ILG Impact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73</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360" w:type="dxa"/>
            <w:vAlign w:val="bottom"/>
          </w:tcPr>
          <w:p>
            <w:pPr>
              <w:ind w:left="620"/>
              <w:spacing w:after="0"/>
              <w:rPr>
                <w:sz w:val="20"/>
                <w:szCs w:val="20"/>
                <w:color w:val="auto"/>
              </w:rPr>
            </w:pPr>
            <w:r>
              <w:rPr>
                <w:rFonts w:ascii="Arial" w:cs="Arial" w:eastAsia="Arial" w:hAnsi="Arial"/>
                <w:sz w:val="18"/>
                <w:szCs w:val="18"/>
                <w:i w:val="1"/>
                <w:iCs w:val="1"/>
                <w:color w:val="auto"/>
              </w:rPr>
              <w:t>2019 First Three Quarters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4"/>
          </w:tcPr>
          <w:p>
            <w:pPr>
              <w:jc w:val="center"/>
              <w:ind w:left="16"/>
              <w:spacing w:after="0"/>
              <w:rPr>
                <w:sz w:val="20"/>
                <w:szCs w:val="20"/>
                <w:color w:val="auto"/>
              </w:rPr>
            </w:pPr>
            <w:r>
              <w:rPr>
                <w:rFonts w:ascii="Arial" w:cs="Arial" w:eastAsia="Arial" w:hAnsi="Arial"/>
                <w:sz w:val="16"/>
                <w:szCs w:val="16"/>
                <w:b w:val="1"/>
                <w:bCs w:val="1"/>
                <w:color w:val="auto"/>
                <w:w w:val="93"/>
              </w:rPr>
              <w:t>Nine Months Ended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4"/>
            <w:vMerge w:val="restart"/>
          </w:tcPr>
          <w:p>
            <w:pPr>
              <w:jc w:val="center"/>
              <w:ind w:right="3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4"/>
            <w:vMerge w:val="continue"/>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2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1"/>
              </w:rPr>
              <w:t>due to</w:t>
            </w:r>
          </w:p>
        </w:tc>
        <w:tc>
          <w:tcPr>
            <w:tcW w:w="180" w:type="dxa"/>
            <w:vAlign w:val="bottom"/>
          </w:tcPr>
          <w:p>
            <w:pPr>
              <w:spacing w:after="0"/>
              <w:rPr>
                <w:sz w:val="18"/>
                <w:szCs w:val="18"/>
                <w:color w:val="auto"/>
              </w:rPr>
            </w:pPr>
          </w:p>
        </w:tc>
        <w:tc>
          <w:tcPr>
            <w:tcW w:w="1720" w:type="dxa"/>
            <w:vAlign w:val="bottom"/>
            <w:gridSpan w:val="3"/>
          </w:tcPr>
          <w:p>
            <w:pPr>
              <w:ind w:left="12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76"/>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ind w:left="236"/>
              <w:spacing w:after="0"/>
              <w:rPr>
                <w:sz w:val="20"/>
                <w:szCs w:val="20"/>
                <w:color w:val="auto"/>
              </w:rPr>
            </w:pPr>
            <w:r>
              <w:rPr>
                <w:rFonts w:ascii="Arial" w:cs="Arial" w:eastAsia="Arial" w:hAnsi="Arial"/>
                <w:sz w:val="16"/>
                <w:szCs w:val="16"/>
                <w:b w:val="1"/>
                <w:bCs w:val="1"/>
                <w:color w:val="auto"/>
                <w:w w:val="95"/>
              </w:rPr>
              <w:t>2018</w:t>
            </w: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Change</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96"/>
              </w:rPr>
              <w:t>Legacy-ILG</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6"/>
                <w:szCs w:val="16"/>
                <w:b w:val="1"/>
                <w:bCs w:val="1"/>
                <w:color w:val="auto"/>
              </w:rPr>
              <w:t>Legacy-ILG Impact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99</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a result of the ILG Acquisition, we performed a comprehensive review to evaluate the strategic fit of the land holdings and operating hotels in our Vacation Ownership segment. A key focus of our comprehensive review was to evaluate opportunities to reduce holdings in markets where we have excess supply so that future inventory spend can be focused on markets that create incremental cost-effective sales locations in areas of high customer demand. We evaluated each asset in the context of its current and anticipated product form, our inventory needs and our operating strategy. During the third quarter of 2019, we completed our evaluation and identified several assets for disposition which we believe will generate cash proceeds equivalent to their estimated fair value of $160 million to $220 million over the next several years.</w:t>
      </w:r>
    </w:p>
    <w:p>
      <w:pPr>
        <w:spacing w:after="0" w:line="124"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As a result of the change in our development strategy, we recorded a non-cash impairment charge of $72 million, of which $61 million related to land and land improvements associated with future phases of three existing resorts, primarily attributable to the fact that the book values of these assets include the historical allocations of common costs incurred when we built the infrastructure of these resorts, $9 million related to a land parcel held for future development and $2 million related to an ancillary business, as the book values of these assets were in excess of the estimated fair values of these assets. We also reviewed the remainder of the assets identified for disposition and determined that no other impairment charges were necessary.</w:t>
      </w:r>
    </w:p>
    <w:p>
      <w:pPr>
        <w:spacing w:after="0" w:line="5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During the second quarter of 2019, we entered into a contract to sell land and land improvements associated with a future phase of an existing resort located in Orlando, Florida for $10 million, which was less than the carrying value of the land and land improvements. As a result, we recorded a non-cash impairment of $26 million in the first three quarters of 2019. The impairment is primarily attributable to the fact that the book value of the assets to be sold exceeds the sales price because the book value includes allocations of common costs incurred when we built the infrastructure for the resort, including future phases.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center"/>
              <w:ind w:left="56"/>
              <w:spacing w:after="0"/>
              <w:rPr>
                <w:sz w:val="20"/>
                <w:szCs w:val="20"/>
                <w:color w:val="auto"/>
              </w:rPr>
            </w:pPr>
            <w:r>
              <w:rPr>
                <w:rFonts w:ascii="Arial" w:cs="Arial" w:eastAsia="Arial" w:hAnsi="Arial"/>
                <w:sz w:val="16"/>
                <w:szCs w:val="16"/>
                <w:b w:val="1"/>
                <w:bCs w:val="1"/>
                <w:color w:val="auto"/>
                <w:w w:val="93"/>
              </w:rPr>
              <w:t>Three Months Ended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6"/>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9"/>
              </w:rPr>
              <w:t>2018</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reimbursements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4400" w:type="dxa"/>
            <w:vAlign w:val="bottom"/>
          </w:tcPr>
          <w:p>
            <w:pPr>
              <w:ind w:left="660"/>
              <w:spacing w:after="0"/>
              <w:rPr>
                <w:sz w:val="20"/>
                <w:szCs w:val="20"/>
                <w:color w:val="auto"/>
              </w:rPr>
            </w:pPr>
            <w:r>
              <w:rPr>
                <w:rFonts w:ascii="Arial" w:cs="Arial" w:eastAsia="Arial" w:hAnsi="Arial"/>
                <w:sz w:val="18"/>
                <w:szCs w:val="18"/>
                <w:i w:val="1"/>
                <w:iCs w:val="1"/>
                <w:color w:val="auto"/>
              </w:rPr>
              <w:t>2019 First Three Quarters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jc w:val="center"/>
              <w:ind w:left="76"/>
              <w:spacing w:after="0"/>
              <w:rPr>
                <w:sz w:val="20"/>
                <w:szCs w:val="20"/>
                <w:color w:val="auto"/>
              </w:rPr>
            </w:pPr>
            <w:r>
              <w:rPr>
                <w:rFonts w:ascii="Arial" w:cs="Arial" w:eastAsia="Arial" w:hAnsi="Arial"/>
                <w:sz w:val="16"/>
                <w:szCs w:val="16"/>
                <w:b w:val="1"/>
                <w:bCs w:val="1"/>
                <w:color w:val="auto"/>
                <w:w w:val="92"/>
              </w:rPr>
              <w:t>Nine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6"/>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9"/>
              </w:rPr>
              <w:t>2018</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reimbursements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0" w:type="dxa"/>
            <w:vAlign w:val="bottom"/>
          </w:tcPr>
          <w:p>
            <w:pPr>
              <w:ind w:left="660"/>
              <w:spacing w:after="0"/>
              <w:rPr>
                <w:sz w:val="20"/>
                <w:szCs w:val="20"/>
                <w:color w:val="auto"/>
              </w:rPr>
            </w:pPr>
            <w:r>
              <w:rPr>
                <w:rFonts w:ascii="Arial" w:cs="Arial" w:eastAsia="Arial" w:hAnsi="Arial"/>
                <w:sz w:val="18"/>
                <w:szCs w:val="18"/>
                <w:i w:val="1"/>
                <w:iCs w:val="1"/>
                <w:color w:val="auto"/>
              </w:rPr>
              <w:t>2019 Third Quarter</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jc w:val="center"/>
              <w:ind w:left="56"/>
              <w:spacing w:after="0"/>
              <w:rPr>
                <w:sz w:val="20"/>
                <w:szCs w:val="20"/>
                <w:color w:val="auto"/>
              </w:rPr>
            </w:pPr>
            <w:r>
              <w:rPr>
                <w:rFonts w:ascii="Arial" w:cs="Arial" w:eastAsia="Arial" w:hAnsi="Arial"/>
                <w:sz w:val="16"/>
                <w:szCs w:val="16"/>
                <w:b w:val="1"/>
                <w:bCs w:val="1"/>
                <w:color w:val="auto"/>
                <w:w w:val="93"/>
              </w:rPr>
              <w:t>Three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6"/>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9"/>
              </w:rPr>
              <w:t>2018</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32"/>
        </w:trPr>
        <w:tc>
          <w:tcPr>
            <w:tcW w:w="4400" w:type="dxa"/>
            <w:vAlign w:val="bottom"/>
          </w:tcPr>
          <w:p>
            <w:pPr>
              <w:ind w:left="660"/>
              <w:spacing w:after="0"/>
              <w:rPr>
                <w:sz w:val="20"/>
                <w:szCs w:val="20"/>
                <w:color w:val="auto"/>
              </w:rPr>
            </w:pPr>
            <w:r>
              <w:rPr>
                <w:rFonts w:ascii="Arial" w:cs="Arial" w:eastAsia="Arial" w:hAnsi="Arial"/>
                <w:sz w:val="18"/>
                <w:szCs w:val="18"/>
                <w:i w:val="1"/>
                <w:iCs w:val="1"/>
                <w:color w:val="auto"/>
              </w:rPr>
              <w:t>2019 First Three Quarters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jc w:val="center"/>
              <w:ind w:left="76"/>
              <w:spacing w:after="0"/>
              <w:rPr>
                <w:sz w:val="20"/>
                <w:szCs w:val="20"/>
                <w:color w:val="auto"/>
              </w:rPr>
            </w:pPr>
            <w:r>
              <w:rPr>
                <w:rFonts w:ascii="Arial" w:cs="Arial" w:eastAsia="Arial" w:hAnsi="Arial"/>
                <w:sz w:val="16"/>
                <w:szCs w:val="16"/>
                <w:b w:val="1"/>
                <w:bCs w:val="1"/>
                <w:color w:val="auto"/>
                <w:w w:val="92"/>
              </w:rPr>
              <w:t>Nine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6"/>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ind w:left="296"/>
              <w:spacing w:after="0"/>
              <w:rPr>
                <w:sz w:val="20"/>
                <w:szCs w:val="20"/>
                <w:color w:val="auto"/>
              </w:rPr>
            </w:pPr>
            <w:r>
              <w:rPr>
                <w:rFonts w:ascii="Arial" w:cs="Arial" w:eastAsia="Arial" w:hAnsi="Arial"/>
                <w:sz w:val="16"/>
                <w:szCs w:val="16"/>
                <w:b w:val="1"/>
                <w:bCs w:val="1"/>
                <w:color w:val="auto"/>
                <w:w w:val="89"/>
              </w:rPr>
              <w:t>2018</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the first three quarters of 2018, we incurred $3 million of other expenses associated with the then anticipated capital efficient acquisition of an operating property in San Francisco.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 Losses and Other Income /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3"/>
          </w:tcPr>
          <w:p>
            <w:pPr>
              <w:jc w:val="right"/>
              <w:ind w:right="56"/>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w w:val="98"/>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6"/>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ind w:left="216"/>
              <w:spacing w:after="0"/>
              <w:rPr>
                <w:sz w:val="20"/>
                <w:szCs w:val="20"/>
                <w:color w:val="auto"/>
              </w:rPr>
            </w:pPr>
            <w:r>
              <w:rPr>
                <w:rFonts w:ascii="Arial" w:cs="Arial" w:eastAsia="Arial" w:hAnsi="Arial"/>
                <w:sz w:val="16"/>
                <w:szCs w:val="16"/>
                <w:b w:val="1"/>
                <w:bCs w:val="1"/>
                <w:color w:val="auto"/>
                <w:w w:val="89"/>
              </w:rPr>
              <w:t>2018</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and other income, net</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1</w:t>
            </w:r>
          </w:p>
        </w:tc>
        <w:tc>
          <w:tcPr>
            <w:tcW w:w="8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32"/>
        </w:trPr>
        <w:tc>
          <w:tcPr>
            <w:tcW w:w="4400" w:type="dxa"/>
            <w:vAlign w:val="bottom"/>
          </w:tcPr>
          <w:p>
            <w:pPr>
              <w:ind w:left="660"/>
              <w:spacing w:after="0"/>
              <w:rPr>
                <w:sz w:val="20"/>
                <w:szCs w:val="20"/>
                <w:color w:val="auto"/>
              </w:rPr>
            </w:pPr>
            <w:r>
              <w:rPr>
                <w:rFonts w:ascii="Arial" w:cs="Arial" w:eastAsia="Arial" w:hAnsi="Arial"/>
                <w:sz w:val="18"/>
                <w:szCs w:val="18"/>
                <w:i w:val="1"/>
                <w:iCs w:val="1"/>
                <w:color w:val="auto"/>
              </w:rPr>
              <w:t>2019 First Three Quarters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3"/>
          </w:tcPr>
          <w:p>
            <w:pPr>
              <w:jc w:val="right"/>
              <w:ind w:right="96"/>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w w:val="98"/>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6"/>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ind w:left="216"/>
              <w:spacing w:after="0"/>
              <w:rPr>
                <w:sz w:val="20"/>
                <w:szCs w:val="20"/>
                <w:color w:val="auto"/>
              </w:rPr>
            </w:pPr>
            <w:r>
              <w:rPr>
                <w:rFonts w:ascii="Arial" w:cs="Arial" w:eastAsia="Arial" w:hAnsi="Arial"/>
                <w:sz w:val="16"/>
                <w:szCs w:val="16"/>
                <w:b w:val="1"/>
                <w:bCs w:val="1"/>
                <w:color w:val="auto"/>
                <w:w w:val="89"/>
              </w:rPr>
              <w:t>2018</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and other income, net</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8</w:t>
            </w:r>
          </w:p>
        </w:tc>
        <w:tc>
          <w:tcPr>
            <w:tcW w:w="8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the first three quarters of 2019, we recorded $9 million of gains and other income related to net insurance proceeds from the settlement of Legacy-MVW business interruption insurance claims arising from the 2017 Hurricanes.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Arial" w:cs="Arial" w:eastAsia="Arial" w:hAnsi="Arial"/>
          <w:sz w:val="14"/>
          <w:szCs w:val="14"/>
          <w:b w:val="1"/>
          <w:bCs w:val="1"/>
          <w:i w:val="1"/>
          <w:iCs w:val="1"/>
          <w:color w:val="auto"/>
        </w:rPr>
        <w:t>($ in millions)</w:t>
      </w:r>
    </w:p>
    <w:p>
      <w:pPr>
        <w:spacing w:after="0" w:line="46"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Net income attributable to noncontrolling interests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200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w:t>
            </w:r>
          </w:p>
        </w:tc>
        <w:tc>
          <w:tcPr>
            <w:tcW w:w="11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9"/>
              </w:rPr>
              <w:t>September</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6"/>
                <w:szCs w:val="16"/>
                <w:b w:val="1"/>
                <w:bCs w:val="1"/>
                <w:color w:val="auto"/>
                <w:w w:val="89"/>
              </w:rPr>
              <w:t>30, 2019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55"/>
              <w:spacing w:after="0"/>
              <w:rPr>
                <w:sz w:val="20"/>
                <w:szCs w:val="20"/>
                <w:color w:val="auto"/>
              </w:rPr>
            </w:pPr>
            <w:r>
              <w:rPr>
                <w:rFonts w:ascii="Arial" w:cs="Arial" w:eastAsia="Arial" w:hAnsi="Arial"/>
                <w:sz w:val="16"/>
                <w:szCs w:val="16"/>
                <w:b w:val="1"/>
                <w:bCs w:val="1"/>
                <w:color w:val="auto"/>
                <w:w w:val="93"/>
              </w:rPr>
              <w:t>30, 2018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8"/>
              </w:rPr>
              <w:t>Legacy-ILG</w:t>
            </w:r>
          </w:p>
        </w:tc>
        <w:tc>
          <w:tcPr>
            <w:tcW w:w="1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ind w:lef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-290830</wp:posOffset>
            </wp:positionV>
            <wp:extent cx="579501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5010" cy="308610"/>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4080" w:space="540"/>
            <w:col w:w="6600"/>
          </w:cols>
          <w:pgMar w:left="320" w:top="125"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080"/>
        <w:spacing w:after="0"/>
        <w:rPr>
          <w:sz w:val="20"/>
          <w:szCs w:val="20"/>
          <w:color w:val="auto"/>
        </w:rPr>
      </w:pPr>
      <w:r>
        <w:rPr>
          <w:rFonts w:ascii="Arial" w:cs="Arial" w:eastAsia="Arial" w:hAnsi="Arial"/>
          <w:sz w:val="14"/>
          <w:szCs w:val="14"/>
          <w:b w:val="1"/>
          <w:bCs w:val="1"/>
          <w:i w:val="1"/>
          <w:iCs w:val="1"/>
          <w:color w:val="auto"/>
        </w:rPr>
        <w:t>($ in millions)</w:t>
      </w:r>
    </w:p>
    <w:p>
      <w:pPr>
        <w:spacing w:after="0" w:line="46"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Net income attributable to noncontrolling interests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2000" w:type="dxa"/>
            <w:vAlign w:val="bottom"/>
            <w:gridSpan w:val="6"/>
          </w:tcPr>
          <w:p>
            <w:pPr>
              <w:ind w:left="120"/>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w:t>
            </w:r>
          </w:p>
        </w:tc>
        <w:tc>
          <w:tcPr>
            <w:tcW w:w="11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9"/>
              </w:rPr>
              <w:t>September</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6"/>
                <w:szCs w:val="16"/>
                <w:b w:val="1"/>
                <w:bCs w:val="1"/>
                <w:color w:val="auto"/>
                <w:w w:val="89"/>
              </w:rPr>
              <w:t>30, 2019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55"/>
              <w:spacing w:after="0"/>
              <w:rPr>
                <w:sz w:val="20"/>
                <w:szCs w:val="20"/>
                <w:color w:val="auto"/>
              </w:rPr>
            </w:pPr>
            <w:r>
              <w:rPr>
                <w:rFonts w:ascii="Arial" w:cs="Arial" w:eastAsia="Arial" w:hAnsi="Arial"/>
                <w:sz w:val="16"/>
                <w:szCs w:val="16"/>
                <w:b w:val="1"/>
                <w:bCs w:val="1"/>
                <w:color w:val="auto"/>
                <w:w w:val="93"/>
              </w:rPr>
              <w:t>30, 2018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8"/>
              </w:rPr>
              <w:t>Legacy-ILG</w:t>
            </w:r>
          </w:p>
        </w:tc>
        <w:tc>
          <w:tcPr>
            <w:tcW w:w="1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33"/>
        </w:trPr>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ind w:lef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-290830</wp:posOffset>
            </wp:positionV>
            <wp:extent cx="579501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5010" cy="308610"/>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4080" w:space="540"/>
            <w:col w:w="6600"/>
          </w:cols>
          <w:pgMar w:left="320" w:top="125" w:right="359" w:bottom="1440" w:gutter="0" w:footer="0" w:header="0"/>
          <w:type w:val="continuous"/>
        </w:sectPr>
      </w:pPr>
    </w:p>
    <w:p>
      <w:pPr>
        <w:ind w:right="20" w:firstLine="648"/>
        <w:spacing w:after="0" w:line="257" w:lineRule="auto"/>
        <w:rPr>
          <w:sz w:val="20"/>
          <w:szCs w:val="20"/>
          <w:color w:val="auto"/>
        </w:rPr>
      </w:pPr>
      <w:r>
        <w:rPr>
          <w:rFonts w:ascii="Arial" w:cs="Arial" w:eastAsia="Arial" w:hAnsi="Arial"/>
          <w:sz w:val="18"/>
          <w:szCs w:val="18"/>
          <w:color w:val="auto"/>
        </w:rPr>
        <w:t>Our Exchange &amp; Third-Party Management segment offers access to vacation accommodations and other travel-related transactions and services to leisure travelers by providing vacation exchange and management services, including vacation rentals and other services. We provide these services through a variety of brands including Interval International, Trading Places International, Vacation Resorts International, Aqua-Aston and Great Destinations. These brands were acquired as part of our acquisition of ILG on September 1, 2018 and, consequently, are only included in our results for the periods subsequent to that date.</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60" w:type="dxa"/>
            <w:vAlign w:val="bottom"/>
            <w:gridSpan w:val="3"/>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0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68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5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September 30, 2018</w:t>
            </w:r>
          </w:p>
        </w:tc>
        <w:tc>
          <w:tcPr>
            <w:tcW w:w="0" w:type="dxa"/>
            <w:vAlign w:val="bottom"/>
          </w:tcPr>
          <w:p>
            <w:pPr>
              <w:spacing w:after="0"/>
              <w:rPr>
                <w:sz w:val="1"/>
                <w:szCs w:val="1"/>
                <w:color w:val="auto"/>
              </w:rPr>
            </w:pPr>
          </w:p>
        </w:tc>
      </w:tr>
      <w:tr>
        <w:trPr>
          <w:trHeight w:val="250"/>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Management and exchange</w:t>
            </w: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980" w:type="dxa"/>
            <w:vAlign w:val="bottom"/>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540" w:type="dxa"/>
            <w:vAlign w:val="bottom"/>
          </w:tcPr>
          <w:p>
            <w:pPr>
              <w:jc w:val="right"/>
              <w:ind w:right="33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5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6"/>
        </w:trPr>
        <w:tc>
          <w:tcPr>
            <w:tcW w:w="4600" w:type="dxa"/>
            <w:vAlign w:val="bottom"/>
          </w:tcPr>
          <w:p>
            <w:pPr>
              <w:ind w:left="480"/>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5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Rental</w:t>
            </w:r>
          </w:p>
        </w:tc>
        <w:tc>
          <w:tcPr>
            <w:tcW w:w="5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600" w:type="dxa"/>
            <w:vAlign w:val="bottom"/>
          </w:tcPr>
          <w:p>
            <w:pPr>
              <w:ind w:left="480"/>
              <w:spacing w:after="0"/>
              <w:rPr>
                <w:sz w:val="20"/>
                <w:szCs w:val="20"/>
                <w:color w:val="auto"/>
              </w:rPr>
            </w:pPr>
            <w:r>
              <w:rPr>
                <w:rFonts w:ascii="Arial" w:cs="Arial" w:eastAsia="Arial" w:hAnsi="Arial"/>
                <w:sz w:val="18"/>
                <w:szCs w:val="18"/>
                <w:b w:val="1"/>
                <w:bCs w:val="1"/>
                <w:color w:val="auto"/>
              </w:rPr>
              <w:t>TOTAL EXPENSES</w:t>
            </w: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 and other income, net</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60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SEGMENT FINANCIAL RESULTS ATTRIBUTABLE</w:t>
            </w:r>
          </w:p>
        </w:tc>
        <w:tc>
          <w:tcPr>
            <w:tcW w:w="52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980" w:type="dxa"/>
            <w:vAlign w:val="bottom"/>
            <w:tcBorders>
              <w:top w:val="single" w:sz="8" w:color="auto"/>
            </w:tcBorders>
            <w:vMerge w:val="restart"/>
          </w:tcPr>
          <w:p>
            <w:pPr>
              <w:jc w:val="right"/>
              <w:ind w:right="79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54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7"/>
                <w:szCs w:val="17"/>
                <w:color w:val="auto"/>
              </w:rPr>
            </w:pPr>
          </w:p>
        </w:tc>
        <w:tc>
          <w:tcPr>
            <w:tcW w:w="960" w:type="dxa"/>
            <w:vAlign w:val="bottom"/>
            <w:tcBorders>
              <w:top w:val="single" w:sz="8" w:color="auto"/>
            </w:tcBorders>
            <w:vMerge w:val="restart"/>
          </w:tcPr>
          <w:p>
            <w:pPr>
              <w:jc w:val="right"/>
              <w:ind w:right="75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6"/>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TO COMMON SHAREHOLDERS</w:t>
            </w:r>
          </w:p>
        </w:tc>
        <w:tc>
          <w:tcPr>
            <w:tcW w:w="5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2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ILG acquisition-related costs and provision for income taxes. In addition, Corporate and Other includes the revenues and expenses from the Consolidated Property Owners’ Associations.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gridSpan w:val="3"/>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gridSpan w:val="3"/>
          </w:tcPr>
          <w:p>
            <w:pPr>
              <w:jc w:val="right"/>
              <w:ind w:right="153"/>
              <w:spacing w:after="0"/>
              <w:rPr>
                <w:sz w:val="20"/>
                <w:szCs w:val="20"/>
                <w:color w:val="auto"/>
              </w:rPr>
            </w:pPr>
            <w:r>
              <w:rPr>
                <w:rFonts w:ascii="Arial" w:cs="Arial" w:eastAsia="Arial" w:hAnsi="Arial"/>
                <w:sz w:val="16"/>
                <w:szCs w:val="16"/>
                <w:b w:val="1"/>
                <w:bCs w:val="1"/>
                <w:color w:val="auto"/>
              </w:rPr>
              <w:t>Nine Months Ended</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6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68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5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September 30, 2018</w:t>
            </w:r>
          </w:p>
        </w:tc>
        <w:tc>
          <w:tcPr>
            <w:tcW w:w="0" w:type="dxa"/>
            <w:vAlign w:val="bottom"/>
          </w:tcPr>
          <w:p>
            <w:pPr>
              <w:spacing w:after="0"/>
              <w:rPr>
                <w:sz w:val="1"/>
                <w:szCs w:val="1"/>
                <w:color w:val="auto"/>
              </w:rPr>
            </w:pPr>
          </w:p>
        </w:tc>
      </w:tr>
      <w:tr>
        <w:trPr>
          <w:trHeight w:val="250"/>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Resort management and other services</w:t>
            </w: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40" w:type="dxa"/>
            <w:vAlign w:val="bottom"/>
          </w:tcPr>
          <w:p>
            <w:pPr>
              <w:jc w:val="right"/>
              <w:ind w:right="33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Rental</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charges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EXPENSES</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7"/>
        </w:trPr>
        <w:tc>
          <w:tcPr>
            <w:tcW w:w="4600" w:type="dxa"/>
            <w:vAlign w:val="bottom"/>
          </w:tcPr>
          <w:p>
            <w:pPr>
              <w:ind w:left="280"/>
              <w:spacing w:after="0"/>
              <w:rPr>
                <w:sz w:val="20"/>
                <w:szCs w:val="20"/>
                <w:color w:val="auto"/>
              </w:rPr>
            </w:pPr>
            <w:r>
              <w:rPr>
                <w:rFonts w:ascii="Arial" w:cs="Arial" w:eastAsia="Arial" w:hAnsi="Arial"/>
                <w:sz w:val="18"/>
                <w:szCs w:val="18"/>
                <w:color w:val="auto"/>
              </w:rPr>
              <w:t>(Losses) gains and other (expense) income, net</w:t>
            </w: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ILG acquisition-related costs</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FINANCIAL RESULTS BEFORE INCOME TAXES AND</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FINANCIAL RESULTS BEFORE NONCONTROLLING</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INTERESTS</w:t>
            </w: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5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FINANCIAL RESULTS ATTRIBUTABLE TO COMMON</w:t>
            </w:r>
          </w:p>
        </w:tc>
        <w:tc>
          <w:tcPr>
            <w:tcW w:w="520" w:type="dxa"/>
            <w:vAlign w:val="bottom"/>
            <w:vMerge w:val="restart"/>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w:t>
            </w: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Property Owners’ Associations</w:t>
      </w:r>
    </w:p>
    <w:p>
      <w:pPr>
        <w:spacing w:after="0" w:line="12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following table illustrates the impact of the Consolidated Property Owners’ Associations of the acquired Legacy-ILG vacation ownership properties under the voting interest model, which represents the portion related to individual or third-party VOI owners.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gridSpan w:val="8"/>
          </w:tcPr>
          <w:p>
            <w:pPr>
              <w:jc w:val="right"/>
              <w:spacing w:after="0"/>
              <w:rPr>
                <w:sz w:val="20"/>
                <w:szCs w:val="20"/>
                <w:color w:val="auto"/>
              </w:rPr>
            </w:pPr>
            <w:r>
              <w:rPr>
                <w:rFonts w:ascii="Arial" w:cs="Arial" w:eastAsia="Arial" w:hAnsi="Arial"/>
                <w:sz w:val="16"/>
                <w:szCs w:val="16"/>
                <w:b w:val="1"/>
                <w:bCs w:val="1"/>
                <w:color w:val="auto"/>
                <w:w w:val="93"/>
              </w:rPr>
              <w:t>Three Months Ended</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6"/>
          </w:tcPr>
          <w:p>
            <w:pPr>
              <w:ind w:left="760"/>
              <w:spacing w:after="0"/>
              <w:rPr>
                <w:sz w:val="20"/>
                <w:szCs w:val="20"/>
                <w:color w:val="auto"/>
              </w:rPr>
            </w:pPr>
            <w:r>
              <w:rPr>
                <w:rFonts w:ascii="Arial" w:cs="Arial" w:eastAsia="Arial" w:hAnsi="Arial"/>
                <w:sz w:val="16"/>
                <w:szCs w:val="16"/>
                <w:b w:val="1"/>
                <w:bCs w:val="1"/>
                <w:color w:val="auto"/>
              </w:rPr>
              <w:t>Nine Months Ended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2"/>
                <w:szCs w:val="22"/>
                <w:color w:val="auto"/>
              </w:rPr>
            </w:pPr>
          </w:p>
        </w:tc>
        <w:tc>
          <w:tcPr>
            <w:tcW w:w="1720" w:type="dxa"/>
            <w:vAlign w:val="bottom"/>
            <w:gridSpan w:val="6"/>
          </w:tcPr>
          <w:p>
            <w:pPr>
              <w:ind w:left="120"/>
              <w:spacing w:after="0"/>
              <w:rPr>
                <w:sz w:val="20"/>
                <w:szCs w:val="20"/>
                <w:color w:val="auto"/>
              </w:rPr>
            </w:pPr>
            <w:r>
              <w:rPr>
                <w:rFonts w:ascii="Arial" w:cs="Arial" w:eastAsia="Arial" w:hAnsi="Arial"/>
                <w:sz w:val="16"/>
                <w:szCs w:val="16"/>
                <w:b w:val="1"/>
                <w:bCs w:val="1"/>
                <w:color w:val="auto"/>
              </w:rPr>
              <w:t>September 30, 2019</w:t>
            </w:r>
          </w:p>
        </w:tc>
        <w:tc>
          <w:tcPr>
            <w:tcW w:w="1640" w:type="dxa"/>
            <w:vAlign w:val="bottom"/>
            <w:gridSpan w:val="6"/>
          </w:tcPr>
          <w:p>
            <w:pPr>
              <w:ind w:left="80"/>
              <w:spacing w:after="0"/>
              <w:rPr>
                <w:sz w:val="20"/>
                <w:szCs w:val="20"/>
                <w:color w:val="auto"/>
              </w:rPr>
            </w:pPr>
            <w:r>
              <w:rPr>
                <w:rFonts w:ascii="Arial" w:cs="Arial" w:eastAsia="Arial" w:hAnsi="Arial"/>
                <w:sz w:val="16"/>
                <w:szCs w:val="16"/>
                <w:b w:val="1"/>
                <w:bCs w:val="1"/>
                <w:color w:val="auto"/>
              </w:rPr>
              <w:t>September 30, 2018</w:t>
            </w:r>
          </w:p>
        </w:tc>
        <w:tc>
          <w:tcPr>
            <w:tcW w:w="40" w:type="dxa"/>
            <w:vAlign w:val="bottom"/>
          </w:tcPr>
          <w:p>
            <w:pPr>
              <w:spacing w:after="0"/>
              <w:rPr>
                <w:sz w:val="22"/>
                <w:szCs w:val="22"/>
                <w:color w:val="auto"/>
              </w:rPr>
            </w:pPr>
          </w:p>
        </w:tc>
        <w:tc>
          <w:tcPr>
            <w:tcW w:w="154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w w:val="93"/>
              </w:rPr>
              <w:t>September 30, 2019</w:t>
            </w:r>
          </w:p>
        </w:tc>
        <w:tc>
          <w:tcPr>
            <w:tcW w:w="100" w:type="dxa"/>
            <w:vAlign w:val="bottom"/>
          </w:tcPr>
          <w:p>
            <w:pPr>
              <w:spacing w:after="0"/>
              <w:rPr>
                <w:sz w:val="22"/>
                <w:szCs w:val="22"/>
                <w:color w:val="auto"/>
              </w:rPr>
            </w:pPr>
          </w:p>
        </w:tc>
        <w:tc>
          <w:tcPr>
            <w:tcW w:w="15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September 30, 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ind w:left="280"/>
              <w:spacing w:after="0"/>
              <w:rPr>
                <w:sz w:val="20"/>
                <w:szCs w:val="20"/>
                <w:color w:val="auto"/>
              </w:rPr>
            </w:pPr>
            <w:r>
              <w:rPr>
                <w:rFonts w:ascii="Arial" w:cs="Arial" w:eastAsia="Arial" w:hAnsi="Arial"/>
                <w:sz w:val="18"/>
                <w:szCs w:val="18"/>
                <w:color w:val="auto"/>
              </w:rPr>
              <w:t>Resort management and other services</w:t>
            </w:r>
          </w:p>
        </w:tc>
        <w:tc>
          <w:tcPr>
            <w:tcW w:w="220" w:type="dxa"/>
            <w:vAlign w:val="bottom"/>
          </w:tcPr>
          <w:p>
            <w:pPr>
              <w:spacing w:after="0"/>
              <w:rPr>
                <w:sz w:val="21"/>
                <w:szCs w:val="21"/>
                <w:color w:val="auto"/>
              </w:rPr>
            </w:pP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jc w:val="right"/>
              <w:ind w:right="281"/>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spacing w:after="0"/>
              <w:rPr>
                <w:sz w:val="21"/>
                <w:szCs w:val="21"/>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93</w:t>
            </w: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(84)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tcPr>
          <w:p>
            <w:pPr>
              <w:ind w:left="280"/>
              <w:spacing w:after="0"/>
              <w:rPr>
                <w:sz w:val="20"/>
                <w:szCs w:val="20"/>
                <w:color w:val="auto"/>
              </w:rPr>
            </w:pPr>
            <w:r>
              <w:rPr>
                <w:rFonts w:ascii="Arial" w:cs="Arial" w:eastAsia="Arial" w:hAnsi="Arial"/>
                <w:sz w:val="18"/>
                <w:szCs w:val="18"/>
                <w:color w:val="auto"/>
              </w:rPr>
              <w:t>Rental</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(84)</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ind w:left="480"/>
              <w:spacing w:after="0"/>
              <w:rPr>
                <w:sz w:val="20"/>
                <w:szCs w:val="20"/>
                <w:color w:val="auto"/>
              </w:rPr>
            </w:pPr>
            <w:r>
              <w:rPr>
                <w:rFonts w:ascii="Arial" w:cs="Arial" w:eastAsia="Arial" w:hAnsi="Arial"/>
                <w:sz w:val="18"/>
                <w:szCs w:val="18"/>
                <w:b w:val="1"/>
                <w:bCs w:val="1"/>
                <w:color w:val="auto"/>
              </w:rPr>
              <w:t>TOTAL EXPENSES</w:t>
            </w:r>
          </w:p>
        </w:tc>
        <w:tc>
          <w:tcPr>
            <w:tcW w:w="2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Borders>
              <w:bottom w:val="single" w:sz="8" w:color="CCEEFF"/>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FINANCIAL RESULTS BEFORE NONCONTROLLING</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Borders>
              <w:bottom w:val="single" w:sz="8" w:color="CCEEFF"/>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FINANCIAL RESULTS ATTRIBUTABLE TO COMMON</w:t>
            </w:r>
          </w:p>
        </w:tc>
        <w:tc>
          <w:tcPr>
            <w:tcW w:w="880" w:type="dxa"/>
            <w:vAlign w:val="bottom"/>
            <w:vMerge w:val="restart"/>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7"/>
                <w:szCs w:val="17"/>
                <w:color w:val="auto"/>
              </w:rPr>
            </w:pPr>
          </w:p>
        </w:tc>
        <w:tc>
          <w:tcPr>
            <w:tcW w:w="20" w:type="dxa"/>
            <w:vAlign w:val="bottom"/>
            <w:vMerge w:val="restart"/>
            <w:shd w:val="clear" w:color="auto" w:fill="CCEEFF"/>
          </w:tcPr>
          <w:p>
            <w:pPr>
              <w:spacing w:after="0"/>
              <w:rPr>
                <w:sz w:val="17"/>
                <w:szCs w:val="17"/>
                <w:color w:val="auto"/>
              </w:rPr>
            </w:pPr>
          </w:p>
        </w:tc>
        <w:tc>
          <w:tcPr>
            <w:tcW w:w="440" w:type="dxa"/>
            <w:vAlign w:val="bottom"/>
            <w:vMerge w:val="restart"/>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gridSpan w:val="2"/>
            <w:vMerge w:val="restart"/>
            <w:shd w:val="clear" w:color="auto" w:fill="CCEEFF"/>
          </w:tcPr>
          <w:p>
            <w:pPr>
              <w:spacing w:after="0"/>
              <w:rPr>
                <w:sz w:val="17"/>
                <w:szCs w:val="17"/>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spacing w:after="0"/>
              <w:rPr>
                <w:sz w:val="17"/>
                <w:szCs w:val="17"/>
                <w:color w:val="auto"/>
              </w:rPr>
            </w:pPr>
          </w:p>
        </w:tc>
        <w:tc>
          <w:tcPr>
            <w:tcW w:w="4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vMerge w:val="restart"/>
            <w:shd w:val="clear" w:color="auto" w:fill="CCEEFF"/>
          </w:tcPr>
          <w:p>
            <w:pPr>
              <w:spacing w:after="0"/>
              <w:rPr>
                <w:sz w:val="17"/>
                <w:szCs w:val="17"/>
                <w:color w:val="auto"/>
              </w:rPr>
            </w:pPr>
          </w:p>
        </w:tc>
        <w:tc>
          <w:tcPr>
            <w:tcW w:w="8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auto"/>
            </w:tcBorders>
            <w:gridSpan w:val="2"/>
            <w:vMerge w:val="continue"/>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General and Administrative</w:t>
            </w: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380" w:type="dxa"/>
            <w:vAlign w:val="bottom"/>
          </w:tcPr>
          <w:p>
            <w:pPr>
              <w:ind w:left="640"/>
              <w:spacing w:after="0"/>
              <w:rPr>
                <w:sz w:val="20"/>
                <w:szCs w:val="20"/>
                <w:color w:val="auto"/>
              </w:rPr>
            </w:pPr>
            <w:r>
              <w:rPr>
                <w:rFonts w:ascii="Arial" w:cs="Arial" w:eastAsia="Arial" w:hAnsi="Arial"/>
                <w:sz w:val="18"/>
                <w:szCs w:val="18"/>
                <w:i w:val="1"/>
                <w:iCs w:val="1"/>
                <w:color w:val="auto"/>
              </w:rPr>
              <w:t>2019 Third Quarter</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6"/>
          </w:tcPr>
          <w:p>
            <w:pPr>
              <w:ind w:left="240"/>
              <w:spacing w:after="0"/>
              <w:rPr>
                <w:sz w:val="20"/>
                <w:szCs w:val="20"/>
                <w:color w:val="auto"/>
              </w:rPr>
            </w:pPr>
            <w:r>
              <w:rPr>
                <w:rFonts w:ascii="Arial" w:cs="Arial" w:eastAsia="Arial" w:hAnsi="Arial"/>
                <w:sz w:val="16"/>
                <w:szCs w:val="16"/>
                <w:b w:val="1"/>
                <w:bCs w:val="1"/>
                <w:color w:val="auto"/>
                <w:w w:val="92"/>
              </w:rPr>
              <w:t>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Change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September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5"/>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due 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 Excluding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Legacy-ILG</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w w:val="99"/>
              </w:rPr>
              <w:t>Legacy-ILG Impact</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00" w:type="dxa"/>
            <w:vAlign w:val="bottom"/>
            <w:gridSpan w:val="3"/>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9"/>
              </w:rPr>
              <w:t>10</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Excluding the impact of the ILG Acquisition, general and administrative expenses increased $5 million due to higher personnel related and other expenses, partially offset by savings from synergy initiatives. The personnel related and other expenses included annual merit, bonus and inflationary cost increases.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16"/>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Excluding the impact of the ILG Acquisition, general and administrative expenses increased $11 million due to higher personnel related and other expenses, partially offset by savings from synergy initiatives. The personnel related and other expenses included annual merit, bonus and inflationary cost increases.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Change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due to</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6"/>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80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8"/>
              </w:rPr>
              <w:t>Legacy-ILG</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360" w:type="dxa"/>
            <w:vAlign w:val="bottom"/>
          </w:tcPr>
          <w:p>
            <w:pPr>
              <w:ind w:left="660"/>
              <w:spacing w:after="0"/>
              <w:rPr>
                <w:sz w:val="20"/>
                <w:szCs w:val="20"/>
                <w:color w:val="auto"/>
              </w:rPr>
            </w:pPr>
            <w:r>
              <w:rPr>
                <w:rFonts w:ascii="Arial" w:cs="Arial" w:eastAsia="Arial" w:hAnsi="Arial"/>
                <w:sz w:val="18"/>
                <w:szCs w:val="18"/>
                <w:i w:val="1"/>
                <w:iCs w:val="1"/>
                <w:color w:val="auto"/>
              </w:rPr>
              <w:t>2019 First Three Quarters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5"/>
          </w:tcPr>
          <w:p>
            <w:pPr>
              <w:jc w:val="right"/>
              <w:ind w:right="79"/>
              <w:spacing w:after="0"/>
              <w:rPr>
                <w:sz w:val="20"/>
                <w:szCs w:val="20"/>
                <w:color w:val="auto"/>
              </w:rPr>
            </w:pPr>
            <w:r>
              <w:rPr>
                <w:rFonts w:ascii="Arial" w:cs="Arial" w:eastAsia="Arial" w:hAnsi="Arial"/>
                <w:sz w:val="16"/>
                <w:szCs w:val="16"/>
                <w:b w:val="1"/>
                <w:bCs w:val="1"/>
                <w:color w:val="auto"/>
              </w:rPr>
              <w:t>Nine Months Ended</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Change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due to</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6"/>
              <w:spacing w:after="0"/>
              <w:rPr>
                <w:sz w:val="20"/>
                <w:szCs w:val="20"/>
                <w:color w:val="auto"/>
              </w:rPr>
            </w:pPr>
            <w:r>
              <w:rPr>
                <w:rFonts w:ascii="Arial" w:cs="Arial" w:eastAsia="Arial" w:hAnsi="Arial"/>
                <w:sz w:val="16"/>
                <w:szCs w:val="16"/>
                <w:b w:val="1"/>
                <w:bCs w:val="1"/>
                <w:color w:val="auto"/>
                <w:w w:val="89"/>
              </w:rPr>
              <w:t>2019</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80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8"/>
              </w:rPr>
              <w:t>Legacy-ILG</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0"/>
                <w:szCs w:val="20"/>
                <w:color w:val="auto"/>
              </w:rPr>
            </w:pPr>
            <w:r>
              <w:rPr>
                <w:rFonts w:ascii="Arial" w:cs="Arial" w:eastAsia="Arial" w:hAnsi="Arial"/>
                <w:sz w:val="18"/>
                <w:szCs w:val="18"/>
                <w:b w:val="1"/>
                <w:bCs w:val="1"/>
                <w:color w:val="auto"/>
              </w:rPr>
              <w:t>Gains / Losses and Other Income / Expense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60" w:type="dxa"/>
            <w:vAlign w:val="bottom"/>
          </w:tcPr>
          <w:p>
            <w:pPr>
              <w:ind w:left="660"/>
              <w:spacing w:after="0"/>
              <w:rPr>
                <w:sz w:val="20"/>
                <w:szCs w:val="20"/>
                <w:color w:val="auto"/>
              </w:rPr>
            </w:pPr>
            <w:r>
              <w:rPr>
                <w:rFonts w:ascii="Arial" w:cs="Arial" w:eastAsia="Arial" w:hAnsi="Arial"/>
                <w:sz w:val="18"/>
                <w:szCs w:val="18"/>
                <w:i w:val="1"/>
                <w:iCs w:val="1"/>
                <w:color w:val="auto"/>
              </w:rPr>
              <w:t>2019 Third Quarter</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5"/>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September 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6"/>
              </w:rPr>
              <w:t>Legacy-ILG</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6"/>
                <w:szCs w:val="16"/>
                <w:b w:val="1"/>
                <w:bCs w:val="1"/>
                <w:color w:val="auto"/>
                <w:w w:val="97"/>
              </w:rPr>
              <w:t>Legacy-ILG Impact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gains and other (expense) income, net</w:t>
            </w:r>
          </w:p>
        </w:tc>
        <w:tc>
          <w:tcPr>
            <w:tcW w:w="2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third quarter of 2019, we recorded $7 million of losses and other expenses resulting from foreign currency translation. In the third quarter of 2018, we recorded $3 million of gains and other income resulting from the recovery of a portion of the fraudulently induced electronic payment disbursements made to third parties, partially offset by $2 million of other expenses primarily associated with such fraudulently induced electronic payment disbursements.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76"/>
              <w:spacing w:after="0"/>
              <w:rPr>
                <w:sz w:val="20"/>
                <w:szCs w:val="20"/>
                <w:color w:val="auto"/>
              </w:rPr>
            </w:pPr>
            <w:r>
              <w:rPr>
                <w:rFonts w:ascii="Arial" w:cs="Arial" w:eastAsia="Arial" w:hAnsi="Arial"/>
                <w:sz w:val="16"/>
                <w:szCs w:val="16"/>
                <w:b w:val="1"/>
                <w:bCs w:val="1"/>
                <w:color w:val="auto"/>
              </w:rPr>
              <w:t>Nine Months Ended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w w:val="98"/>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and other expense, net</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first three quarters of 2019, we recorded $8 million of losses and other expenses resulting from foreign currency translation, partially offset by $3 million of gains and other income resulting from the recovery of a portion of the fraudulently induced electronic payment disbursements made in the second quarter of 2018</w:t>
      </w:r>
      <w:r>
        <w:rPr>
          <w:rFonts w:ascii="Arial" w:cs="Arial" w:eastAsia="Arial" w:hAnsi="Arial"/>
          <w:sz w:val="18"/>
          <w:szCs w:val="18"/>
          <w:color w:val="FF0000"/>
        </w:rPr>
        <w:t>.</w:t>
      </w:r>
      <w:r>
        <w:rPr>
          <w:rFonts w:ascii="Arial" w:cs="Arial" w:eastAsia="Arial" w:hAnsi="Arial"/>
          <w:sz w:val="18"/>
          <w:szCs w:val="18"/>
          <w:color w:val="auto"/>
        </w:rPr>
        <w:t xml:space="preserve"> In the first three quarters of 2018, we recorded $6 million of losses and other expenses primarily resulting from fraudulently induced electronic payment disbursements made to third 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Interest expense increased $17 million due to interest expense associated with the new debt issued in the third quarter of 2018 in connection with the ILG Acquisition.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ind w:right="36"/>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(74)</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80" w:firstLine="648"/>
        <w:spacing w:after="0" w:line="311" w:lineRule="auto"/>
        <w:rPr>
          <w:sz w:val="20"/>
          <w:szCs w:val="20"/>
          <w:color w:val="auto"/>
        </w:rPr>
      </w:pPr>
      <w:r>
        <w:rPr>
          <w:rFonts w:ascii="Arial" w:cs="Arial" w:eastAsia="Arial" w:hAnsi="Arial"/>
          <w:sz w:val="16"/>
          <w:szCs w:val="16"/>
          <w:color w:val="auto"/>
        </w:rPr>
        <w:t>Interest expense increased $77 million due to $71 million of interest expense associated with the new debt issued in the third quarter of 2018 in connection with the ILG Acquisition, $4 million of higher interest expense associated with the Warehouse Credit Facility due to higher usage in the first three quarters of 2019, and $2 million of interest expense associated with assumed Legacy-ILG debt in the first three quarters of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ILG Acquisition-Related Costs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6"/>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ind w:left="276"/>
              <w:spacing w:after="0"/>
              <w:rPr>
                <w:sz w:val="20"/>
                <w:szCs w:val="20"/>
                <w:color w:val="auto"/>
              </w:rPr>
            </w:pPr>
            <w:r>
              <w:rPr>
                <w:rFonts w:ascii="Arial" w:cs="Arial" w:eastAsia="Arial" w:hAnsi="Arial"/>
                <w:sz w:val="16"/>
                <w:szCs w:val="16"/>
                <w:b w:val="1"/>
                <w:bCs w:val="1"/>
                <w:color w:val="auto"/>
                <w:w w:val="89"/>
              </w:rPr>
              <w:t>2018</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acquisition-related costs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27</w:t>
            </w:r>
          </w:p>
        </w:tc>
        <w:tc>
          <w:tcPr>
            <w:tcW w:w="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32"/>
        </w:trPr>
        <w:tc>
          <w:tcPr>
            <w:tcW w:w="4400" w:type="dxa"/>
            <w:vAlign w:val="bottom"/>
          </w:tcPr>
          <w:p>
            <w:pPr>
              <w:ind w:left="660"/>
              <w:spacing w:after="0"/>
              <w:rPr>
                <w:sz w:val="20"/>
                <w:szCs w:val="20"/>
                <w:color w:val="auto"/>
              </w:rPr>
            </w:pPr>
            <w:r>
              <w:rPr>
                <w:rFonts w:ascii="Arial" w:cs="Arial" w:eastAsia="Arial" w:hAnsi="Arial"/>
                <w:sz w:val="18"/>
                <w:szCs w:val="18"/>
                <w:i w:val="1"/>
                <w:iCs w:val="1"/>
                <w:color w:val="auto"/>
              </w:rPr>
              <w:t>2019 First Three Quarters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3"/>
          </w:tcPr>
          <w:p>
            <w:pPr>
              <w:jc w:val="right"/>
              <w:ind w:right="36"/>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70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6"/>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ind w:left="276"/>
              <w:spacing w:after="0"/>
              <w:rPr>
                <w:sz w:val="20"/>
                <w:szCs w:val="20"/>
                <w:color w:val="auto"/>
              </w:rPr>
            </w:pPr>
            <w:r>
              <w:rPr>
                <w:rFonts w:ascii="Arial" w:cs="Arial" w:eastAsia="Arial" w:hAnsi="Arial"/>
                <w:sz w:val="16"/>
                <w:szCs w:val="16"/>
                <w:b w:val="1"/>
                <w:bCs w:val="1"/>
                <w:color w:val="auto"/>
                <w:w w:val="89"/>
              </w:rPr>
              <w:t>2018</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w w:val="95"/>
              </w:rPr>
              <w:t>Change</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ILG acquisition-related costs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ILG acquisition-related costs include transaction costs, employee termination costs and integration costs. Transaction costs represent costs related to the planning and execution of the ILG Acquisition, primarily for financial advisory, legal, and other professional service fees, as well as certain tax related accruals. Employee termination costs represent charges for employee severance, retention and other termination related benefits. Acquisition and integration costs primarily represent integration employee salaries and share-based compensation, fees paid to change management consultants and technology-related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3"/>
          </w:tcPr>
          <w:p>
            <w:pPr>
              <w:jc w:val="right"/>
              <w:ind w:right="96"/>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40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440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7"/>
        </w:trPr>
        <w:tc>
          <w:tcPr>
            <w:tcW w:w="4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Change</w:t>
            </w:r>
          </w:p>
        </w:tc>
      </w:tr>
      <w:tr>
        <w:trPr>
          <w:trHeight w:val="243"/>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increase in the provision for income taxes was primarily due to increases in U.S. and foreign earnings as a result of the ILG Acquisition during the third quarter of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2019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right"/>
              <w:ind w:right="56"/>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Change</w:t>
            </w: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4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increase in the provision for income taxes was primarily due to increases in U.S. and foreign earnings as a result of the ILG Acquisition during the third quarter of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capital needs are supported by cash on hand ($183 million at the end of the third quarter of 2019),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September 30, 2019, we had $4.0 billion of total gross debt outstanding, which included $1.7 billion of non-recourse debt associated with vacation ownership notes receivable securitizations, $1.0 billion of Senior Notes, $1.1 billion on our Corporate Credit Facility, $230 million of Convertible Notes and $14 million related to financed lease obligations.</w:t>
      </w:r>
    </w:p>
    <w:p>
      <w:pPr>
        <w:spacing w:after="0" w:line="8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On September 17, 2019, we announced the offer and pricing of senior notes, and on October 1, 2019, subsequent to the third quarter of 2019, we issued $350 million aggregate principal amount of 4.750% Senior Notes due 2028 (the “2028 Notes”). We will pay interest on the 2028 Notes on March 15 and September 15 of each year, commencing on March 15, 2020. The net proceeds from the 2028 Notes were used (i) to redeem all of the outstanding IAC Notes, (ii) to redeem all of the outstanding Exchange Notes, (iii) to repay a portion of the outstanding borrowings under our Revolving Corporate Credit Facility, (iv) to pay transaction expenses and fees in connection with each of the foregoing and (v) for general corporate purposes.</w:t>
      </w:r>
    </w:p>
    <w:p>
      <w:pPr>
        <w:spacing w:after="0" w:line="5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At the end of the third quarter of 2019, we had $899 million of real estate inventory on hand, comprised of $840 million of finished goods and $59 million of work in progress. In addition, we had $58 million of completed vacation ownership units that have been classified as a component of Property and equipment until the time at which they are legally registered and held for sale as vacation ownership products.</w:t>
      </w:r>
    </w:p>
    <w:p>
      <w:pPr>
        <w:spacing w:after="0" w:line="76"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Our Vacation Ownership segment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inventory acquisitions with the pace of sales of vacation ownership products. We are continuing to standardize our sales inventory acquisition policies across our portfolio of vacation ownership brands acquired as part of the ILG Acquisition.</w:t>
      </w:r>
    </w:p>
    <w:p>
      <w:pPr>
        <w:spacing w:after="0" w:line="6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selectively pursuing growth opportunities in our Vacation Ownership segment by targeting high-quality inventory that allows us to add desirable new destinations to our systems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Our Exchange &amp; Third-Party Management segment includes exchange networks, membership programs and third-party property management services that were acquired as part of the ILG Acquisition. These networks, programs and services generate revenue that is generally fee-based and derived from membership, exchange and rental transactions, property and association management and other related products and services.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185"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37465</wp:posOffset>
            </wp:positionV>
            <wp:extent cx="23488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2019</w:t>
            </w:r>
          </w:p>
        </w:tc>
        <w:tc>
          <w:tcPr>
            <w:tcW w:w="180" w:type="dxa"/>
            <w:vAlign w:val="bottom"/>
          </w:tcPr>
          <w:p>
            <w:pPr>
              <w:spacing w:after="0"/>
              <w:rPr>
                <w:sz w:val="20"/>
                <w:szCs w:val="20"/>
                <w:color w:val="auto"/>
              </w:rPr>
            </w:pPr>
          </w:p>
        </w:tc>
        <w:tc>
          <w:tcPr>
            <w:tcW w:w="162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September 30, 2018</w:t>
            </w:r>
          </w:p>
        </w:tc>
        <w:tc>
          <w:tcPr>
            <w:tcW w:w="0" w:type="dxa"/>
            <w:vAlign w:val="bottom"/>
          </w:tcPr>
          <w:p>
            <w:pPr>
              <w:spacing w:after="0"/>
              <w:rPr>
                <w:sz w:val="1"/>
                <w:szCs w:val="1"/>
                <w:color w:val="auto"/>
              </w:rPr>
            </w:pP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540" w:type="dxa"/>
            <w:vAlign w:val="bottom"/>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7540" w:type="dxa"/>
            <w:vAlign w:val="bottom"/>
            <w:vMerge w:val="restart"/>
          </w:tcPr>
          <w:p>
            <w:pPr>
              <w:ind w:left="5540"/>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or recording of sales contracts for vacation ownership products, financing propensity and cash outlays for inventory acquisition and development.</w:t>
      </w:r>
    </w:p>
    <w:p>
      <w:pPr>
        <w:spacing w:after="0" w:line="8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the first three quarters of 2019, we generated $180 million of cash flows from operating activities, compared to $67 million in the first three quarters of 2018. Excluding the impact of changes in net income and adjustments for non-cash items, the change in cash flows from operations reflected higher originations of vacation ownership notes receivable driven by higher contract sales and continued strong financing propensity, higher inventory spending and timing of maintenance fee payments on unsold inventory, partially offset by higher collections due to an increasing portfolio of outstanding vacation ownership notes receivable.</w:t>
      </w:r>
    </w:p>
    <w:p>
      <w:pPr>
        <w:spacing w:after="0" w:line="8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Less Than Cost of Sales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4"/>
          </w:tcPr>
          <w:p>
            <w:pPr>
              <w:jc w:val="right"/>
              <w:ind w:right="105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2019</w:t>
            </w:r>
          </w:p>
        </w:tc>
        <w:tc>
          <w:tcPr>
            <w:tcW w:w="180" w:type="dxa"/>
            <w:vAlign w:val="bottom"/>
          </w:tcPr>
          <w:p>
            <w:pPr>
              <w:spacing w:after="0"/>
              <w:rPr>
                <w:sz w:val="22"/>
                <w:szCs w:val="22"/>
                <w:color w:val="auto"/>
              </w:rPr>
            </w:pPr>
          </w:p>
        </w:tc>
        <w:tc>
          <w:tcPr>
            <w:tcW w:w="162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September 30, 2018</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spending</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 costs</w:t>
            </w:r>
          </w:p>
        </w:tc>
        <w:tc>
          <w:tcPr>
            <w:tcW w:w="160" w:type="dxa"/>
            <w:vAlign w:val="bottom"/>
          </w:tcPr>
          <w:p>
            <w:pPr>
              <w:spacing w:after="0"/>
              <w:rPr>
                <w:sz w:val="21"/>
                <w:szCs w:val="21"/>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8"/>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spending less than cost of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80" w:firstLine="648"/>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Income Statements related to sale of vacation ownership products (a non-cash item).</w:t>
      </w:r>
    </w:p>
    <w:p>
      <w:pPr>
        <w:spacing w:after="0" w:line="16" w:lineRule="exact"/>
        <w:rPr>
          <w:sz w:val="20"/>
          <w:szCs w:val="20"/>
          <w:color w:val="auto"/>
        </w:rPr>
      </w:pPr>
    </w:p>
    <w:p>
      <w:pPr>
        <w:ind w:right="20" w:firstLine="661"/>
        <w:spacing w:after="0" w:line="293" w:lineRule="auto"/>
        <w:rPr>
          <w:sz w:val="20"/>
          <w:szCs w:val="20"/>
          <w:color w:val="auto"/>
        </w:rPr>
      </w:pPr>
      <w:r>
        <w:rPr>
          <w:rFonts w:ascii="Arial" w:cs="Arial" w:eastAsia="Arial" w:hAnsi="Arial"/>
          <w:sz w:val="16"/>
          <w:szCs w:val="16"/>
          <w:color w:val="auto"/>
        </w:rPr>
        <w:t>Given the significant level of completed real estate inventory on hand, as well as the capital efficiency resulting from our points programs and capital efficient transactions, our spending for real estate inventory remained below the amount of real estate inventory costs in both the first three quarters of 2019 and the first three quarters of 2018. We expect our 2019 full year inventory spending to be lower than our inventory costs, even including payments to satisfy our remaining commitments to purchase vacation ownership units. We entered into these commitments in prior periods as part of our capital efficiency strategy to limit our up-front capital investment and purchase finished inventory closer to the time it is needed for sale. See Footnote 11 “Contingencies and Commitments” to our Financial Statements for additional information regarding our remaining commitments.</w:t>
      </w:r>
    </w:p>
    <w:p>
      <w:pPr>
        <w:spacing w:after="0" w:line="5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Our inventory spending was less than inventory costs in the first three quarters of 2018, even including a payment of $48 million for the acquisition of 78 completed vacation ownership units at our Marriott Vacation Club Pulse, San Francisco resort. During the first three quarters of 2018, inventory spending included $24 million for the acquisition of 20 completed vacation ownership units at our resort in Marco Island, Florida, as well as a deposit of $2 million for the purchase of completed vacation ownership units located in Bali, Indonesia.</w:t>
      </w:r>
    </w:p>
    <w:p>
      <w:pPr>
        <w:spacing w:after="0" w:line="6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Less Than Originations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4"/>
          </w:tcPr>
          <w:p>
            <w:pPr>
              <w:jc w:val="right"/>
              <w:ind w:right="105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8"/>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2019</w:t>
            </w:r>
          </w:p>
        </w:tc>
        <w:tc>
          <w:tcPr>
            <w:tcW w:w="180" w:type="dxa"/>
            <w:vAlign w:val="bottom"/>
          </w:tcPr>
          <w:p>
            <w:pPr>
              <w:spacing w:after="0"/>
              <w:rPr>
                <w:sz w:val="22"/>
                <w:szCs w:val="22"/>
                <w:color w:val="auto"/>
              </w:rPr>
            </w:pPr>
          </w:p>
        </w:tc>
        <w:tc>
          <w:tcPr>
            <w:tcW w:w="162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September 30, 2018</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collections — non-securitized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160" w:type="dxa"/>
            <w:vAlign w:val="bottom"/>
          </w:tcPr>
          <w:p>
            <w:pPr>
              <w:spacing w:after="0"/>
              <w:rPr>
                <w:sz w:val="21"/>
                <w:szCs w:val="21"/>
                <w:color w:val="auto"/>
              </w:rPr>
            </w:pP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174</w:t>
            </w: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originations</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37"/>
        </w:trPr>
        <w:tc>
          <w:tcPr>
            <w:tcW w:w="7540" w:type="dxa"/>
            <w:vAlign w:val="bottom"/>
          </w:tcPr>
          <w:p>
            <w:pPr>
              <w:ind w:left="280"/>
              <w:spacing w:after="0"/>
              <w:rPr>
                <w:sz w:val="20"/>
                <w:szCs w:val="20"/>
                <w:color w:val="auto"/>
              </w:rPr>
            </w:pPr>
            <w:r>
              <w:rPr>
                <w:rFonts w:ascii="Arial" w:cs="Arial" w:eastAsia="Arial" w:hAnsi="Arial"/>
                <w:sz w:val="18"/>
                <w:szCs w:val="18"/>
                <w:color w:val="auto"/>
              </w:rPr>
              <w:t>Vacation ownership notes receivable collections less than originations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Vacation ownership notes receivable collections increased during the first three quarters of 2019, as compared to the first three quarters of 2018, due to an increase in the portfolio of outstanding vacation ownership notes receivable, including vacation ownership notes receivable acquired as part of the ILG acquisition. Vacation ownership notes receivable originations in the first three quarters of 2019 increased due to higher Legacy-MVW contract sales and the inclusion of Legacy-ILG contract sales in 2019. Financing propensity was slightly lower at 66 percent for the first three quarters of 2019 and 67 percent for the first three quarters of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4"/>
          </w:tcPr>
          <w:p>
            <w:pPr>
              <w:jc w:val="right"/>
              <w:ind w:right="105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3"/>
              </w:rPr>
              <w:t>September 30, 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w w:val="92"/>
              </w:rPr>
              <w:t>September 30, 2018</w:t>
            </w: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a business, net of cash and restricted cash acquired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collection of 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Purchase of company owned life insurance</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cash equivalents and restricted cash provided by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a Business, Net of Cash and Restricted Cash Acquired</w:t>
      </w:r>
    </w:p>
    <w:p>
      <w:pPr>
        <w:spacing w:after="0" w:line="117"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Cash outflows of $1.4 billion in 2018 were due to the ILG Acquisition. See Footnote 3 “Acquisitions and Dispositions” to our Financial Statements for more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76"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In the first three quarters of 2019, capital expenditures for property and equipment of $32 million included $19 million to support business operations (including $9 million for ancillary and other operations assets and $10 million for sales locations) and $13 million for technology spending.</w:t>
      </w:r>
    </w:p>
    <w:p>
      <w:pPr>
        <w:spacing w:after="0" w:line="16" w:lineRule="exact"/>
        <w:rPr>
          <w:sz w:val="20"/>
          <w:szCs w:val="20"/>
          <w:color w:val="auto"/>
        </w:rPr>
      </w:pPr>
    </w:p>
    <w:p>
      <w:pPr>
        <w:jc w:val="both"/>
        <w:ind w:right="560" w:firstLine="648"/>
        <w:spacing w:after="0" w:line="342" w:lineRule="auto"/>
        <w:rPr>
          <w:sz w:val="20"/>
          <w:szCs w:val="20"/>
          <w:color w:val="auto"/>
        </w:rPr>
      </w:pPr>
      <w:r>
        <w:rPr>
          <w:rFonts w:ascii="Arial" w:cs="Arial" w:eastAsia="Arial" w:hAnsi="Arial"/>
          <w:sz w:val="16"/>
          <w:szCs w:val="16"/>
          <w:color w:val="auto"/>
        </w:rPr>
        <w:t>In the first three quarters of 2018, capital expenditures for property and equipment of $17 million included $13 million to support business operations (including $7 million for ancillary and other operations assets and $6 million for sales locations) and $4 million for technology spending.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Collection of Notes Receivable</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first three quarters of 2019, we collected $23 million of notes receivable related to the disposition of our interest in VRI Europe in the fourth quarter of 2018. In addition, we collected a $15 million note receivable acquired in the ILG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During the first three quarters of 2019, we paid $5 million to acquire these policies as compared to $13 million during the first three quarters of 2018.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4"/>
          </w:tcPr>
          <w:p>
            <w:pPr>
              <w:jc w:val="right"/>
              <w:ind w:right="105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2019</w:t>
            </w:r>
          </w:p>
        </w:tc>
        <w:tc>
          <w:tcPr>
            <w:tcW w:w="180" w:type="dxa"/>
            <w:vAlign w:val="bottom"/>
          </w:tcPr>
          <w:p>
            <w:pPr>
              <w:spacing w:after="0"/>
              <w:rPr>
                <w:sz w:val="22"/>
                <w:szCs w:val="22"/>
                <w:color w:val="auto"/>
              </w:rPr>
            </w:pPr>
          </w:p>
        </w:tc>
        <w:tc>
          <w:tcPr>
            <w:tcW w:w="162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September 30, 2018</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from securitization transactions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Repayment of debt related to securitization transactions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payment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Payment of dividends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cash equivalents and restricted cash (used in) provided by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1,671</w:t>
            </w: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$247 million of gross vacation ownership notes receivable were eligible for securitization.</w:t>
      </w:r>
    </w:p>
    <w:p>
      <w:pPr>
        <w:spacing w:after="0" w:line="11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During the second quarter of 2019, we completed the securitization of a pool of $459 million of vacation ownership notes receivable. In connection with the securitization, investors purchased in a private placement $450 million in vacation ownership loan backed notes from the 2019-1 LLC. Three classes of vacation ownership loan backed notes were issued by the 2019-1 LLC: $350 million of Class A Notes, $67 million of Class B Notes and $33 million of Class C Notes. The Class A Notes have an interest rate of 2.89 percent, the Class B Notes have an interest rate of 3.00 percent and the Class C Notes have an interest rate of 3.33 percent, for an overall weighted average interest rate of 2.94 percent.</w:t>
      </w:r>
    </w:p>
    <w:p>
      <w:pPr>
        <w:spacing w:after="0" w:line="6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October 10, 2019, subsequent to the third quarter of 2019, we completed the securitization of a pool of $315 million of vacation ownership notes receivable. Approximately $236 million of the vacation ownership notes receivable were purchased on October 10, 2019 by the 2019-2 LLC, and we expect the remaining vacation ownership notes receivable to be purchased by the 2019-2 LLC prior to March 31, 2020. The 2019-2 LLC holds the remaining proceeds, which will be released as the remaining vacation ownership notes receivable are purchased. On November 7, 2019, an additional $44 million of the remaining vacation ownership notes receivable were purchased and $42 million was released from restricted cash. Any funds not used to purchase vacation ownership notes receivable will be returned to the investors. Three classes of vacation ownership loan backed notes were issued by the 2019-2 LLC: $232 million of Class A Notes, $54 million of Class B Notes and $23 million of Class C Notes. The Class A Notes have an interest rate of 2.22 percent, the Class B Notes have an interest rate of 2.44 percent and the Class C Notes have an interest rate of 2.68 percent, for an overall weighted average interest rate of 2.29 percent.</w:t>
      </w:r>
    </w:p>
    <w:p>
      <w:pPr>
        <w:spacing w:after="0" w:line="7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third quarter of 2019, we securitized vacation ownership notes receivable under our Warehouse Credit Facility. The carrying amount of the vacation ownership notes receivable securitized was $67 million. The advance rate was 85 percent, which resulted in gross proceeds of $57 million. Net proceeds were $57 million due to the funding of reserve accounts of less than $1 million.</w:t>
      </w:r>
    </w:p>
    <w:p>
      <w:pPr>
        <w:spacing w:after="0" w:line="7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During the first quarter of 2019, we securitized vacation ownership notes receivable under our Warehouse Credit Facility. The carrying amount of the vacation ownership notes receivable securitized was $146 million. The advance rate was 85 percent, which resulted in gross proceeds of $124 million. Net proceeds were $123 million due to the funding of reserve accounts of $1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 Repayments of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Borrowings from / Repayment of Corporate Credit Facility</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first three quarters of 2019, we borrowed $495 million under our Revolving Corporate Credit Facility to facilitate the funding of our short-term working capital needs, $270 million of which has been repaid, and had $225 million outstanding as of September 30, 2019. During the first three quarters of 2019, we also repaid $7 million of the amount outstanding under the Term Loan, which is part of our Corporate Credit Facility. See Footnote 14 “Debt” to our Financial Statements for additional information regarding our Corporate Credit Facility that includes our Revolving Corporate Credit Facility and the Term Loan.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Lease Payment</w:t>
      </w:r>
    </w:p>
    <w:p>
      <w:pPr>
        <w:spacing w:after="0" w:line="11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third quarter of 2019, in conjunction with the acquisition of the 78 completed vacation ownership units at our Marriott Vacation Club Pulse, San Francisco resort, we acquired the accompanying sales gallery for $10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During the first three quarters of 2019, we paid $11 million of debt issuance costs, which included $6 million associated with the 2019-1 vacation ownership notes receivable securitization and $5 million associated with the issuance of the 2028 Notes on October 1, 2019, subsequent to the third quarter of 2019.</w:t>
      </w:r>
    </w:p>
    <w:p>
      <w:pPr>
        <w:spacing w:after="0" w:line="76"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During the first three quarters of 2018, we paid $34 million of debt issuance costs, which included $13 million associated with the Term Loan, $9 million associated with the issuance of Senior Unsecured Note, $6 million associated with the 2018 vacation ownership notes receivable securitization, $4 million associated with our Revolving Corporate Credit Facility, $1 million associated with the amendment and extension of our Warehouse Credit Facility and $1 million associated with the issuance of the Exchange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Repayment of Other Debt</w:t>
      </w:r>
    </w:p>
    <w:p>
      <w:pPr>
        <w:spacing w:after="0" w:line="11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During the first three quarters of 2019, we paid the remaining balance of $31 million on the non-interest bearing note payable related to the acquisition of 112 completed vacation ownership units located on the Big Island of Hawaii in 2017.</w:t>
      </w:r>
    </w:p>
    <w:p>
      <w:pPr>
        <w:spacing w:after="0" w:line="6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first three quarters of 2018, we paid $33 million on the non-interest bearing note payable related to the acquisition of 112 completed vacation ownership units located on the Big Island of Hawaii in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2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120" w:type="dxa"/>
            <w:vAlign w:val="bottom"/>
          </w:tcPr>
          <w:p>
            <w:pPr>
              <w:spacing w:after="0"/>
              <w:rPr>
                <w:sz w:val="17"/>
                <w:szCs w:val="17"/>
                <w:color w:val="auto"/>
              </w:rPr>
            </w:pPr>
          </w:p>
        </w:tc>
        <w:tc>
          <w:tcPr>
            <w:tcW w:w="1440" w:type="dxa"/>
            <w:vAlign w:val="bottom"/>
          </w:tcPr>
          <w:p>
            <w:pPr>
              <w:jc w:val="right"/>
              <w:ind w:right="3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Repurchased</w:t>
            </w:r>
          </w:p>
        </w:tc>
        <w:tc>
          <w:tcPr>
            <w:tcW w:w="120" w:type="dxa"/>
            <w:vAlign w:val="bottom"/>
          </w:tcPr>
          <w:p>
            <w:pPr>
              <w:spacing w:after="0"/>
              <w:rPr>
                <w:sz w:val="20"/>
                <w:szCs w:val="20"/>
                <w:color w:val="auto"/>
              </w:rPr>
            </w:pPr>
          </w:p>
        </w:tc>
        <w:tc>
          <w:tcPr>
            <w:tcW w:w="1440" w:type="dxa"/>
            <w:vAlign w:val="bottom"/>
          </w:tcPr>
          <w:p>
            <w:pPr>
              <w:jc w:val="right"/>
              <w:ind w:right="354"/>
              <w:spacing w:after="0"/>
              <w:rPr>
                <w:sz w:val="20"/>
                <w:szCs w:val="20"/>
                <w:color w:val="auto"/>
              </w:rPr>
            </w:pPr>
            <w:r>
              <w:rPr>
                <w:rFonts w:ascii="Arial" w:cs="Arial" w:eastAsia="Arial" w:hAnsi="Arial"/>
                <w:sz w:val="16"/>
                <w:szCs w:val="16"/>
                <w:b w:val="1"/>
                <w:bCs w:val="1"/>
                <w:color w:val="auto"/>
              </w:rPr>
              <w:t>per Share</w:t>
            </w:r>
          </w:p>
        </w:tc>
      </w:tr>
      <w:tr>
        <w:trPr>
          <w:trHeight w:val="250"/>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16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11,687,774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67.85</w:t>
            </w: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For the first three quarters of 2019</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3,667,175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93.24</w:t>
            </w:r>
          </w:p>
        </w:tc>
      </w:tr>
      <w:tr>
        <w:trPr>
          <w:trHeight w:val="27"/>
        </w:trPr>
        <w:tc>
          <w:tcPr>
            <w:tcW w:w="63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2019</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15,354,949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73.91</w:t>
            </w:r>
          </w:p>
        </w:tc>
      </w:tr>
      <w:tr>
        <w:trPr>
          <w:trHeight w:val="20"/>
        </w:trPr>
        <w:tc>
          <w:tcPr>
            <w:tcW w:w="6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Footnote 15 “Shareholders' Equity” to our Financial Statements for further information related to our share repurchase program.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during the first three quarters of 2019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Shareholder Record Date</w:t>
            </w:r>
          </w:p>
        </w:tc>
        <w:tc>
          <w:tcPr>
            <w:tcW w:w="2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3"/>
              </w:rPr>
              <w:t>Dividend per Share</w:t>
            </w:r>
          </w:p>
        </w:tc>
      </w:tr>
      <w:tr>
        <w:trPr>
          <w:trHeight w:val="33"/>
        </w:trPr>
        <w:tc>
          <w:tcPr>
            <w:tcW w:w="2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6, 2018</w:t>
            </w:r>
          </w:p>
        </w:tc>
        <w:tc>
          <w:tcPr>
            <w:tcW w:w="2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December 20, 2018</w:t>
            </w:r>
          </w:p>
        </w:tc>
        <w:tc>
          <w:tcPr>
            <w:tcW w:w="2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January 3, 2019</w:t>
            </w:r>
          </w:p>
        </w:tc>
        <w:tc>
          <w:tcPr>
            <w:tcW w:w="2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$0.45</w:t>
            </w:r>
          </w:p>
        </w:tc>
      </w:tr>
      <w:tr>
        <w:trPr>
          <w:trHeight w:val="243"/>
        </w:trPr>
        <w:tc>
          <w:tcPr>
            <w:tcW w:w="2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15, 2019</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28, 2019</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14, 2019</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$0.45</w:t>
            </w:r>
          </w:p>
        </w:tc>
      </w:tr>
      <w:tr>
        <w:trPr>
          <w:trHeight w:val="27"/>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43"/>
        </w:trPr>
        <w:tc>
          <w:tcPr>
            <w:tcW w:w="2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May 9, 2019</w:t>
            </w:r>
          </w:p>
        </w:tc>
        <w:tc>
          <w:tcPr>
            <w:tcW w:w="2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23, 2019</w:t>
            </w:r>
          </w:p>
        </w:tc>
        <w:tc>
          <w:tcPr>
            <w:tcW w:w="2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June 6, 2019</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$0.45</w:t>
            </w:r>
          </w:p>
        </w:tc>
      </w:tr>
      <w:tr>
        <w:trPr>
          <w:trHeight w:val="27"/>
        </w:trPr>
        <w:tc>
          <w:tcPr>
            <w:tcW w:w="2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dividend payments.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September 30,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Payments Due by Period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Remainder</w:t>
            </w:r>
          </w:p>
        </w:tc>
        <w:tc>
          <w:tcPr>
            <w:tcW w:w="16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of 2019</w:t>
            </w:r>
          </w:p>
        </w:tc>
        <w:tc>
          <w:tcPr>
            <w:tcW w:w="160" w:type="dxa"/>
            <w:vAlign w:val="bottom"/>
          </w:tcPr>
          <w:p>
            <w:pPr>
              <w:spacing w:after="0"/>
              <w:rPr>
                <w:sz w:val="20"/>
                <w:szCs w:val="20"/>
                <w:color w:val="auto"/>
              </w:rPr>
            </w:pPr>
          </w:p>
        </w:tc>
        <w:tc>
          <w:tcPr>
            <w:tcW w:w="106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2020 - 2021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2"/>
              <w:spacing w:after="0"/>
              <w:rPr>
                <w:sz w:val="20"/>
                <w:szCs w:val="20"/>
                <w:color w:val="auto"/>
              </w:rPr>
            </w:pPr>
            <w:r>
              <w:rPr>
                <w:rFonts w:ascii="Arial" w:cs="Arial" w:eastAsia="Arial" w:hAnsi="Arial"/>
                <w:sz w:val="16"/>
                <w:szCs w:val="16"/>
                <w:b w:val="1"/>
                <w:bCs w:val="1"/>
                <w:color w:val="auto"/>
                <w:w w:val="95"/>
              </w:rPr>
              <w:t>2022 - 2023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51"/>
              <w:spacing w:after="0"/>
              <w:rPr>
                <w:sz w:val="20"/>
                <w:szCs w:val="20"/>
                <w:color w:val="auto"/>
              </w:rPr>
            </w:pPr>
            <w:r>
              <w:rPr>
                <w:rFonts w:ascii="Arial" w:cs="Arial" w:eastAsia="Arial" w:hAnsi="Arial"/>
                <w:sz w:val="16"/>
                <w:szCs w:val="16"/>
                <w:b w:val="1"/>
                <w:bCs w:val="1"/>
                <w:color w:val="auto"/>
                <w:w w:val="99"/>
              </w:rPr>
              <w:t>Thereafter</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Debt</w:t>
            </w:r>
            <w:r>
              <w:rPr>
                <w:rFonts w:ascii="Arial" w:cs="Arial" w:eastAsia="Arial" w:hAnsi="Arial"/>
                <w:sz w:val="18"/>
                <w:szCs w:val="18"/>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88"/>
                <w:shd w:val="clear" w:color="auto" w:fill="CCEEFF"/>
              </w:rPr>
              <w:t>Purchase obligations</w:t>
            </w:r>
          </w:p>
        </w:tc>
        <w:tc>
          <w:tcPr>
            <w:tcW w:w="2840" w:type="dxa"/>
            <w:vAlign w:val="bottom"/>
            <w:tcBorders>
              <w:bottom w:val="single" w:sz="8" w:color="CCEEFF"/>
            </w:tcBorders>
            <w:shd w:val="clear" w:color="auto" w:fill="CCEEFF"/>
          </w:tcPr>
          <w:p>
            <w:pPr>
              <w:jc w:val="right"/>
              <w:ind w:right="2695"/>
              <w:spacing w:after="0"/>
              <w:rPr>
                <w:sz w:val="20"/>
                <w:szCs w:val="20"/>
                <w:color w:val="auto"/>
              </w:rPr>
            </w:pPr>
            <w:r>
              <w:rPr>
                <w:rFonts w:ascii="Arial" w:cs="Arial" w:eastAsia="Arial" w:hAnsi="Arial"/>
                <w:sz w:val="9"/>
                <w:szCs w:val="9"/>
                <w:color w:val="auto"/>
                <w:w w:val="72"/>
              </w:rPr>
              <w:t>(2)</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 obligations</w:t>
            </w:r>
            <w:r>
              <w:rPr>
                <w:rFonts w:ascii="Arial" w:cs="Arial" w:eastAsia="Arial" w:hAnsi="Arial"/>
                <w:sz w:val="18"/>
                <w:szCs w:val="18"/>
                <w:color w:val="auto"/>
                <w:vertAlign w:val="superscript"/>
              </w:rPr>
              <w:t>(3)</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18"/>
                <w:szCs w:val="18"/>
                <w:color w:val="auto"/>
                <w:vertAlign w:val="superscript"/>
              </w:rPr>
              <w:t>(4)</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3"/>
            <w:vMerge w:val="restart"/>
          </w:tcPr>
          <w:p>
            <w:pPr>
              <w:jc w:val="right"/>
              <w:ind w:right="2315"/>
              <w:spacing w:after="0"/>
              <w:rPr>
                <w:sz w:val="20"/>
                <w:szCs w:val="20"/>
                <w:color w:val="auto"/>
              </w:rPr>
            </w:pPr>
            <w:r>
              <w:rPr>
                <w:rFonts w:ascii="Arial" w:cs="Arial" w:eastAsia="Arial" w:hAnsi="Arial"/>
                <w:sz w:val="18"/>
                <w:szCs w:val="18"/>
                <w:color w:val="auto"/>
                <w:w w:val="89"/>
              </w:rPr>
              <w:t>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principal as well as interest payments and excludes unamortized debt discount and issuance costs.</w:t>
      </w:r>
    </w:p>
    <w:p>
      <w:pPr>
        <w:spacing w:after="0" w:line="56" w:lineRule="exact"/>
        <w:rPr>
          <w:rFonts w:ascii="Arial" w:cs="Arial" w:eastAsia="Arial" w:hAnsi="Arial"/>
          <w:sz w:val="25"/>
          <w:szCs w:val="25"/>
          <w:color w:val="auto"/>
          <w:vertAlign w:val="superscript"/>
        </w:rPr>
      </w:pPr>
    </w:p>
    <w:p>
      <w:pPr>
        <w:ind w:left="660" w:right="360" w:hanging="652"/>
        <w:spacing w:after="0" w:line="253" w:lineRule="auto"/>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represent expected funding under such contracts. Amounts reflected on the consolidated balance sheet as accounts payable and accrued liabilities are excluded from the table above.</w:t>
      </w:r>
    </w:p>
    <w:p>
      <w:pPr>
        <w:ind w:left="660" w:hanging="652"/>
        <w:spacing w:after="0" w:line="225"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interest.</w:t>
      </w:r>
    </w:p>
    <w:p>
      <w:pPr>
        <w:spacing w:after="0" w:line="56" w:lineRule="exact"/>
        <w:rPr>
          <w:rFonts w:ascii="Arial" w:cs="Arial" w:eastAsia="Arial" w:hAnsi="Arial"/>
          <w:sz w:val="25"/>
          <w:szCs w:val="25"/>
          <w:color w:val="auto"/>
          <w:vertAlign w:val="superscript"/>
        </w:rPr>
      </w:pPr>
    </w:p>
    <w:p>
      <w:pPr>
        <w:ind w:left="660" w:right="720" w:hanging="652"/>
        <w:spacing w:after="0" w:line="208"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Primarily relates to future guaranteed purchases of rental inventory, operational support services, marketing related benefits, membership fulfillment benefits and other commitments.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 except those resulting from the following:</w:t>
      </w:r>
    </w:p>
    <w:p>
      <w:pPr>
        <w:spacing w:after="0" w:line="84" w:lineRule="exact"/>
        <w:rPr>
          <w:sz w:val="20"/>
          <w:szCs w:val="20"/>
          <w:color w:val="auto"/>
        </w:rPr>
      </w:pPr>
    </w:p>
    <w:p>
      <w:pPr>
        <w:ind w:left="1140" w:right="200" w:hanging="484"/>
        <w:spacing w:after="0" w:line="263"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adoption of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which is discussed in Footnote 2 “Significant Accounting Policies and Recent Accounting Standards” and Footnote 12 “Leases” to our interim consolidated financial statements presented in Part 1, Item 1 of this Quarterly Report on Form 10-Q; and</w:t>
      </w:r>
    </w:p>
    <w:p>
      <w:pPr>
        <w:spacing w:after="0" w:line="75" w:lineRule="exact"/>
        <w:rPr>
          <w:rFonts w:ascii="Arial" w:cs="Arial" w:eastAsia="Arial" w:hAnsi="Arial"/>
          <w:sz w:val="18"/>
          <w:szCs w:val="18"/>
          <w:color w:val="auto"/>
        </w:rPr>
      </w:pPr>
    </w:p>
    <w:p>
      <w:pPr>
        <w:ind w:left="1140" w:right="520" w:hanging="484"/>
        <w:spacing w:after="0" w:line="27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 price allocations of business combinations, which is discussed in Footnote 3 “Acquisitions and Dispositions” to our interim consolidated financial statements presented in Part 1, Item 1 of this Quarterly Report on Form 10-Q.</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exposure to market risk has not changed materially from that disclosed in Part I, Item 7A of our Annual Report on Form 10-K for the year ended December 31,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made no changes in our internal control over financial reporting during the period covered by this Quarterly Report on Form 10-Q that have materially affected, or are reasonably likely to materially affect, our internal control over financial reporting other than changes in control over financial reporting to integrate the business we acquired in the ILG Acquisition. In the third quarter of 2019 we migrated the acquired portion of the Vacation Ownership segment to our existing general ledger 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There have been no material changes from the risk factors disclosed in Part I, Item 1A of our Annual Report on Form 10-K for the fiscal year ended December 31, 2018 other than as disclosed in our Quarterly Report on Form 10-Q for the fiscal quarter ended June 30, 2019.</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320" w:top="125" w:right="3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Number of</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43"/>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Plans or Programs</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2019 – July 31, 2019</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403,499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$98.32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403,499</w:t>
            </w:r>
          </w:p>
        </w:tc>
        <w:tc>
          <w:tcPr>
            <w:tcW w:w="2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4,663,772</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August 1, 2019 – August 31, 2019</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548,848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$90.83</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548,848</w:t>
            </w:r>
          </w:p>
        </w:tc>
        <w:tc>
          <w:tcPr>
            <w:tcW w:w="20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4,114,924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2019 – September 30, 2019</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356,020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$105.22</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356,020</w:t>
            </w:r>
          </w:p>
        </w:tc>
        <w:tc>
          <w:tcPr>
            <w:tcW w:w="2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3,758,904</w:t>
            </w:r>
          </w:p>
        </w:tc>
        <w:tc>
          <w:tcPr>
            <w:tcW w:w="0" w:type="dxa"/>
            <w:vAlign w:val="bottom"/>
          </w:tcPr>
          <w:p>
            <w:pPr>
              <w:spacing w:after="0"/>
              <w:rPr>
                <w:sz w:val="1"/>
                <w:szCs w:val="1"/>
                <w:color w:val="auto"/>
              </w:rPr>
            </w:pP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1,308,367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$97.06</w:t>
            </w:r>
          </w:p>
        </w:tc>
        <w:tc>
          <w:tcPr>
            <w:tcW w:w="100" w:type="dxa"/>
            <w:vAlign w:val="bottom"/>
          </w:tcPr>
          <w:p>
            <w:pPr>
              <w:spacing w:after="0"/>
              <w:rPr>
                <w:sz w:val="22"/>
                <w:szCs w:val="22"/>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1,308,367</w:t>
            </w:r>
          </w:p>
        </w:tc>
        <w:tc>
          <w:tcPr>
            <w:tcW w:w="20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3,758,904</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 w:hanging="652"/>
        <w:spacing w:after="0" w:line="232"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On July 30, 2019, our Board of Directors authorized the extension of the duration of our existing share repurchase program to December 31, 2020, as well as the repurchase of up to 4.5 million additional shares of our common stock. As of September 30, 2019, our Board of Directors had authorized the repurchase of an aggregate of up to 19.4 million shares of our common stock under the share repurchase program since the initiation of the program in October 2013.</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documents referenced below are being filed as a part of this Quarterly Report on Form 10-Q, unless otherwise noted.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Filed</w:t>
            </w:r>
          </w:p>
        </w:tc>
        <w:tc>
          <w:tcPr>
            <w:tcW w:w="3100" w:type="dxa"/>
            <w:vAlign w:val="bottom"/>
            <w:gridSpan w:val="5"/>
          </w:tcPr>
          <w:p>
            <w:pPr>
              <w:ind w:left="36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1040" w:type="dxa"/>
            <w:vAlign w:val="bottom"/>
            <w:gridSpan w:val="2"/>
            <w:vMerge w:val="continue"/>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Number</w:t>
            </w:r>
          </w:p>
        </w:tc>
        <w:tc>
          <w:tcPr>
            <w:tcW w:w="6040" w:type="dxa"/>
            <w:vAlign w:val="bottom"/>
            <w:gridSpan w:val="2"/>
          </w:tcPr>
          <w:p>
            <w:pPr>
              <w:ind w:left="2560"/>
              <w:spacing w:after="0"/>
              <w:rPr>
                <w:sz w:val="20"/>
                <w:szCs w:val="20"/>
                <w:color w:val="auto"/>
              </w:rPr>
            </w:pPr>
            <w:r>
              <w:rPr>
                <w:rFonts w:ascii="Arial" w:cs="Arial" w:eastAsia="Arial" w:hAnsi="Arial"/>
                <w:sz w:val="16"/>
                <w:szCs w:val="16"/>
                <w:b w:val="1"/>
                <w:bCs w:val="1"/>
                <w:color w:val="auto"/>
              </w:rPr>
              <w:t>Description</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Herewith</w:t>
            </w:r>
          </w:p>
        </w:tc>
        <w:tc>
          <w:tcPr>
            <w:tcW w:w="1000" w:type="dxa"/>
            <w:vAlign w:val="bottom"/>
            <w:gridSpan w:val="2"/>
          </w:tcPr>
          <w:p>
            <w:pPr>
              <w:ind w:left="240"/>
              <w:spacing w:after="0"/>
              <w:rPr>
                <w:sz w:val="20"/>
                <w:szCs w:val="20"/>
                <w:color w:val="auto"/>
              </w:rPr>
            </w:pPr>
            <w:r>
              <w:rPr>
                <w:rFonts w:ascii="Arial" w:cs="Arial" w:eastAsia="Arial" w:hAnsi="Arial"/>
                <w:sz w:val="16"/>
                <w:szCs w:val="16"/>
                <w:b w:val="1"/>
                <w:bCs w:val="1"/>
                <w:color w:val="auto"/>
              </w:rPr>
              <w:t>Form</w:t>
            </w:r>
          </w:p>
        </w:tc>
        <w:tc>
          <w:tcPr>
            <w:tcW w:w="880" w:type="dxa"/>
            <w:vAlign w:val="bottom"/>
            <w:gridSpan w:val="2"/>
          </w:tcPr>
          <w:p>
            <w:pPr>
              <w:ind w:left="120"/>
              <w:spacing w:after="0"/>
              <w:rPr>
                <w:sz w:val="20"/>
                <w:szCs w:val="20"/>
                <w:color w:val="auto"/>
              </w:rPr>
            </w:pPr>
            <w:r>
              <w:rPr>
                <w:rFonts w:ascii="Arial" w:cs="Arial" w:eastAsia="Arial" w:hAnsi="Arial"/>
                <w:sz w:val="16"/>
                <w:szCs w:val="16"/>
                <w:b w:val="1"/>
                <w:bCs w:val="1"/>
                <w:color w:val="auto"/>
              </w:rPr>
              <w:t>Exhibit</w:t>
            </w:r>
          </w:p>
        </w:tc>
        <w:tc>
          <w:tcPr>
            <w:tcW w:w="1220" w:type="dxa"/>
            <w:vAlign w:val="bottom"/>
          </w:tcPr>
          <w:p>
            <w:pPr>
              <w:ind w:left="24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6" w:lineRule="exact"/>
        <w:rPr>
          <w:sz w:val="20"/>
          <w:szCs w:val="20"/>
          <w:color w:val="auto"/>
        </w:rPr>
      </w:pPr>
    </w:p>
    <w:p>
      <w:pPr>
        <w:ind w:left="380"/>
        <w:spacing w:after="0"/>
        <w:rPr>
          <w:rFonts w:ascii="Arial" w:cs="Arial" w:eastAsia="Arial" w:hAnsi="Arial"/>
          <w:sz w:val="15"/>
          <w:szCs w:val="15"/>
          <w:u w:val="single" w:color="auto"/>
          <w:color w:val="0000FF"/>
        </w:rPr>
      </w:pPr>
      <w:hyperlink r:id="rId46">
        <w:r>
          <w:rPr>
            <w:rFonts w:ascii="Arial" w:cs="Arial" w:eastAsia="Arial" w:hAnsi="Arial"/>
            <w:sz w:val="15"/>
            <w:szCs w:val="15"/>
            <w:u w:val="single" w:color="auto"/>
            <w:color w:val="0000FF"/>
          </w:rPr>
          <w:t>2.1</w:t>
        </w:r>
      </w:hyperlink>
    </w:p>
    <w:p>
      <w:pPr>
        <w:spacing w:after="0" w:line="200" w:lineRule="exact"/>
        <w:rPr>
          <w:sz w:val="20"/>
          <w:szCs w:val="20"/>
          <w:color w:val="auto"/>
        </w:rPr>
      </w:pPr>
    </w:p>
    <w:p>
      <w:pPr>
        <w:spacing w:after="0" w:line="384" w:lineRule="exact"/>
        <w:rPr>
          <w:sz w:val="20"/>
          <w:szCs w:val="20"/>
          <w:color w:val="auto"/>
        </w:rPr>
      </w:pPr>
    </w:p>
    <w:p>
      <w:pPr>
        <w:ind w:left="380"/>
        <w:spacing w:after="0"/>
        <w:rPr>
          <w:rFonts w:ascii="Arial" w:cs="Arial" w:eastAsia="Arial" w:hAnsi="Arial"/>
          <w:sz w:val="15"/>
          <w:szCs w:val="15"/>
          <w:u w:val="single" w:color="auto"/>
          <w:color w:val="0000FF"/>
        </w:rPr>
      </w:pPr>
      <w:hyperlink r:id="rId47">
        <w:r>
          <w:rPr>
            <w:rFonts w:ascii="Arial" w:cs="Arial" w:eastAsia="Arial" w:hAnsi="Arial"/>
            <w:sz w:val="15"/>
            <w:szCs w:val="15"/>
            <w:u w:val="single" w:color="auto"/>
            <w:color w:val="0000FF"/>
          </w:rPr>
          <w:t>3.1</w:t>
        </w:r>
      </w:hyperlink>
    </w:p>
    <w:p>
      <w:pPr>
        <w:spacing w:after="0" w:line="314" w:lineRule="exact"/>
        <w:rPr>
          <w:sz w:val="20"/>
          <w:szCs w:val="20"/>
          <w:color w:val="auto"/>
        </w:rPr>
      </w:pPr>
    </w:p>
    <w:p>
      <w:pPr>
        <w:ind w:left="380"/>
        <w:spacing w:after="0"/>
        <w:rPr>
          <w:rFonts w:ascii="Arial" w:cs="Arial" w:eastAsia="Arial" w:hAnsi="Arial"/>
          <w:sz w:val="15"/>
          <w:szCs w:val="15"/>
          <w:u w:val="single" w:color="auto"/>
          <w:color w:val="0000FF"/>
        </w:rPr>
      </w:pPr>
      <w:hyperlink r:id="rId48">
        <w:r>
          <w:rPr>
            <w:rFonts w:ascii="Arial" w:cs="Arial" w:eastAsia="Arial" w:hAnsi="Arial"/>
            <w:sz w:val="15"/>
            <w:szCs w:val="15"/>
            <w:u w:val="single" w:color="auto"/>
            <w:color w:val="0000FF"/>
          </w:rPr>
          <w:t>3.2</w:t>
        </w:r>
      </w:hyperlink>
    </w:p>
    <w:p>
      <w:pPr>
        <w:spacing w:after="0" w:line="314" w:lineRule="exact"/>
        <w:rPr>
          <w:sz w:val="20"/>
          <w:szCs w:val="20"/>
          <w:color w:val="auto"/>
        </w:rPr>
      </w:pPr>
    </w:p>
    <w:p>
      <w:pPr>
        <w:ind w:left="380"/>
        <w:spacing w:after="0"/>
        <w:rPr>
          <w:rFonts w:ascii="Arial" w:cs="Arial" w:eastAsia="Arial" w:hAnsi="Arial"/>
          <w:sz w:val="15"/>
          <w:szCs w:val="15"/>
          <w:u w:val="single" w:color="auto"/>
          <w:color w:val="0000FF"/>
        </w:rPr>
      </w:pPr>
      <w:hyperlink r:id="rId49">
        <w:r>
          <w:rPr>
            <w:rFonts w:ascii="Arial" w:cs="Arial" w:eastAsia="Arial" w:hAnsi="Arial"/>
            <w:sz w:val="15"/>
            <w:szCs w:val="15"/>
            <w:u w:val="single" w:color="auto"/>
            <w:color w:val="0000FF"/>
          </w:rPr>
          <w:t>4.1</w:t>
        </w:r>
      </w:hyperlink>
    </w:p>
    <w:p>
      <w:pPr>
        <w:spacing w:after="0" w:line="200" w:lineRule="exact"/>
        <w:rPr>
          <w:sz w:val="20"/>
          <w:szCs w:val="20"/>
          <w:color w:val="auto"/>
        </w:rPr>
      </w:pPr>
    </w:p>
    <w:p>
      <w:pPr>
        <w:spacing w:after="0" w:line="222" w:lineRule="exact"/>
        <w:rPr>
          <w:sz w:val="20"/>
          <w:szCs w:val="20"/>
          <w:color w:val="auto"/>
        </w:rPr>
      </w:pPr>
    </w:p>
    <w:p>
      <w:pPr>
        <w:ind w:left="380"/>
        <w:spacing w:after="0"/>
        <w:rPr>
          <w:rFonts w:ascii="Arial" w:cs="Arial" w:eastAsia="Arial" w:hAnsi="Arial"/>
          <w:sz w:val="15"/>
          <w:szCs w:val="15"/>
          <w:u w:val="single" w:color="auto"/>
          <w:color w:val="0000FF"/>
        </w:rPr>
      </w:pPr>
      <w:hyperlink r:id="rId50">
        <w:r>
          <w:rPr>
            <w:rFonts w:ascii="Arial" w:cs="Arial" w:eastAsia="Arial" w:hAnsi="Arial"/>
            <w:sz w:val="15"/>
            <w:szCs w:val="15"/>
            <w:u w:val="single" w:color="auto"/>
            <w:color w:val="0000FF"/>
          </w:rPr>
          <w:t>4.2</w:t>
        </w:r>
      </w:hyperlink>
    </w:p>
    <w:p>
      <w:pPr>
        <w:spacing w:after="0" w:line="200" w:lineRule="exact"/>
        <w:rPr>
          <w:sz w:val="20"/>
          <w:szCs w:val="20"/>
          <w:color w:val="auto"/>
        </w:rPr>
      </w:pPr>
    </w:p>
    <w:p>
      <w:pPr>
        <w:spacing w:after="0" w:line="222" w:lineRule="exact"/>
        <w:rPr>
          <w:sz w:val="20"/>
          <w:szCs w:val="20"/>
          <w:color w:val="auto"/>
        </w:rPr>
      </w:pPr>
    </w:p>
    <w:p>
      <w:pPr>
        <w:ind w:left="380"/>
        <w:spacing w:after="0"/>
        <w:rPr>
          <w:rFonts w:ascii="Arial" w:cs="Arial" w:eastAsia="Arial" w:hAnsi="Arial"/>
          <w:sz w:val="15"/>
          <w:szCs w:val="15"/>
          <w:u w:val="single" w:color="auto"/>
          <w:color w:val="0000FF"/>
        </w:rPr>
      </w:pPr>
      <w:hyperlink r:id="rId51">
        <w:r>
          <w:rPr>
            <w:rFonts w:ascii="Arial" w:cs="Arial" w:eastAsia="Arial" w:hAnsi="Arial"/>
            <w:sz w:val="15"/>
            <w:szCs w:val="15"/>
            <w:u w:val="single" w:color="auto"/>
            <w:color w:val="0000FF"/>
          </w:rPr>
          <w:t>4.3</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spacing w:after="0"/>
        <w:rPr>
          <w:rFonts w:ascii="Arial" w:cs="Arial" w:eastAsia="Arial" w:hAnsi="Arial"/>
          <w:sz w:val="15"/>
          <w:szCs w:val="15"/>
          <w:u w:val="single" w:color="auto"/>
          <w:color w:val="0000FF"/>
        </w:rPr>
      </w:pPr>
      <w:hyperlink r:id="rId52">
        <w:r>
          <w:rPr>
            <w:rFonts w:ascii="Arial" w:cs="Arial" w:eastAsia="Arial" w:hAnsi="Arial"/>
            <w:sz w:val="15"/>
            <w:szCs w:val="15"/>
            <w:u w:val="single" w:color="auto"/>
            <w:color w:val="0000FF"/>
          </w:rPr>
          <w:t>4.4</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rFonts w:ascii="Arial" w:cs="Arial" w:eastAsia="Arial" w:hAnsi="Arial"/>
          <w:sz w:val="15"/>
          <w:szCs w:val="15"/>
          <w:u w:val="single" w:color="auto"/>
          <w:color w:val="0000FF"/>
        </w:rPr>
      </w:pPr>
      <w:hyperlink r:id="rId53">
        <w:r>
          <w:rPr>
            <w:rFonts w:ascii="Arial" w:cs="Arial" w:eastAsia="Arial" w:hAnsi="Arial"/>
            <w:sz w:val="15"/>
            <w:szCs w:val="15"/>
            <w:u w:val="single" w:color="auto"/>
            <w:color w:val="0000FF"/>
          </w:rPr>
          <w:t>4.5</w:t>
        </w:r>
      </w:hyperlink>
    </w:p>
    <w:p>
      <w:pPr>
        <w:spacing w:after="0" w:line="200" w:lineRule="exact"/>
        <w:rPr>
          <w:sz w:val="20"/>
          <w:szCs w:val="20"/>
          <w:color w:val="auto"/>
        </w:rPr>
      </w:pPr>
    </w:p>
    <w:p>
      <w:pPr>
        <w:spacing w:after="0" w:line="276" w:lineRule="exact"/>
        <w:rPr>
          <w:sz w:val="20"/>
          <w:szCs w:val="20"/>
          <w:color w:val="auto"/>
        </w:rPr>
      </w:pPr>
    </w:p>
    <w:p>
      <w:pPr>
        <w:ind w:left="380"/>
        <w:spacing w:after="0"/>
        <w:rPr>
          <w:rFonts w:ascii="Arial" w:cs="Arial" w:eastAsia="Arial" w:hAnsi="Arial"/>
          <w:sz w:val="15"/>
          <w:szCs w:val="15"/>
          <w:u w:val="single" w:color="auto"/>
          <w:color w:val="0000FF"/>
        </w:rPr>
      </w:pPr>
      <w:hyperlink r:id="rId52">
        <w:r>
          <w:rPr>
            <w:rFonts w:ascii="Arial" w:cs="Arial" w:eastAsia="Arial" w:hAnsi="Arial"/>
            <w:sz w:val="15"/>
            <w:szCs w:val="15"/>
            <w:u w:val="single" w:color="auto"/>
            <w:color w:val="0000FF"/>
          </w:rPr>
          <w:t>4.6</w:t>
        </w:r>
      </w:hyperlink>
    </w:p>
    <w:p>
      <w:pPr>
        <w:spacing w:after="0" w:line="200" w:lineRule="exact"/>
        <w:rPr>
          <w:sz w:val="20"/>
          <w:szCs w:val="20"/>
          <w:color w:val="auto"/>
        </w:rPr>
      </w:pPr>
    </w:p>
    <w:p>
      <w:pPr>
        <w:spacing w:after="0" w:line="330" w:lineRule="exact"/>
        <w:rPr>
          <w:sz w:val="20"/>
          <w:szCs w:val="20"/>
          <w:color w:val="auto"/>
        </w:rPr>
      </w:pPr>
    </w:p>
    <w:p>
      <w:pPr>
        <w:ind w:left="380"/>
        <w:spacing w:after="0"/>
        <w:rPr>
          <w:rFonts w:ascii="Arial" w:cs="Arial" w:eastAsia="Arial" w:hAnsi="Arial"/>
          <w:sz w:val="15"/>
          <w:szCs w:val="15"/>
          <w:u w:val="single" w:color="auto"/>
          <w:color w:val="0000FF"/>
        </w:rPr>
      </w:pPr>
      <w:hyperlink r:id="rId54">
        <w:r>
          <w:rPr>
            <w:rFonts w:ascii="Arial" w:cs="Arial" w:eastAsia="Arial" w:hAnsi="Arial"/>
            <w:sz w:val="15"/>
            <w:szCs w:val="15"/>
            <w:u w:val="single" w:color="auto"/>
            <w:color w:val="0000FF"/>
          </w:rPr>
          <w:t>4.7</w:t>
        </w:r>
      </w:hyperlink>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rFonts w:ascii="Arial" w:cs="Arial" w:eastAsia="Arial" w:hAnsi="Arial"/>
          <w:sz w:val="15"/>
          <w:szCs w:val="15"/>
          <w:u w:val="single" w:color="auto"/>
          <w:color w:val="0000FF"/>
        </w:rPr>
      </w:pPr>
      <w:hyperlink r:id="rId55">
        <w:r>
          <w:rPr>
            <w:rFonts w:ascii="Arial" w:cs="Arial" w:eastAsia="Arial" w:hAnsi="Arial"/>
            <w:sz w:val="15"/>
            <w:szCs w:val="15"/>
            <w:u w:val="single" w:color="auto"/>
            <w:color w:val="0000FF"/>
          </w:rPr>
          <w:t>4.8</w:t>
        </w:r>
      </w:hyperlink>
    </w:p>
    <w:p>
      <w:pPr>
        <w:spacing w:after="0" w:line="20" w:lineRule="exact"/>
        <w:rPr>
          <w:sz w:val="20"/>
          <w:szCs w:val="20"/>
          <w:color w:val="auto"/>
        </w:rPr>
      </w:pPr>
      <w:r>
        <w:rPr>
          <w:sz w:val="20"/>
          <w:szCs w:val="20"/>
          <w:color w:val="auto"/>
        </w:rPr>
        <w:br w:type="column"/>
      </w:r>
    </w:p>
    <w:p>
      <w:pPr>
        <w:ind w:right="760"/>
        <w:spacing w:after="0" w:line="311" w:lineRule="auto"/>
        <w:rPr>
          <w:sz w:val="20"/>
          <w:szCs w:val="20"/>
          <w:color w:val="auto"/>
        </w:rPr>
      </w:pPr>
      <w:r>
        <w:rPr>
          <w:rFonts w:ascii="Arial" w:cs="Arial" w:eastAsia="Arial" w:hAnsi="Arial"/>
          <w:sz w:val="16"/>
          <w:szCs w:val="16"/>
          <w:color w:val="auto"/>
        </w:rPr>
        <w:t>Agreement and Plan of Merger, dated as of April 30, 2018, by and among Marriott Vacations Worldwide Corporation, ILG, Inc., Ignite Holdco, Inc., Ignite Holdco Subsidiary, Inc., Volt Merger Sub, Inc., and Volt Merger Sub LLC*</w:t>
      </w:r>
    </w:p>
    <w:p>
      <w:pPr>
        <w:spacing w:after="0" w:line="149" w:lineRule="exact"/>
        <w:rPr>
          <w:sz w:val="20"/>
          <w:szCs w:val="20"/>
          <w:color w:val="auto"/>
        </w:rPr>
      </w:pPr>
    </w:p>
    <w:p>
      <w:pPr>
        <w:ind w:right="1500"/>
        <w:spacing w:after="0" w:line="277" w:lineRule="auto"/>
        <w:rPr>
          <w:sz w:val="20"/>
          <w:szCs w:val="20"/>
          <w:color w:val="auto"/>
        </w:rPr>
      </w:pPr>
      <w:r>
        <w:rPr>
          <w:rFonts w:ascii="Arial" w:cs="Arial" w:eastAsia="Arial" w:hAnsi="Arial"/>
          <w:sz w:val="18"/>
          <w:szCs w:val="18"/>
          <w:color w:val="auto"/>
        </w:rPr>
        <w:t>Restated Certificate of Incorporation of Marriott Vacations Worldwide 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of Marriott Vacations Worldwide Corporation</w:t>
      </w:r>
    </w:p>
    <w:p>
      <w:pPr>
        <w:spacing w:after="0" w:line="171"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Form of certificate representing shares of common stock, par value $0.01 per share, of Marriott Vacations Worldwide Corporation</w:t>
      </w:r>
    </w:p>
    <w:p>
      <w:pPr>
        <w:spacing w:after="0" w:line="116"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Indenture between Marriott Vacations Worldwide Corporation and The Bank of New York Mellon Trust Company, N.A., as trustee, dated September 25, 2017</w:t>
      </w:r>
    </w:p>
    <w:p>
      <w:pPr>
        <w:spacing w:after="0" w:line="70"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Form of 1.50% Convertible Senior Note due 2022 (included as Exhibit A to Exhibit 4.2 above)</w:t>
      </w:r>
    </w:p>
    <w:p>
      <w:pPr>
        <w:spacing w:after="0" w:line="116"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color w:val="auto"/>
        </w:rPr>
        <w:t>Indenture, dated as of August 23, 2018, by and among Marriott Ownership Resorts, Inc., Marriott Vacations Worldwide Corporation, as guarantor, the other guarantors party thereto and the Bank of New York Mellon Trust Company, N.A., as trustee</w:t>
      </w:r>
    </w:p>
    <w:p>
      <w:pPr>
        <w:spacing w:after="0" w:line="133" w:lineRule="exact"/>
        <w:rPr>
          <w:sz w:val="20"/>
          <w:szCs w:val="20"/>
          <w:color w:val="auto"/>
        </w:rPr>
      </w:pPr>
    </w:p>
    <w:p>
      <w:pPr>
        <w:ind w:right="740"/>
        <w:spacing w:after="0" w:line="263" w:lineRule="auto"/>
        <w:rPr>
          <w:sz w:val="20"/>
          <w:szCs w:val="20"/>
          <w:color w:val="auto"/>
        </w:rPr>
      </w:pPr>
      <w:r>
        <w:rPr>
          <w:rFonts w:ascii="Arial" w:cs="Arial" w:eastAsia="Arial" w:hAnsi="Arial"/>
          <w:sz w:val="18"/>
          <w:szCs w:val="18"/>
          <w:color w:val="auto"/>
        </w:rPr>
        <w:t>Supplemental Indenture, dated September 1, 2018, by and among Marriott Ownership Resorts, Inc., ILG, LLC, the guarantors party thereto and the Bank of New York Mellon Trust Company, N.A., as trustee</w:t>
      </w:r>
    </w:p>
    <w:p>
      <w:pPr>
        <w:spacing w:after="0" w:line="76"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Form of 6.500% Senior Note due 2026 (included as Exhibit A to Exhibit 4.4 above)</w:t>
      </w:r>
    </w:p>
    <w:p>
      <w:pPr>
        <w:spacing w:after="0" w:line="8"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color w:val="auto"/>
        </w:rPr>
        <w:t>Registration Rights Agreement, dated as of August 23, 2018, by and among Marriott Ownership Resorts, Inc., Marriott Vacations Worldwide Corporation, as guarantor, the other guarantors party thereto and Merrill Lynch, Pierce, Fenner &amp; Smith Incorporated</w:t>
      </w:r>
    </w:p>
    <w:p>
      <w:pPr>
        <w:spacing w:after="0" w:line="25" w:lineRule="exact"/>
        <w:rPr>
          <w:sz w:val="20"/>
          <w:szCs w:val="20"/>
          <w:color w:val="auto"/>
        </w:rPr>
      </w:pPr>
    </w:p>
    <w:p>
      <w:pPr>
        <w:ind w:right="840"/>
        <w:spacing w:after="0" w:line="259" w:lineRule="auto"/>
        <w:rPr>
          <w:sz w:val="20"/>
          <w:szCs w:val="20"/>
          <w:color w:val="auto"/>
        </w:rPr>
      </w:pPr>
      <w:r>
        <w:rPr>
          <w:rFonts w:ascii="Arial" w:cs="Arial" w:eastAsia="Arial" w:hAnsi="Arial"/>
          <w:sz w:val="18"/>
          <w:szCs w:val="18"/>
          <w:color w:val="auto"/>
        </w:rPr>
        <w:t>Joinder Agreement to Registration Rights Agreement, dated as of September 1, 2018, by and among ILG, LLC, the guarantors party thereto and Merrill Lynch, Pierce, Fenner &amp; Smith Incorporated as the representative of the initial purchasers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5/1/2018</w:t>
            </w:r>
          </w:p>
        </w:tc>
      </w:tr>
      <w:tr>
        <w:trPr>
          <w:trHeight w:val="75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11/22/2011</w:t>
            </w:r>
          </w:p>
        </w:tc>
      </w:tr>
      <w:tr>
        <w:trPr>
          <w:trHeight w:val="486"/>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11/22/2011</w:t>
            </w:r>
          </w:p>
        </w:tc>
      </w:tr>
      <w:tr>
        <w:trPr>
          <w:trHeight w:val="486"/>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89"/>
              </w:rPr>
              <w:t>10</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10/14/2011</w:t>
            </w:r>
          </w:p>
        </w:tc>
      </w:tr>
      <w:tr>
        <w:trPr>
          <w:trHeight w:val="594"/>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11/2/2017</w:t>
            </w:r>
          </w:p>
        </w:tc>
      </w:tr>
      <w:tr>
        <w:trPr>
          <w:trHeight w:val="594"/>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11/2/2017</w:t>
            </w:r>
          </w:p>
        </w:tc>
      </w:tr>
      <w:tr>
        <w:trPr>
          <w:trHeight w:val="810"/>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8/23/2018</w:t>
            </w:r>
          </w:p>
        </w:tc>
      </w:tr>
      <w:tr>
        <w:trPr>
          <w:trHeight w:val="918"/>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4.7</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9/5/2018</w:t>
            </w:r>
          </w:p>
        </w:tc>
      </w:tr>
      <w:tr>
        <w:trPr>
          <w:trHeight w:val="648"/>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8/23/2018</w:t>
            </w:r>
          </w:p>
        </w:tc>
      </w:tr>
      <w:tr>
        <w:trPr>
          <w:trHeight w:val="702"/>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8/23/2018</w:t>
            </w:r>
          </w:p>
        </w:tc>
      </w:tr>
      <w:tr>
        <w:trPr>
          <w:trHeight w:val="918"/>
        </w:trPr>
        <w:tc>
          <w:tcPr>
            <w:tcW w:w="68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4.8</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9/5/2018</w:t>
            </w:r>
          </w:p>
        </w:tc>
      </w:tr>
    </w:tbl>
    <w:p>
      <w:pPr>
        <w:spacing w:after="0" w:line="539" w:lineRule="exact"/>
        <w:rPr>
          <w:sz w:val="20"/>
          <w:szCs w:val="20"/>
          <w:color w:val="auto"/>
        </w:rPr>
      </w:pPr>
    </w:p>
    <w:p>
      <w:pPr>
        <w:sectPr>
          <w:pgSz w:w="11900" w:h="16838" w:orient="portrait"/>
          <w:cols w:equalWidth="0" w:num="3">
            <w:col w:w="600" w:space="500"/>
            <w:col w:w="6560" w:space="720"/>
            <w:col w:w="2860"/>
          </w:cols>
          <w:pgMar w:left="320" w:top="125" w:right="339" w:bottom="1440" w:gutter="0" w:footer="0" w:header="0"/>
          <w:type w:val="continuous"/>
        </w:sectPr>
      </w:pP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40"/>
          </w:cols>
          <w:pgMar w:left="320" w:top="125" w:right="3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Filed</w:t>
            </w:r>
          </w:p>
        </w:tc>
        <w:tc>
          <w:tcPr>
            <w:tcW w:w="3100" w:type="dxa"/>
            <w:vAlign w:val="bottom"/>
            <w:gridSpan w:val="5"/>
          </w:tcPr>
          <w:p>
            <w:pPr>
              <w:ind w:left="36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1040" w:type="dxa"/>
            <w:vAlign w:val="bottom"/>
            <w:gridSpan w:val="2"/>
            <w:vMerge w:val="continue"/>
          </w:tcPr>
          <w:p>
            <w:pPr>
              <w:spacing w:after="0"/>
              <w:rPr>
                <w:sz w:val="2"/>
                <w:szCs w:val="2"/>
                <w:color w:val="auto"/>
              </w:rPr>
            </w:pPr>
          </w:p>
        </w:tc>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Number</w:t>
            </w:r>
          </w:p>
        </w:tc>
        <w:tc>
          <w:tcPr>
            <w:tcW w:w="6040" w:type="dxa"/>
            <w:vAlign w:val="bottom"/>
            <w:gridSpan w:val="2"/>
          </w:tcPr>
          <w:p>
            <w:pPr>
              <w:ind w:left="2560"/>
              <w:spacing w:after="0"/>
              <w:rPr>
                <w:sz w:val="20"/>
                <w:szCs w:val="20"/>
                <w:color w:val="auto"/>
              </w:rPr>
            </w:pPr>
            <w:r>
              <w:rPr>
                <w:rFonts w:ascii="Arial" w:cs="Arial" w:eastAsia="Arial" w:hAnsi="Arial"/>
                <w:sz w:val="16"/>
                <w:szCs w:val="16"/>
                <w:b w:val="1"/>
                <w:bCs w:val="1"/>
                <w:color w:val="auto"/>
              </w:rPr>
              <w:t>Description</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Herewith</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Form</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4"/>
              </w:rPr>
              <w:t>Date Filed</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w w:val="97"/>
              </w:rPr>
              <w:t>Indenture, dated as of September 4, 2018, by and among Marriott Ownership</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jc w:val="center"/>
              <w:spacing w:after="0"/>
              <w:rPr>
                <w:rFonts w:ascii="Arial" w:cs="Arial" w:eastAsia="Arial" w:hAnsi="Arial"/>
                <w:sz w:val="18"/>
                <w:szCs w:val="18"/>
                <w:u w:val="single" w:color="auto"/>
                <w:color w:val="0000FF"/>
                <w:w w:val="87"/>
              </w:rPr>
            </w:pPr>
            <w:hyperlink r:id="rId56">
              <w:r>
                <w:rPr>
                  <w:rFonts w:ascii="Arial" w:cs="Arial" w:eastAsia="Arial" w:hAnsi="Arial"/>
                  <w:sz w:val="18"/>
                  <w:szCs w:val="18"/>
                  <w:u w:val="single" w:color="auto"/>
                  <w:color w:val="0000FF"/>
                  <w:w w:val="87"/>
                </w:rPr>
                <w:t>4.9</w:t>
              </w:r>
            </w:hyperlink>
          </w:p>
        </w:tc>
        <w:tc>
          <w:tcPr>
            <w:tcW w:w="120" w:type="dxa"/>
            <w:vAlign w:val="bottom"/>
          </w:tcPr>
          <w:p>
            <w:pPr>
              <w:spacing w:after="0"/>
              <w:rPr>
                <w:sz w:val="18"/>
                <w:szCs w:val="18"/>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Resorts, Inc., ILG, LLC, Marriott Vacations Worldwide Corporation, as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8-K</w:t>
            </w:r>
          </w:p>
        </w:tc>
        <w:tc>
          <w:tcPr>
            <w:tcW w:w="760" w:type="dxa"/>
            <w:vAlign w:val="bottom"/>
            <w:vMerge w:val="restart"/>
          </w:tcPr>
          <w:p>
            <w:pPr>
              <w:jc w:val="right"/>
              <w:ind w:right="17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220" w:type="dxa"/>
            <w:vAlign w:val="bottom"/>
            <w:vMerge w:val="restart"/>
          </w:tcPr>
          <w:p>
            <w:pPr>
              <w:jc w:val="right"/>
              <w:ind w:right="215"/>
              <w:spacing w:after="0"/>
              <w:rPr>
                <w:sz w:val="20"/>
                <w:szCs w:val="20"/>
                <w:color w:val="auto"/>
              </w:rPr>
            </w:pPr>
            <w:r>
              <w:rPr>
                <w:rFonts w:ascii="Arial" w:cs="Arial" w:eastAsia="Arial" w:hAnsi="Arial"/>
                <w:sz w:val="18"/>
                <w:szCs w:val="18"/>
                <w:color w:val="auto"/>
              </w:rPr>
              <w:t>9/5/2018</w:t>
            </w: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40" w:type="dxa"/>
            <w:vAlign w:val="bottom"/>
            <w:gridSpan w:val="2"/>
            <w:vMerge w:val="restart"/>
          </w:tcPr>
          <w:p>
            <w:pPr>
              <w:ind w:left="20"/>
              <w:spacing w:after="0"/>
              <w:rPr>
                <w:sz w:val="20"/>
                <w:szCs w:val="20"/>
                <w:color w:val="auto"/>
              </w:rPr>
            </w:pPr>
            <w:r>
              <w:rPr>
                <w:rFonts w:ascii="Arial" w:cs="Arial" w:eastAsia="Arial" w:hAnsi="Arial"/>
                <w:sz w:val="18"/>
                <w:szCs w:val="18"/>
                <w:color w:val="auto"/>
                <w:w w:val="98"/>
              </w:rPr>
              <w:t>guarantor, the other guarantors party thereto and HSBC Bank USA, National</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4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100"/>
        <w:spacing w:after="0"/>
        <w:rPr>
          <w:sz w:val="20"/>
          <w:szCs w:val="20"/>
          <w:color w:val="auto"/>
        </w:rPr>
      </w:pPr>
      <w:r>
        <w:rPr>
          <w:rFonts w:ascii="Arial" w:cs="Arial" w:eastAsia="Arial" w:hAnsi="Arial"/>
          <w:sz w:val="18"/>
          <w:szCs w:val="18"/>
          <w:color w:val="auto"/>
        </w:rPr>
        <w:t>Association, as trustee</w:t>
      </w:r>
    </w:p>
    <w:p>
      <w:pPr>
        <w:sectPr>
          <w:pgSz w:w="11900" w:h="16838" w:orient="portrait"/>
          <w:cols w:equalWidth="0" w:num="1">
            <w:col w:w="11220"/>
          </w:cols>
          <w:pgMar w:left="320" w:top="125" w:right="359" w:bottom="1440" w:gutter="0" w:footer="0" w:header="0"/>
        </w:sectPr>
      </w:pPr>
    </w:p>
    <w:p>
      <w:pPr>
        <w:spacing w:after="0" w:line="4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0" w:type="dxa"/>
            <w:vAlign w:val="bottom"/>
            <w:vMerge w:val="restart"/>
          </w:tcPr>
          <w:p>
            <w:pPr>
              <w:jc w:val="right"/>
              <w:ind w:right="130"/>
              <w:spacing w:after="0"/>
              <w:rPr>
                <w:rFonts w:ascii="Arial" w:cs="Arial" w:eastAsia="Arial" w:hAnsi="Arial"/>
                <w:sz w:val="18"/>
                <w:szCs w:val="18"/>
                <w:u w:val="single" w:color="auto"/>
                <w:color w:val="0000FF"/>
                <w:w w:val="85"/>
              </w:rPr>
            </w:pPr>
            <w:hyperlink r:id="rId56">
              <w:r>
                <w:rPr>
                  <w:rFonts w:ascii="Arial" w:cs="Arial" w:eastAsia="Arial" w:hAnsi="Arial"/>
                  <w:sz w:val="18"/>
                  <w:szCs w:val="18"/>
                  <w:u w:val="single" w:color="auto"/>
                  <w:color w:val="0000FF"/>
                  <w:w w:val="85"/>
                </w:rPr>
                <w:t>4.10</w:t>
              </w:r>
            </w:hyperlink>
          </w:p>
        </w:tc>
        <w:tc>
          <w:tcPr>
            <w:tcW w:w="6060" w:type="dxa"/>
            <w:vAlign w:val="bottom"/>
          </w:tcPr>
          <w:p>
            <w:pPr>
              <w:ind w:left="220"/>
              <w:spacing w:after="0"/>
              <w:rPr>
                <w:sz w:val="20"/>
                <w:szCs w:val="20"/>
                <w:color w:val="auto"/>
              </w:rPr>
            </w:pPr>
            <w:r>
              <w:rPr>
                <w:rFonts w:ascii="Arial" w:cs="Arial" w:eastAsia="Arial" w:hAnsi="Arial"/>
                <w:sz w:val="18"/>
                <w:szCs w:val="18"/>
                <w:color w:val="auto"/>
                <w:w w:val="97"/>
              </w:rPr>
              <w:t>Form of 5.625% Senior Note due 2023 (included as Exhibit A to Exhibit 4.9</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6060" w:type="dxa"/>
            <w:vAlign w:val="bottom"/>
            <w:vMerge w:val="restart"/>
          </w:tcPr>
          <w:p>
            <w:pPr>
              <w:ind w:left="220"/>
              <w:spacing w:after="0"/>
              <w:rPr>
                <w:sz w:val="20"/>
                <w:szCs w:val="20"/>
                <w:color w:val="auto"/>
              </w:rPr>
            </w:pPr>
            <w:r>
              <w:rPr>
                <w:rFonts w:ascii="Arial" w:cs="Arial" w:eastAsia="Arial" w:hAnsi="Arial"/>
                <w:sz w:val="18"/>
                <w:szCs w:val="18"/>
                <w:color w:val="auto"/>
              </w:rPr>
              <w:t>above)</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6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w w:val="92"/>
              </w:rPr>
              <w:t>Registration Rights Agreement, dated as of September 4, 2018, by and among</w:t>
            </w:r>
          </w:p>
        </w:tc>
        <w:tc>
          <w:tcPr>
            <w:tcW w:w="0" w:type="dxa"/>
            <w:vAlign w:val="bottom"/>
          </w:tcPr>
          <w:p>
            <w:pPr>
              <w:spacing w:after="0"/>
              <w:rPr>
                <w:sz w:val="1"/>
                <w:szCs w:val="1"/>
                <w:color w:val="auto"/>
              </w:rPr>
            </w:pPr>
          </w:p>
        </w:tc>
      </w:tr>
      <w:tr>
        <w:trPr>
          <w:trHeight w:val="216"/>
        </w:trPr>
        <w:tc>
          <w:tcPr>
            <w:tcW w:w="540" w:type="dxa"/>
            <w:vAlign w:val="bottom"/>
            <w:vMerge w:val="restart"/>
          </w:tcPr>
          <w:p>
            <w:pPr>
              <w:jc w:val="right"/>
              <w:ind w:right="150"/>
              <w:spacing w:after="0"/>
              <w:rPr>
                <w:rFonts w:ascii="Arial" w:cs="Arial" w:eastAsia="Arial" w:hAnsi="Arial"/>
                <w:sz w:val="18"/>
                <w:szCs w:val="18"/>
                <w:u w:val="single" w:color="auto"/>
                <w:color w:val="0000FF"/>
                <w:w w:val="79"/>
              </w:rPr>
            </w:pPr>
            <w:hyperlink r:id="rId57">
              <w:r>
                <w:rPr>
                  <w:rFonts w:ascii="Arial" w:cs="Arial" w:eastAsia="Arial" w:hAnsi="Arial"/>
                  <w:sz w:val="18"/>
                  <w:szCs w:val="18"/>
                  <w:u w:val="single" w:color="auto"/>
                  <w:color w:val="0000FF"/>
                  <w:w w:val="79"/>
                </w:rPr>
                <w:t>4.11</w:t>
              </w:r>
            </w:hyperlink>
          </w:p>
        </w:tc>
        <w:tc>
          <w:tcPr>
            <w:tcW w:w="6060" w:type="dxa"/>
            <w:vAlign w:val="bottom"/>
          </w:tcPr>
          <w:p>
            <w:pPr>
              <w:ind w:left="220"/>
              <w:spacing w:after="0"/>
              <w:rPr>
                <w:sz w:val="20"/>
                <w:szCs w:val="20"/>
                <w:color w:val="auto"/>
              </w:rPr>
            </w:pPr>
            <w:r>
              <w:rPr>
                <w:rFonts w:ascii="Arial" w:cs="Arial" w:eastAsia="Arial" w:hAnsi="Arial"/>
                <w:sz w:val="18"/>
                <w:szCs w:val="18"/>
                <w:color w:val="auto"/>
                <w:w w:val="99"/>
              </w:rPr>
              <w:t>Marriott Ownership Resorts, Inc., ILG, LLC, Marriott Vacations Worldwide</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6060" w:type="dxa"/>
            <w:vAlign w:val="bottom"/>
            <w:vMerge w:val="restart"/>
          </w:tcPr>
          <w:p>
            <w:pPr>
              <w:ind w:left="220"/>
              <w:spacing w:after="0"/>
              <w:rPr>
                <w:sz w:val="20"/>
                <w:szCs w:val="20"/>
                <w:color w:val="auto"/>
              </w:rPr>
            </w:pPr>
            <w:r>
              <w:rPr>
                <w:rFonts w:ascii="Arial" w:cs="Arial" w:eastAsia="Arial" w:hAnsi="Arial"/>
                <w:sz w:val="18"/>
                <w:szCs w:val="18"/>
                <w:color w:val="auto"/>
                <w:w w:val="90"/>
              </w:rPr>
              <w:t>Corporation, as a guarantor, the other guarantors party thereto and Merrill Lynch,</w:t>
            </w: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6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Pierce, Fenner &amp; Smith Incorporated and J.P. Morgan Securities LLC</w:t>
            </w: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w w:val="99"/>
              </w:rPr>
              <w:t>Indenture, dated April 10, 2015, among Interval Acquisition Corp., Interval</w:t>
            </w:r>
          </w:p>
        </w:tc>
        <w:tc>
          <w:tcPr>
            <w:tcW w:w="0" w:type="dxa"/>
            <w:vAlign w:val="bottom"/>
          </w:tcPr>
          <w:p>
            <w:pPr>
              <w:spacing w:after="0"/>
              <w:rPr>
                <w:sz w:val="1"/>
                <w:szCs w:val="1"/>
                <w:color w:val="auto"/>
              </w:rPr>
            </w:pPr>
          </w:p>
        </w:tc>
      </w:tr>
      <w:tr>
        <w:trPr>
          <w:trHeight w:val="216"/>
        </w:trPr>
        <w:tc>
          <w:tcPr>
            <w:tcW w:w="540" w:type="dxa"/>
            <w:vAlign w:val="bottom"/>
          </w:tcPr>
          <w:p>
            <w:pPr>
              <w:jc w:val="right"/>
              <w:ind w:right="130"/>
              <w:spacing w:after="0"/>
              <w:rPr>
                <w:rFonts w:ascii="Arial" w:cs="Arial" w:eastAsia="Arial" w:hAnsi="Arial"/>
                <w:sz w:val="18"/>
                <w:szCs w:val="18"/>
                <w:u w:val="single" w:color="auto"/>
                <w:color w:val="0000FF"/>
                <w:w w:val="85"/>
              </w:rPr>
            </w:pPr>
            <w:hyperlink r:id="rId58">
              <w:r>
                <w:rPr>
                  <w:rFonts w:ascii="Arial" w:cs="Arial" w:eastAsia="Arial" w:hAnsi="Arial"/>
                  <w:sz w:val="18"/>
                  <w:szCs w:val="18"/>
                  <w:u w:val="single" w:color="auto"/>
                  <w:color w:val="0000FF"/>
                  <w:w w:val="85"/>
                </w:rPr>
                <w:t>4.12</w:t>
              </w:r>
            </w:hyperlink>
          </w:p>
        </w:tc>
        <w:tc>
          <w:tcPr>
            <w:tcW w:w="6060" w:type="dxa"/>
            <w:vAlign w:val="bottom"/>
          </w:tcPr>
          <w:p>
            <w:pPr>
              <w:ind w:left="220"/>
              <w:spacing w:after="0"/>
              <w:rPr>
                <w:sz w:val="20"/>
                <w:szCs w:val="20"/>
                <w:color w:val="auto"/>
              </w:rPr>
            </w:pPr>
            <w:r>
              <w:rPr>
                <w:rFonts w:ascii="Arial" w:cs="Arial" w:eastAsia="Arial" w:hAnsi="Arial"/>
                <w:sz w:val="18"/>
                <w:szCs w:val="18"/>
                <w:color w:val="auto"/>
                <w:w w:val="95"/>
              </w:rPr>
              <w:t>Leisure Group, Inc., the other Guarantors party thereto and HSBC Bank UA,</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060" w:type="dxa"/>
            <w:vAlign w:val="bottom"/>
          </w:tcPr>
          <w:p>
            <w:pPr>
              <w:ind w:left="220"/>
              <w:spacing w:after="0"/>
              <w:rPr>
                <w:sz w:val="20"/>
                <w:szCs w:val="20"/>
                <w:color w:val="auto"/>
              </w:rPr>
            </w:pPr>
            <w:r>
              <w:rPr>
                <w:rFonts w:ascii="Arial" w:cs="Arial" w:eastAsia="Arial" w:hAnsi="Arial"/>
                <w:sz w:val="18"/>
                <w:szCs w:val="18"/>
                <w:color w:val="auto"/>
              </w:rPr>
              <w:t>National Association, as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60"/>
        <w:spacing w:after="0"/>
        <w:tabs>
          <w:tab w:leader="none" w:pos="1000" w:val="left"/>
          <w:tab w:leader="none" w:pos="19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9/5/2018</w:t>
      </w:r>
    </w:p>
    <w:p>
      <w:pPr>
        <w:spacing w:after="0" w:line="200" w:lineRule="exact"/>
        <w:rPr>
          <w:sz w:val="20"/>
          <w:szCs w:val="20"/>
          <w:color w:val="auto"/>
        </w:rPr>
      </w:pPr>
    </w:p>
    <w:p>
      <w:pPr>
        <w:spacing w:after="0" w:line="295" w:lineRule="exact"/>
        <w:rPr>
          <w:sz w:val="20"/>
          <w:szCs w:val="20"/>
          <w:color w:val="auto"/>
        </w:rPr>
      </w:pPr>
    </w:p>
    <w:p>
      <w:pPr>
        <w:ind w:left="60"/>
        <w:spacing w:after="0"/>
        <w:tabs>
          <w:tab w:leader="none" w:pos="1000" w:val="left"/>
          <w:tab w:leader="none" w:pos="19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9/5/2018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000" w:val="left"/>
          <w:tab w:leader="none" w:pos="1860" w:val="left"/>
        </w:tabs>
        <w:rPr>
          <w:sz w:val="20"/>
          <w:szCs w:val="20"/>
          <w:color w:val="auto"/>
        </w:rPr>
      </w:pPr>
      <w:r>
        <w:rPr>
          <w:rFonts w:ascii="Arial" w:cs="Arial" w:eastAsia="Arial" w:hAnsi="Arial"/>
          <w:sz w:val="18"/>
          <w:szCs w:val="18"/>
          <w:color w:val="auto"/>
        </w:rPr>
        <w:t>8-K</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4/10/2015</w:t>
      </w:r>
    </w:p>
    <w:p>
      <w:pPr>
        <w:spacing w:after="0" w:line="244" w:lineRule="exact"/>
        <w:rPr>
          <w:sz w:val="20"/>
          <w:szCs w:val="20"/>
          <w:color w:val="auto"/>
        </w:rPr>
      </w:pPr>
    </w:p>
    <w:p>
      <w:pPr>
        <w:sectPr>
          <w:pgSz w:w="11900" w:h="16838" w:orient="portrait"/>
          <w:cols w:equalWidth="0" w:num="2">
            <w:col w:w="7640" w:space="720"/>
            <w:col w:w="2860"/>
          </w:cols>
          <w:pgMar w:left="320" w:top="125" w:right="359" w:bottom="1440" w:gutter="0" w:footer="0" w:header="0"/>
          <w:type w:val="continuous"/>
        </w:sectPr>
      </w:pPr>
    </w:p>
    <w:tbl>
      <w:tblPr>
        <w:tblLayout w:type="fixed"/>
        <w:tblInd w:w="340" w:type="dxa"/>
        <w:tblCellMar>
          <w:top w:w="0" w:type="dxa"/>
          <w:left w:w="0" w:type="dxa"/>
          <w:bottom w:w="0" w:type="dxa"/>
          <w:right w:w="0" w:type="dxa"/>
        </w:tblCellMar>
      </w:tblPr>
      <w:tr>
        <w:trPr>
          <w:trHeight w:val="216"/>
        </w:trPr>
        <w:tc>
          <w:tcPr>
            <w:tcW w:w="540" w:type="dxa"/>
            <w:vAlign w:val="bottom"/>
            <w:vMerge w:val="restart"/>
          </w:tcPr>
          <w:p>
            <w:pPr>
              <w:jc w:val="right"/>
              <w:ind w:right="130"/>
              <w:spacing w:after="0"/>
              <w:rPr>
                <w:rFonts w:ascii="Arial" w:cs="Arial" w:eastAsia="Arial" w:hAnsi="Arial"/>
                <w:sz w:val="18"/>
                <w:szCs w:val="18"/>
                <w:u w:val="single" w:color="auto"/>
                <w:color w:val="0000FF"/>
                <w:w w:val="85"/>
              </w:rPr>
            </w:pPr>
            <w:hyperlink r:id="rId52">
              <w:r>
                <w:rPr>
                  <w:rFonts w:ascii="Arial" w:cs="Arial" w:eastAsia="Arial" w:hAnsi="Arial"/>
                  <w:sz w:val="18"/>
                  <w:szCs w:val="18"/>
                  <w:u w:val="single" w:color="auto"/>
                  <w:color w:val="0000FF"/>
                  <w:w w:val="85"/>
                </w:rPr>
                <w:t>4.13</w:t>
              </w:r>
            </w:hyperlink>
          </w:p>
        </w:tc>
        <w:tc>
          <w:tcPr>
            <w:tcW w:w="6040" w:type="dxa"/>
            <w:vAlign w:val="bottom"/>
          </w:tcPr>
          <w:p>
            <w:pPr>
              <w:ind w:left="220"/>
              <w:spacing w:after="0"/>
              <w:rPr>
                <w:sz w:val="20"/>
                <w:szCs w:val="20"/>
                <w:color w:val="auto"/>
              </w:rPr>
            </w:pPr>
            <w:r>
              <w:rPr>
                <w:rFonts w:ascii="Arial" w:cs="Arial" w:eastAsia="Arial" w:hAnsi="Arial"/>
                <w:sz w:val="18"/>
                <w:szCs w:val="18"/>
                <w:color w:val="auto"/>
                <w:w w:val="94"/>
              </w:rPr>
              <w:t>Form of Interval Acquisition Corp. 5.625% Senior Note due 2023 (included as</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6040" w:type="dxa"/>
            <w:vAlign w:val="bottom"/>
            <w:vMerge w:val="restart"/>
          </w:tcPr>
          <w:p>
            <w:pPr>
              <w:ind w:left="220"/>
              <w:spacing w:after="0"/>
              <w:rPr>
                <w:sz w:val="20"/>
                <w:szCs w:val="20"/>
                <w:color w:val="auto"/>
              </w:rPr>
            </w:pPr>
            <w:r>
              <w:rPr>
                <w:rFonts w:ascii="Arial" w:cs="Arial" w:eastAsia="Arial" w:hAnsi="Arial"/>
                <w:sz w:val="18"/>
                <w:szCs w:val="18"/>
                <w:color w:val="auto"/>
              </w:rPr>
              <w:t>Exhibit A to Exhibit 4.12 above)</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6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540" w:type="dxa"/>
            <w:vAlign w:val="bottom"/>
            <w:vMerge w:val="restart"/>
          </w:tcPr>
          <w:p>
            <w:pPr>
              <w:jc w:val="right"/>
              <w:ind w:right="130"/>
              <w:spacing w:after="0"/>
              <w:rPr>
                <w:rFonts w:ascii="Arial" w:cs="Arial" w:eastAsia="Arial" w:hAnsi="Arial"/>
                <w:sz w:val="18"/>
                <w:szCs w:val="18"/>
                <w:u w:val="single" w:color="auto"/>
                <w:color w:val="0000FF"/>
                <w:w w:val="85"/>
              </w:rPr>
            </w:pPr>
            <w:hyperlink r:id="rId59">
              <w:r>
                <w:rPr>
                  <w:rFonts w:ascii="Arial" w:cs="Arial" w:eastAsia="Arial" w:hAnsi="Arial"/>
                  <w:sz w:val="18"/>
                  <w:szCs w:val="18"/>
                  <w:u w:val="single" w:color="auto"/>
                  <w:color w:val="0000FF"/>
                  <w:w w:val="85"/>
                </w:rPr>
                <w:t>4.14</w:t>
              </w:r>
            </w:hyperlink>
          </w:p>
        </w:tc>
        <w:tc>
          <w:tcPr>
            <w:tcW w:w="6040" w:type="dxa"/>
            <w:vAlign w:val="bottom"/>
          </w:tcPr>
          <w:p>
            <w:pPr>
              <w:ind w:left="220"/>
              <w:spacing w:after="0"/>
              <w:rPr>
                <w:sz w:val="20"/>
                <w:szCs w:val="20"/>
                <w:color w:val="auto"/>
              </w:rPr>
            </w:pPr>
            <w:r>
              <w:rPr>
                <w:rFonts w:ascii="Arial" w:cs="Arial" w:eastAsia="Arial" w:hAnsi="Arial"/>
                <w:sz w:val="18"/>
                <w:szCs w:val="18"/>
                <w:color w:val="auto"/>
                <w:w w:val="92"/>
              </w:rPr>
              <w:t>Supplemental Indenture, dated as of June 29, 2016, among Interval Acquisition</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6040" w:type="dxa"/>
            <w:vAlign w:val="bottom"/>
            <w:vMerge w:val="restart"/>
          </w:tcPr>
          <w:p>
            <w:pPr>
              <w:ind w:left="220"/>
              <w:spacing w:after="0"/>
              <w:rPr>
                <w:sz w:val="20"/>
                <w:szCs w:val="20"/>
                <w:color w:val="auto"/>
              </w:rPr>
            </w:pPr>
            <w:r>
              <w:rPr>
                <w:rFonts w:ascii="Arial" w:cs="Arial" w:eastAsia="Arial" w:hAnsi="Arial"/>
                <w:sz w:val="18"/>
                <w:szCs w:val="18"/>
                <w:color w:val="auto"/>
                <w:w w:val="91"/>
              </w:rPr>
              <w:t>Corp., certain subsidiary guarantors and HSBC Bank USA, National Association</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6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w w:val="98"/>
              </w:rPr>
              <w:t>Indenture, dated as of October 1, 2019, by and among Marriott Ownership</w:t>
            </w:r>
          </w:p>
        </w:tc>
        <w:tc>
          <w:tcPr>
            <w:tcW w:w="0" w:type="dxa"/>
            <w:vAlign w:val="bottom"/>
          </w:tcPr>
          <w:p>
            <w:pPr>
              <w:spacing w:after="0"/>
              <w:rPr>
                <w:sz w:val="1"/>
                <w:szCs w:val="1"/>
                <w:color w:val="auto"/>
              </w:rPr>
            </w:pPr>
          </w:p>
        </w:tc>
      </w:tr>
      <w:tr>
        <w:trPr>
          <w:trHeight w:val="216"/>
        </w:trPr>
        <w:tc>
          <w:tcPr>
            <w:tcW w:w="540" w:type="dxa"/>
            <w:vAlign w:val="bottom"/>
            <w:vMerge w:val="restart"/>
          </w:tcPr>
          <w:p>
            <w:pPr>
              <w:jc w:val="right"/>
              <w:ind w:right="130"/>
              <w:spacing w:after="0"/>
              <w:rPr>
                <w:rFonts w:ascii="Arial" w:cs="Arial" w:eastAsia="Arial" w:hAnsi="Arial"/>
                <w:sz w:val="18"/>
                <w:szCs w:val="18"/>
                <w:u w:val="single" w:color="auto"/>
                <w:color w:val="0000FF"/>
                <w:w w:val="85"/>
              </w:rPr>
            </w:pPr>
            <w:hyperlink r:id="rId60">
              <w:r>
                <w:rPr>
                  <w:rFonts w:ascii="Arial" w:cs="Arial" w:eastAsia="Arial" w:hAnsi="Arial"/>
                  <w:sz w:val="18"/>
                  <w:szCs w:val="18"/>
                  <w:u w:val="single" w:color="auto"/>
                  <w:color w:val="0000FF"/>
                  <w:w w:val="85"/>
                </w:rPr>
                <w:t>4.15</w:t>
              </w:r>
            </w:hyperlink>
          </w:p>
        </w:tc>
        <w:tc>
          <w:tcPr>
            <w:tcW w:w="6040" w:type="dxa"/>
            <w:vAlign w:val="bottom"/>
          </w:tcPr>
          <w:p>
            <w:pPr>
              <w:ind w:left="220"/>
              <w:spacing w:after="0"/>
              <w:rPr>
                <w:sz w:val="20"/>
                <w:szCs w:val="20"/>
                <w:color w:val="auto"/>
              </w:rPr>
            </w:pPr>
            <w:r>
              <w:rPr>
                <w:rFonts w:ascii="Arial" w:cs="Arial" w:eastAsia="Arial" w:hAnsi="Arial"/>
                <w:sz w:val="18"/>
                <w:szCs w:val="18"/>
                <w:color w:val="auto"/>
                <w:w w:val="91"/>
              </w:rPr>
              <w:t>Resorts, Inc., Marriott Vacations Worldwide Corporation, as guarantor, the other</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6040" w:type="dxa"/>
            <w:vAlign w:val="bottom"/>
            <w:vMerge w:val="restart"/>
          </w:tcPr>
          <w:p>
            <w:pPr>
              <w:ind w:left="220"/>
              <w:spacing w:after="0"/>
              <w:rPr>
                <w:sz w:val="20"/>
                <w:szCs w:val="20"/>
                <w:color w:val="auto"/>
              </w:rPr>
            </w:pPr>
            <w:r>
              <w:rPr>
                <w:rFonts w:ascii="Arial" w:cs="Arial" w:eastAsia="Arial" w:hAnsi="Arial"/>
                <w:sz w:val="18"/>
                <w:szCs w:val="18"/>
                <w:color w:val="auto"/>
                <w:w w:val="96"/>
              </w:rPr>
              <w:t>guarantors party thereto and The Bank of New York Mellon Trust Company,</w:t>
            </w: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6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N.A., as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1000" w:val="left"/>
          <w:tab w:leader="none" w:pos="1860" w:val="left"/>
        </w:tabs>
        <w:rPr>
          <w:sz w:val="20"/>
          <w:szCs w:val="20"/>
          <w:color w:val="auto"/>
        </w:rPr>
      </w:pPr>
      <w:r>
        <w:rPr>
          <w:rFonts w:ascii="Arial" w:cs="Arial" w:eastAsia="Arial" w:hAnsi="Arial"/>
          <w:sz w:val="18"/>
          <w:szCs w:val="18"/>
          <w:color w:val="auto"/>
        </w:rPr>
        <w:t>8-K</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4/10/2015</w:t>
      </w:r>
    </w:p>
    <w:p>
      <w:pPr>
        <w:spacing w:after="0" w:line="245" w:lineRule="exact"/>
        <w:rPr>
          <w:sz w:val="20"/>
          <w:szCs w:val="20"/>
          <w:color w:val="auto"/>
        </w:rPr>
      </w:pPr>
    </w:p>
    <w:p>
      <w:pPr>
        <w:spacing w:after="0"/>
        <w:tabs>
          <w:tab w:leader="none" w:pos="1000" w:val="left"/>
          <w:tab w:leader="none" w:pos="1900" w:val="left"/>
        </w:tabs>
        <w:rPr>
          <w:sz w:val="20"/>
          <w:szCs w:val="20"/>
          <w:color w:val="auto"/>
        </w:rPr>
      </w:pPr>
      <w:r>
        <w:rPr>
          <w:rFonts w:ascii="Arial" w:cs="Arial" w:eastAsia="Arial" w:hAnsi="Arial"/>
          <w:sz w:val="18"/>
          <w:szCs w:val="18"/>
          <w:color w:val="auto"/>
        </w:rPr>
        <w:t>8-K</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7/1/2016</w:t>
      </w:r>
    </w:p>
    <w:p>
      <w:pPr>
        <w:spacing w:after="0" w:line="200" w:lineRule="exact"/>
        <w:rPr>
          <w:sz w:val="20"/>
          <w:szCs w:val="20"/>
          <w:color w:val="auto"/>
        </w:rPr>
      </w:pPr>
    </w:p>
    <w:p>
      <w:pPr>
        <w:spacing w:after="0" w:line="261" w:lineRule="exact"/>
        <w:rPr>
          <w:sz w:val="20"/>
          <w:szCs w:val="20"/>
          <w:color w:val="auto"/>
        </w:rPr>
      </w:pPr>
    </w:p>
    <w:p>
      <w:pPr>
        <w:ind w:left="60"/>
        <w:spacing w:after="0"/>
        <w:tabs>
          <w:tab w:leader="none" w:pos="1000" w:val="left"/>
          <w:tab w:leader="none" w:pos="18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10/1/2019</w:t>
      </w:r>
    </w:p>
    <w:p>
      <w:pPr>
        <w:spacing w:after="0" w:line="387" w:lineRule="exact"/>
        <w:rPr>
          <w:sz w:val="20"/>
          <w:szCs w:val="20"/>
          <w:color w:val="auto"/>
        </w:rPr>
      </w:pPr>
    </w:p>
    <w:p>
      <w:pPr>
        <w:sectPr>
          <w:pgSz w:w="11900" w:h="16838" w:orient="portrait"/>
          <w:cols w:equalWidth="0" w:num="2">
            <w:col w:w="7640" w:space="720"/>
            <w:col w:w="2860"/>
          </w:cols>
          <w:pgMar w:left="320" w:top="125" w:right="359" w:bottom="1440" w:gutter="0" w:footer="0" w:header="0"/>
          <w:type w:val="continuous"/>
        </w:sectPr>
      </w:pPr>
    </w:p>
    <w:tbl>
      <w:tblPr>
        <w:tblLayout w:type="fixed"/>
        <w:tblInd w:w="340" w:type="dxa"/>
        <w:tblCellMar>
          <w:top w:w="0" w:type="dxa"/>
          <w:left w:w="0" w:type="dxa"/>
          <w:bottom w:w="0" w:type="dxa"/>
          <w:right w:w="0" w:type="dxa"/>
        </w:tblCellMar>
      </w:tblPr>
      <w:tr>
        <w:trPr>
          <w:trHeight w:val="216"/>
        </w:trPr>
        <w:tc>
          <w:tcPr>
            <w:tcW w:w="540" w:type="dxa"/>
            <w:vAlign w:val="bottom"/>
            <w:vMerge w:val="restart"/>
          </w:tcPr>
          <w:p>
            <w:pPr>
              <w:jc w:val="right"/>
              <w:ind w:right="130"/>
              <w:spacing w:after="0"/>
              <w:rPr>
                <w:rFonts w:ascii="Arial" w:cs="Arial" w:eastAsia="Arial" w:hAnsi="Arial"/>
                <w:sz w:val="18"/>
                <w:szCs w:val="18"/>
                <w:u w:val="single" w:color="auto"/>
                <w:color w:val="0000FF"/>
                <w:w w:val="85"/>
              </w:rPr>
            </w:pPr>
            <w:hyperlink r:id="rId60">
              <w:r>
                <w:rPr>
                  <w:rFonts w:ascii="Arial" w:cs="Arial" w:eastAsia="Arial" w:hAnsi="Arial"/>
                  <w:sz w:val="18"/>
                  <w:szCs w:val="18"/>
                  <w:u w:val="single" w:color="auto"/>
                  <w:color w:val="0000FF"/>
                  <w:w w:val="85"/>
                </w:rPr>
                <w:t>4.16</w:t>
              </w:r>
            </w:hyperlink>
          </w:p>
        </w:tc>
        <w:tc>
          <w:tcPr>
            <w:tcW w:w="6020" w:type="dxa"/>
            <w:vAlign w:val="bottom"/>
          </w:tcPr>
          <w:p>
            <w:pPr>
              <w:ind w:left="220"/>
              <w:spacing w:after="0"/>
              <w:rPr>
                <w:sz w:val="20"/>
                <w:szCs w:val="20"/>
                <w:color w:val="auto"/>
              </w:rPr>
            </w:pPr>
            <w:r>
              <w:rPr>
                <w:rFonts w:ascii="Arial" w:cs="Arial" w:eastAsia="Arial" w:hAnsi="Arial"/>
                <w:sz w:val="18"/>
                <w:szCs w:val="18"/>
                <w:color w:val="auto"/>
                <w:w w:val="94"/>
              </w:rPr>
              <w:t>Form of 4.750% Senior Notes due 2028 (included as Exhibit A to Exhibit 4.15</w:t>
            </w:r>
          </w:p>
        </w:tc>
        <w:tc>
          <w:tcPr>
            <w:tcW w:w="0" w:type="dxa"/>
            <w:vAlign w:val="bottom"/>
          </w:tcPr>
          <w:p>
            <w:pPr>
              <w:spacing w:after="0"/>
              <w:rPr>
                <w:sz w:val="1"/>
                <w:szCs w:val="1"/>
                <w:color w:val="auto"/>
              </w:rPr>
            </w:pPr>
          </w:p>
        </w:tc>
      </w:tr>
      <w:tr>
        <w:trPr>
          <w:trHeight w:val="122"/>
        </w:trPr>
        <w:tc>
          <w:tcPr>
            <w:tcW w:w="540" w:type="dxa"/>
            <w:vAlign w:val="bottom"/>
            <w:vMerge w:val="continue"/>
          </w:tcPr>
          <w:p>
            <w:pPr>
              <w:spacing w:after="0"/>
              <w:rPr>
                <w:sz w:val="10"/>
                <w:szCs w:val="10"/>
                <w:color w:val="auto"/>
              </w:rPr>
            </w:pPr>
          </w:p>
        </w:tc>
        <w:tc>
          <w:tcPr>
            <w:tcW w:w="6020" w:type="dxa"/>
            <w:vAlign w:val="bottom"/>
            <w:vMerge w:val="restart"/>
          </w:tcPr>
          <w:p>
            <w:pPr>
              <w:ind w:left="220"/>
              <w:spacing w:after="0"/>
              <w:rPr>
                <w:sz w:val="20"/>
                <w:szCs w:val="20"/>
                <w:color w:val="auto"/>
              </w:rPr>
            </w:pPr>
            <w:r>
              <w:rPr>
                <w:rFonts w:ascii="Arial" w:cs="Arial" w:eastAsia="Arial" w:hAnsi="Arial"/>
                <w:sz w:val="18"/>
                <w:szCs w:val="18"/>
                <w:color w:val="auto"/>
              </w:rPr>
              <w:t>above)</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6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w w:val="95"/>
              </w:rPr>
              <w:t>Registration Rights Agreement, dated as of October 1, 2019, by and among</w:t>
            </w:r>
          </w:p>
        </w:tc>
        <w:tc>
          <w:tcPr>
            <w:tcW w:w="0" w:type="dxa"/>
            <w:vAlign w:val="bottom"/>
          </w:tcPr>
          <w:p>
            <w:pPr>
              <w:spacing w:after="0"/>
              <w:rPr>
                <w:sz w:val="1"/>
                <w:szCs w:val="1"/>
                <w:color w:val="auto"/>
              </w:rPr>
            </w:pPr>
          </w:p>
        </w:tc>
      </w:tr>
      <w:tr>
        <w:trPr>
          <w:trHeight w:val="216"/>
        </w:trPr>
        <w:tc>
          <w:tcPr>
            <w:tcW w:w="540" w:type="dxa"/>
            <w:vAlign w:val="bottom"/>
          </w:tcPr>
          <w:p>
            <w:pPr>
              <w:jc w:val="right"/>
              <w:ind w:right="130"/>
              <w:spacing w:after="0"/>
              <w:rPr>
                <w:rFonts w:ascii="Arial" w:cs="Arial" w:eastAsia="Arial" w:hAnsi="Arial"/>
                <w:sz w:val="18"/>
                <w:szCs w:val="18"/>
                <w:u w:val="single" w:color="auto"/>
                <w:color w:val="0000FF"/>
                <w:w w:val="85"/>
              </w:rPr>
            </w:pPr>
            <w:hyperlink r:id="rId61">
              <w:r>
                <w:rPr>
                  <w:rFonts w:ascii="Arial" w:cs="Arial" w:eastAsia="Arial" w:hAnsi="Arial"/>
                  <w:sz w:val="18"/>
                  <w:szCs w:val="18"/>
                  <w:u w:val="single" w:color="auto"/>
                  <w:color w:val="0000FF"/>
                  <w:w w:val="85"/>
                </w:rPr>
                <w:t>4.17</w:t>
              </w:r>
            </w:hyperlink>
          </w:p>
        </w:tc>
        <w:tc>
          <w:tcPr>
            <w:tcW w:w="6020" w:type="dxa"/>
            <w:vAlign w:val="bottom"/>
          </w:tcPr>
          <w:p>
            <w:pPr>
              <w:ind w:left="220"/>
              <w:spacing w:after="0"/>
              <w:rPr>
                <w:sz w:val="20"/>
                <w:szCs w:val="20"/>
                <w:color w:val="auto"/>
              </w:rPr>
            </w:pPr>
            <w:r>
              <w:rPr>
                <w:rFonts w:ascii="Arial" w:cs="Arial" w:eastAsia="Arial" w:hAnsi="Arial"/>
                <w:sz w:val="18"/>
                <w:szCs w:val="18"/>
                <w:color w:val="auto"/>
                <w:w w:val="91"/>
              </w:rPr>
              <w:t>Marriott Ownership Resorts, Inc., Marriott Vacations Worldwide Corporation, as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w w:val="94"/>
              </w:rPr>
              <w:t>guarantor, the other guarantors party thereto and J.P. Morgan Securities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10/1/2019</w:t>
      </w:r>
    </w:p>
    <w:p>
      <w:pPr>
        <w:spacing w:after="0" w:line="387" w:lineRule="exact"/>
        <w:rPr>
          <w:sz w:val="20"/>
          <w:szCs w:val="20"/>
          <w:color w:val="auto"/>
        </w:rPr>
      </w:pPr>
    </w:p>
    <w:p>
      <w:pPr>
        <w:spacing w:after="0"/>
        <w:tabs>
          <w:tab w:leader="none" w:pos="940" w:val="left"/>
          <w:tab w:leader="none" w:pos="18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10/1/2019</w:t>
      </w:r>
    </w:p>
    <w:p>
      <w:pPr>
        <w:spacing w:after="0" w:line="279" w:lineRule="exact"/>
        <w:rPr>
          <w:sz w:val="20"/>
          <w:szCs w:val="20"/>
          <w:color w:val="auto"/>
        </w:rPr>
      </w:pPr>
    </w:p>
    <w:p>
      <w:pPr>
        <w:sectPr>
          <w:pgSz w:w="11900" w:h="16838" w:orient="portrait"/>
          <w:cols w:equalWidth="0" w:num="2">
            <w:col w:w="7700" w:space="720"/>
            <w:col w:w="2800"/>
          </w:cols>
          <w:pgMar w:left="320" w:top="125" w:right="359" w:bottom="1440" w:gutter="0" w:footer="0" w:header="0"/>
          <w:type w:val="continuous"/>
        </w:sectPr>
      </w:pPr>
    </w:p>
    <w:p>
      <w:pPr>
        <w:spacing w:after="0" w:line="108" w:lineRule="exact"/>
        <w:rPr>
          <w:sz w:val="20"/>
          <w:szCs w:val="20"/>
          <w:color w:val="auto"/>
        </w:rPr>
      </w:pPr>
    </w:p>
    <w:p>
      <w:pPr>
        <w:ind w:left="340"/>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31.1</w:t>
        </w:r>
      </w:hyperlink>
    </w:p>
    <w:p>
      <w:pPr>
        <w:spacing w:after="0" w:line="302" w:lineRule="exact"/>
        <w:rPr>
          <w:sz w:val="20"/>
          <w:szCs w:val="20"/>
          <w:color w:val="auto"/>
        </w:rPr>
      </w:pPr>
    </w:p>
    <w:p>
      <w:pPr>
        <w:ind w:left="340"/>
        <w:spacing w:after="0"/>
        <w:rPr>
          <w:rFonts w:ascii="Arial" w:cs="Arial" w:eastAsia="Arial" w:hAnsi="Arial"/>
          <w:sz w:val="16"/>
          <w:szCs w:val="16"/>
          <w:u w:val="single" w:color="auto"/>
          <w:color w:val="0000FF"/>
        </w:rPr>
      </w:pPr>
      <w:hyperlink w:anchor="page93">
        <w:r>
          <w:rPr>
            <w:rFonts w:ascii="Arial" w:cs="Arial" w:eastAsia="Arial" w:hAnsi="Arial"/>
            <w:sz w:val="16"/>
            <w:szCs w:val="16"/>
            <w:u w:val="single" w:color="auto"/>
            <w:color w:val="0000FF"/>
          </w:rPr>
          <w:t>31.2</w:t>
        </w:r>
      </w:hyperlink>
    </w:p>
    <w:p>
      <w:pPr>
        <w:spacing w:after="0" w:line="302" w:lineRule="exact"/>
        <w:rPr>
          <w:sz w:val="20"/>
          <w:szCs w:val="20"/>
          <w:color w:val="auto"/>
        </w:rPr>
      </w:pPr>
    </w:p>
    <w:p>
      <w:pPr>
        <w:ind w:left="340"/>
        <w:spacing w:after="0"/>
        <w:rPr>
          <w:rFonts w:ascii="Arial" w:cs="Arial" w:eastAsia="Arial" w:hAnsi="Arial"/>
          <w:sz w:val="16"/>
          <w:szCs w:val="16"/>
          <w:u w:val="single" w:color="auto"/>
          <w:color w:val="0000FF"/>
        </w:rPr>
      </w:pPr>
      <w:hyperlink w:anchor="page94">
        <w:r>
          <w:rPr>
            <w:rFonts w:ascii="Arial" w:cs="Arial" w:eastAsia="Arial" w:hAnsi="Arial"/>
            <w:sz w:val="16"/>
            <w:szCs w:val="16"/>
            <w:u w:val="single" w:color="auto"/>
            <w:color w:val="0000FF"/>
          </w:rPr>
          <w:t>32.1</w:t>
        </w:r>
      </w:hyperlink>
    </w:p>
    <w:p>
      <w:pPr>
        <w:spacing w:after="0" w:line="302" w:lineRule="exact"/>
        <w:rPr>
          <w:sz w:val="20"/>
          <w:szCs w:val="20"/>
          <w:color w:val="auto"/>
        </w:rPr>
      </w:pPr>
    </w:p>
    <w:p>
      <w:pPr>
        <w:ind w:left="340"/>
        <w:spacing w:after="0"/>
        <w:rPr>
          <w:rFonts w:ascii="Arial" w:cs="Arial" w:eastAsia="Arial" w:hAnsi="Arial"/>
          <w:sz w:val="16"/>
          <w:szCs w:val="16"/>
          <w:u w:val="single" w:color="auto"/>
          <w:color w:val="0000FF"/>
        </w:rPr>
      </w:pPr>
      <w:hyperlink w:anchor="page95">
        <w:r>
          <w:rPr>
            <w:rFonts w:ascii="Arial" w:cs="Arial" w:eastAsia="Arial" w:hAnsi="Arial"/>
            <w:sz w:val="16"/>
            <w:szCs w:val="16"/>
            <w:u w:val="single" w:color="auto"/>
            <w:color w:val="0000FF"/>
          </w:rPr>
          <w:t>32.2</w:t>
        </w:r>
      </w:hyperlink>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p>
      <w:pPr>
        <w:spacing w:after="0" w:line="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p>
      <w:pPr>
        <w:spacing w:after="0" w:line="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p>
      <w:pPr>
        <w:spacing w:after="0" w:line="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Furnished</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Furnished</w:t>
      </w:r>
    </w:p>
    <w:p>
      <w:pPr>
        <w:spacing w:after="0" w:line="193" w:lineRule="exact"/>
        <w:rPr>
          <w:sz w:val="20"/>
          <w:szCs w:val="20"/>
          <w:color w:val="auto"/>
        </w:rPr>
      </w:pPr>
    </w:p>
    <w:p>
      <w:pPr>
        <w:sectPr>
          <w:pgSz w:w="11900" w:h="16838" w:orient="portrait"/>
          <w:cols w:equalWidth="0" w:num="4">
            <w:col w:w="660" w:space="440"/>
            <w:col w:w="5680" w:space="720"/>
            <w:col w:w="580" w:space="720"/>
            <w:col w:w="2420"/>
          </w:cols>
          <w:pgMar w:left="320" w:top="125" w:right="359" w:bottom="1440" w:gutter="0" w:footer="0" w:header="0"/>
          <w:type w:val="continuous"/>
        </w:sectPr>
      </w:pPr>
    </w:p>
    <w:p>
      <w:pPr>
        <w:ind w:left="1100"/>
        <w:spacing w:after="0"/>
        <w:rPr>
          <w:sz w:val="20"/>
          <w:szCs w:val="20"/>
          <w:color w:val="auto"/>
        </w:rPr>
      </w:pPr>
      <w:r>
        <w:rPr>
          <w:rFonts w:ascii="Arial" w:cs="Arial" w:eastAsia="Arial" w:hAnsi="Arial"/>
          <w:sz w:val="17"/>
          <w:szCs w:val="17"/>
          <w:color w:val="auto"/>
        </w:rPr>
        <w:t>The following financial statements from the Company’s Quarterly Report on Form 10-Q for the quarter ended September 30, 2019,</w:t>
      </w:r>
    </w:p>
    <w:p>
      <w:pPr>
        <w:spacing w:after="0" w:line="35" w:lineRule="exact"/>
        <w:rPr>
          <w:sz w:val="20"/>
          <w:szCs w:val="20"/>
          <w:color w:val="auto"/>
        </w:rPr>
      </w:pPr>
    </w:p>
    <w:p>
      <w:pPr>
        <w:ind w:left="1100" w:right="100" w:hanging="741"/>
        <w:spacing w:after="0" w:line="187" w:lineRule="auto"/>
        <w:tabs>
          <w:tab w:leader="none" w:pos="1100" w:val="left"/>
        </w:tabs>
        <w:numPr>
          <w:ilvl w:val="0"/>
          <w:numId w:val="45"/>
        </w:numPr>
        <w:rPr>
          <w:rFonts w:ascii="Arial" w:cs="Arial" w:eastAsia="Arial" w:hAnsi="Arial"/>
          <w:sz w:val="36"/>
          <w:szCs w:val="36"/>
          <w:color w:val="auto"/>
          <w:vertAlign w:val="subscript"/>
        </w:rPr>
      </w:pPr>
      <w:r>
        <w:rPr>
          <w:rFonts w:ascii="Arial" w:cs="Arial" w:eastAsia="Arial" w:hAnsi="Arial"/>
          <w:sz w:val="18"/>
          <w:szCs w:val="18"/>
          <w:color w:val="auto"/>
        </w:rPr>
        <w:t>formatted in Inline XBRL: (i) Interim Consolidated Statements of Income, (ii) Interim Consolidated Statements of Comprehensive Income, (iii) Interim Consolidated Balance Sheets, (iv) Interim Consolidated Statements of Cash Flows, (v) Interim Consolidated Statements of Shareholders’ Equity, and (vi) Notes to Interim Consolidated Financial Statements</w:t>
      </w:r>
    </w:p>
    <w:p>
      <w:pPr>
        <w:spacing w:after="0" w:line="43" w:lineRule="exact"/>
        <w:rPr>
          <w:sz w:val="20"/>
          <w:szCs w:val="20"/>
          <w:color w:val="auto"/>
        </w:rPr>
      </w:pPr>
    </w:p>
    <w:p>
      <w:pPr>
        <w:ind w:left="1100" w:right="140" w:hanging="741"/>
        <w:spacing w:after="0" w:line="182" w:lineRule="auto"/>
        <w:tabs>
          <w:tab w:leader="none" w:pos="1100" w:val="left"/>
        </w:tabs>
        <w:numPr>
          <w:ilvl w:val="0"/>
          <w:numId w:val="46"/>
        </w:numPr>
        <w:rPr>
          <w:rFonts w:ascii="Arial" w:cs="Arial" w:eastAsia="Arial" w:hAnsi="Arial"/>
          <w:sz w:val="34"/>
          <w:szCs w:val="34"/>
          <w:color w:val="auto"/>
          <w:vertAlign w:val="subscript"/>
        </w:rPr>
      </w:pPr>
      <w:r>
        <w:rPr>
          <w:rFonts w:ascii="Arial" w:cs="Arial" w:eastAsia="Arial" w:hAnsi="Arial"/>
          <w:sz w:val="17"/>
          <w:szCs w:val="17"/>
          <w:color w:val="auto"/>
        </w:rPr>
        <w:t>The cover page from the Company’s Quarterly Report on Form 10-Q for the quarter ended September 30, 2019, formatted in Inline XBRL and contained in Exhibit 101</w:t>
      </w:r>
    </w:p>
    <w:p>
      <w:pPr>
        <w:spacing w:after="0" w:line="284" w:lineRule="exact"/>
        <w:rPr>
          <w:sz w:val="20"/>
          <w:szCs w:val="20"/>
          <w:color w:val="auto"/>
        </w:rPr>
      </w:pPr>
    </w:p>
    <w:p>
      <w:pPr>
        <w:ind w:left="1080" w:right="400" w:hanging="638"/>
        <w:spacing w:after="0" w:line="182" w:lineRule="auto"/>
        <w:tabs>
          <w:tab w:leader="none" w:pos="1080" w:val="left"/>
        </w:tabs>
        <w:numPr>
          <w:ilvl w:val="0"/>
          <w:numId w:val="47"/>
        </w:numPr>
        <w:rPr>
          <w:rFonts w:ascii="Arial" w:cs="Arial" w:eastAsia="Arial" w:hAnsi="Arial"/>
          <w:sz w:val="34"/>
          <w:szCs w:val="34"/>
          <w:color w:val="auto"/>
          <w:vertAlign w:val="subscript"/>
        </w:rPr>
      </w:pPr>
      <w:r>
        <w:rPr>
          <w:rFonts w:ascii="Arial" w:cs="Arial" w:eastAsia="Arial" w:hAnsi="Arial"/>
          <w:sz w:val="17"/>
          <w:szCs w:val="17"/>
          <w:color w:val="auto"/>
        </w:rPr>
        <w:t>Schedules have been omitted pursuant to Item 601(b)(2) of Regulation S-K. The Company agrees to furnish supplemental copies to the SEC of any omitted schedule upon request by the SEC.</w:t>
      </w:r>
    </w:p>
    <w:p>
      <w:pPr>
        <w:spacing w:after="0" w:line="149" w:lineRule="exact"/>
        <w:rPr>
          <w:sz w:val="20"/>
          <w:szCs w:val="20"/>
          <w:color w:val="auto"/>
        </w:rPr>
      </w:pPr>
    </w:p>
    <w:p>
      <w:pPr>
        <w:ind w:left="1080" w:hanging="677"/>
        <w:spacing w:after="0"/>
        <w:tabs>
          <w:tab w:leader="none" w:pos="1080" w:val="left"/>
        </w:tabs>
        <w:numPr>
          <w:ilvl w:val="0"/>
          <w:numId w:val="48"/>
        </w:numPr>
        <w:rPr>
          <w:rFonts w:ascii="Arial" w:cs="Arial" w:eastAsia="Arial" w:hAnsi="Arial"/>
          <w:sz w:val="14"/>
          <w:szCs w:val="14"/>
          <w:color w:val="auto"/>
        </w:rPr>
      </w:pPr>
      <w:r>
        <w:rPr>
          <w:rFonts w:ascii="Arial" w:cs="Arial" w:eastAsia="Arial" w:hAnsi="Arial"/>
          <w:sz w:val="18"/>
          <w:szCs w:val="18"/>
          <w:color w:val="auto"/>
        </w:rPr>
        <w:t>Filing made by ILG, LLC under SEC File No. 001-34062.</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25" w:right="359" w:bottom="1440" w:gutter="0" w:footer="0" w:header="0"/>
          <w:type w:val="continuous"/>
        </w:sectPr>
      </w:pPr>
    </w:p>
    <w:bookmarkStart w:id="90" w:name="page91"/>
    <w:bookmarkEnd w:id="90"/>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MARRIOTT VACATIONS WORLDWIDE CORPORATION</w:t>
            </w:r>
          </w:p>
        </w:tc>
      </w:tr>
      <w:tr>
        <w:trPr>
          <w:trHeight w:val="594"/>
        </w:trPr>
        <w:tc>
          <w:tcPr>
            <w:tcW w:w="4520" w:type="dxa"/>
            <w:vAlign w:val="bottom"/>
          </w:tcPr>
          <w:p>
            <w:pPr>
              <w:spacing w:after="0"/>
              <w:rPr>
                <w:sz w:val="20"/>
                <w:szCs w:val="20"/>
                <w:color w:val="auto"/>
              </w:rPr>
            </w:pPr>
            <w:r>
              <w:rPr>
                <w:rFonts w:ascii="Arial" w:cs="Arial" w:eastAsia="Arial" w:hAnsi="Arial"/>
                <w:sz w:val="18"/>
                <w:szCs w:val="18"/>
                <w:color w:val="auto"/>
              </w:rPr>
              <w:t>November 12, 2019</w:t>
            </w:r>
          </w:p>
        </w:tc>
        <w:tc>
          <w:tcPr>
            <w:tcW w:w="6520" w:type="dxa"/>
            <w:vAlign w:val="bottom"/>
          </w:tcPr>
          <w:p>
            <w:pPr>
              <w:ind w:left="20"/>
              <w:spacing w:after="0"/>
              <w:rPr>
                <w:sz w:val="20"/>
                <w:szCs w:val="20"/>
                <w:color w:val="auto"/>
              </w:rPr>
            </w:pPr>
            <w:r>
              <w:rPr>
                <w:rFonts w:ascii="Arial" w:cs="Arial" w:eastAsia="Arial" w:hAnsi="Arial"/>
                <w:sz w:val="18"/>
                <w:szCs w:val="18"/>
                <w:color w:val="auto"/>
              </w:rPr>
              <w:t>/s/ Stephen P. Weisz</w:t>
            </w:r>
          </w:p>
        </w:tc>
      </w:tr>
      <w:tr>
        <w:trPr>
          <w:trHeight w:val="27"/>
        </w:trPr>
        <w:tc>
          <w:tcPr>
            <w:tcW w:w="4520" w:type="dxa"/>
            <w:vAlign w:val="bottom"/>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Stephen P. Weisz</w:t>
            </w:r>
          </w:p>
        </w:tc>
      </w:tr>
      <w:tr>
        <w:trPr>
          <w:trHeight w:val="270"/>
        </w:trPr>
        <w:tc>
          <w:tcPr>
            <w:tcW w:w="4520" w:type="dxa"/>
            <w:vAlign w:val="bottom"/>
          </w:tcPr>
          <w:p>
            <w:pPr>
              <w:spacing w:after="0"/>
              <w:rPr>
                <w:sz w:val="23"/>
                <w:szCs w:val="23"/>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4520" w:type="dxa"/>
            <w:vAlign w:val="bottom"/>
          </w:tcPr>
          <w:p>
            <w:pPr>
              <w:spacing w:after="0"/>
              <w:rPr>
                <w:sz w:val="24"/>
                <w:szCs w:val="24"/>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/s/ John E. Geller, Jr.</w:t>
            </w:r>
          </w:p>
        </w:tc>
      </w:tr>
      <w:tr>
        <w:trPr>
          <w:trHeight w:val="27"/>
        </w:trPr>
        <w:tc>
          <w:tcPr>
            <w:tcW w:w="4520" w:type="dxa"/>
            <w:vAlign w:val="bottom"/>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John E. Geller, Jr.</w:t>
            </w:r>
          </w:p>
        </w:tc>
      </w:tr>
      <w:tr>
        <w:trPr>
          <w:trHeight w:val="270"/>
        </w:trPr>
        <w:tc>
          <w:tcPr>
            <w:tcW w:w="4520" w:type="dxa"/>
            <w:vAlign w:val="bottom"/>
          </w:tcPr>
          <w:p>
            <w:pPr>
              <w:spacing w:after="0"/>
              <w:rPr>
                <w:sz w:val="23"/>
                <w:szCs w:val="23"/>
                <w:color w:val="auto"/>
              </w:rPr>
            </w:pPr>
          </w:p>
        </w:tc>
        <w:tc>
          <w:tcPr>
            <w:tcW w:w="65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and Administrative Officer</w:t>
            </w:r>
          </w:p>
        </w:tc>
      </w:tr>
      <w:tr>
        <w:trPr>
          <w:trHeight w:val="486"/>
        </w:trPr>
        <w:tc>
          <w:tcPr>
            <w:tcW w:w="4520" w:type="dxa"/>
            <w:vAlign w:val="bottom"/>
          </w:tcPr>
          <w:p>
            <w:pPr>
              <w:spacing w:after="0"/>
              <w:rPr>
                <w:sz w:val="24"/>
                <w:szCs w:val="24"/>
                <w:color w:val="auto"/>
              </w:rPr>
            </w:pPr>
          </w:p>
        </w:tc>
        <w:tc>
          <w:tcPr>
            <w:tcW w:w="6520" w:type="dxa"/>
            <w:vAlign w:val="bottom"/>
          </w:tcPr>
          <w:p>
            <w:pPr>
              <w:ind w:left="98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160"/>
          </w:cols>
          <w:pgMar w:left="320" w:top="364" w:right="41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00" w:lineRule="exact"/>
        <w:rPr>
          <w:sz w:val="20"/>
          <w:szCs w:val="20"/>
          <w:color w:val="auto"/>
        </w:rPr>
      </w:pPr>
    </w:p>
    <w:p>
      <w:pPr>
        <w:spacing w:after="0" w:line="29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31750</wp:posOffset>
            </wp:positionV>
            <wp:extent cx="4200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80"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00" w:lineRule="exact"/>
        <w:rPr>
          <w:sz w:val="20"/>
          <w:szCs w:val="20"/>
          <w:color w:val="auto"/>
        </w:rPr>
      </w:pPr>
    </w:p>
    <w:p>
      <w:pPr>
        <w:spacing w:after="0" w:line="26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31750</wp:posOffset>
            </wp:positionV>
            <wp:extent cx="41662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5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58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26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2019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12,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31750</wp:posOffset>
            </wp:positionV>
            <wp:extent cx="3454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8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26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2019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12,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31750</wp:posOffset>
            </wp:positionV>
            <wp:extent cx="34036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3403600" cy="8890"/>
                    </a:xfrm>
                    <a:prstGeom prst="rect">
                      <a:avLst/>
                    </a:prstGeom>
                    <a:noFill/>
                  </pic:spPr>
                </pic:pic>
              </a:graphicData>
            </a:graphic>
          </wp:anchor>
        </w:drawing>
      </w:r>
    </w:p>
    <w:p>
      <w:pPr>
        <w:spacing w:after="0" w:line="5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4"/>
    </w:lvl>
  </w:abstractNum>
  <w:abstractNum w:abstractNumId="10">
    <w:nsid w:val="737B8DDC"/>
    <w:multiLevelType w:val="hybridMultilevel"/>
    <w:lvl w:ilvl="0">
      <w:lvlJc w:val="left"/>
      <w:lvlText w:val="%1."/>
      <w:numFmt w:val="decimal"/>
      <w:start w:val="5"/>
    </w:lvl>
  </w:abstractNum>
  <w:abstractNum w:abstractNumId="11">
    <w:nsid w:val="6CEAF087"/>
    <w:multiLevelType w:val="hybridMultilevel"/>
    <w:lvl w:ilvl="0">
      <w:lvlJc w:val="left"/>
      <w:lvlText w:val="%1."/>
      <w:numFmt w:val="decimal"/>
      <w:start w:val="6"/>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7"/>
    </w:lvl>
  </w:abstractNum>
  <w:abstractNum w:abstractNumId="21">
    <w:nsid w:val="77465F01"/>
    <w:multiLevelType w:val="hybridMultilevel"/>
    <w:lvl w:ilvl="0">
      <w:lvlJc w:val="left"/>
      <w:lvlText w:val="%1."/>
      <w:numFmt w:val="decimal"/>
      <w:start w:val="8"/>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8"/>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9"/>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lvl w:ilvl="1">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01"/>
    </w:lvl>
  </w:abstractNum>
  <w:abstractNum w:abstractNumId="45">
    <w:nsid w:val="684A481A"/>
    <w:multiLevelType w:val="hybridMultilevel"/>
    <w:lvl w:ilvl="0">
      <w:lvlJc w:val="left"/>
      <w:lvlText w:val="%1"/>
      <w:numFmt w:val="decimal"/>
      <w:start w:val="104"/>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46" Type="http://schemas.openxmlformats.org/officeDocument/2006/relationships/hyperlink" Target="http://www.sec.gov/Archives/edgar/data/1524358/000119312518144431/d577638dex21.htm" TargetMode="External"/><Relationship Id="rId47" Type="http://schemas.openxmlformats.org/officeDocument/2006/relationships/hyperlink" Target="http://www.sec.gov/Archives/edgar/data/1524358/000119312511320045/d256766dex31.htm" TargetMode="External"/><Relationship Id="rId48" Type="http://schemas.openxmlformats.org/officeDocument/2006/relationships/hyperlink" Target="http://www.sec.gov/Archives/edgar/data/1524358/000119312511320045/d256766dex32.htm" TargetMode="External"/><Relationship Id="rId49" Type="http://schemas.openxmlformats.org/officeDocument/2006/relationships/hyperlink" Target="http://www.sec.gov/Archives/edgar/data/1524358/000119312511271851/d197736dex41.htm" TargetMode="External"/><Relationship Id="rId50" Type="http://schemas.openxmlformats.org/officeDocument/2006/relationships/hyperlink" Target="http://www.sec.gov/Archives/edgar/data/1524358/000152435817000036/q3201710-qexhibit41xindent.htm" TargetMode="External"/><Relationship Id="rId51" Type="http://schemas.openxmlformats.org/officeDocument/2006/relationships/hyperlink" Target="http://www.sec.gov/Archives/edgar/data/1524358/000152435817000036/q3201710-qexhibit41xindent.htm#s5A3ABC734649FE299B9DF361BE642613" TargetMode="External"/><Relationship Id="rId52" Type="http://schemas.openxmlformats.org/officeDocument/2006/relationships/hyperlink" Target="http://www.sec.gov/Archives/edgar/data/1524358/000119312518256374/d608569dex41.htm" TargetMode="External"/><Relationship Id="rId53" Type="http://schemas.openxmlformats.org/officeDocument/2006/relationships/hyperlink" Target="http://www.sec.gov/Archives/edgar/data/1524358/000119312518266807/d597652dex47.htm" TargetMode="External"/><Relationship Id="rId54" Type="http://schemas.openxmlformats.org/officeDocument/2006/relationships/hyperlink" Target="http://www.sec.gov/Archives/edgar/data/1524358/000119312518256374/d608569dex43.htm" TargetMode="External"/><Relationship Id="rId55" Type="http://schemas.openxmlformats.org/officeDocument/2006/relationships/hyperlink" Target="http://www.sec.gov/Archives/edgar/data/1524358/000119312518266807/d597652dex48.htm" TargetMode="External"/><Relationship Id="rId56" Type="http://schemas.openxmlformats.org/officeDocument/2006/relationships/hyperlink" Target="http://www.sec.gov/Archives/edgar/data/1524358/000119312518266807/d597652dex41.htm" TargetMode="External"/><Relationship Id="rId57" Type="http://schemas.openxmlformats.org/officeDocument/2006/relationships/hyperlink" Target="http://www.sec.gov/Archives/edgar/data/1524358/000119312518266807/d597652dex43.htm" TargetMode="External"/><Relationship Id="rId58" Type="http://schemas.openxmlformats.org/officeDocument/2006/relationships/hyperlink" Target="http://www.sec.gov/Archives/edgar/data/1434620/000114420415022275/v406616_ex4-1.htm" TargetMode="External"/><Relationship Id="rId59" Type="http://schemas.openxmlformats.org/officeDocument/2006/relationships/hyperlink" Target="http://www.sec.gov/Archives/edgar/data/1434620/000110465916130819/a16-14344_1ex4d1.htm" TargetMode="External"/><Relationship Id="rId60" Type="http://schemas.openxmlformats.org/officeDocument/2006/relationships/hyperlink" Target="http://www.sec.gov/Archives/edgar/data/1524358/000119312519259964/d812229dex41.htm" TargetMode="External"/><Relationship Id="rId61" Type="http://schemas.openxmlformats.org/officeDocument/2006/relationships/hyperlink" Target="http://www.sec.gov/Archives/edgar/data/1524358/000119312519259964/d812229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2020-10-08T01:35:33Z</dcterms:created>
  <dcterms:modified xsi:type="dcterms:W3CDTF">2020-10-08T01:35:33Z</dcterms:modified>
</cp:coreProperties>
</file>