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27,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45-2598330</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6649 Westwood Blvd.</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6"/>
              </w:rPr>
              <w:t>Orlando, FL</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32821</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(407) 206-6000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608"/>
        </w:trPr>
        <w:tc>
          <w:tcPr>
            <w:tcW w:w="752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852"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852"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852"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640" w:space="180"/>
            <w:col w:w="260" w:space="80"/>
            <w:col w:w="160" w:space="180"/>
            <w:col w:w="220" w:space="100"/>
            <w:col w:w="1600"/>
          </w:cols>
          <w:pgMar w:left="240" w:top="230" w:right="239" w:bottom="852" w:gutter="0" w:footer="0" w:header="0"/>
          <w:type w:val="continuous"/>
        </w:sectPr>
      </w:pPr>
    </w:p>
    <w:p>
      <w:pPr>
        <w:spacing w:after="0" w:line="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outstanding of the issuer’s common stock, par value $0.01 per share, as of April 24, 2015 was 31,736,631.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852"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2"/>
          </w:tcPr>
          <w:p>
            <w:pPr>
              <w:ind w:left="60"/>
              <w:spacing w:after="0"/>
              <w:rPr>
                <w:sz w:val="20"/>
                <w:szCs w:val="20"/>
                <w:color w:val="auto"/>
              </w:rPr>
            </w:pPr>
            <w:r>
              <w:rPr>
                <w:rFonts w:ascii="Arial" w:cs="Arial" w:eastAsia="Arial" w:hAnsi="Arial"/>
                <w:sz w:val="18"/>
                <w:szCs w:val="18"/>
                <w:b w:val="1"/>
                <w:bCs w:val="1"/>
                <w:color w:val="auto"/>
              </w:rPr>
              <w:t>INDEX</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9820" w:type="dxa"/>
            <w:vAlign w:val="bottom"/>
            <w:gridSpan w:val="20"/>
            <w:vMerge w:val="continue"/>
          </w:tcPr>
          <w:p>
            <w:pPr>
              <w:spacing w:after="0"/>
              <w:rPr>
                <w:sz w:val="14"/>
                <w:szCs w:val="14"/>
                <w:color w:val="auto"/>
              </w:rPr>
            </w:pPr>
          </w:p>
        </w:tc>
        <w:tc>
          <w:tcPr>
            <w:tcW w:w="600" w:type="dxa"/>
            <w:vAlign w:val="bottom"/>
          </w:tcPr>
          <w:p>
            <w:pPr>
              <w:jc w:val="center"/>
              <w:spacing w:after="0" w:line="170"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2140" w:type="dxa"/>
            <w:vAlign w:val="bottom"/>
            <w:tcBorders>
              <w:top w:val="single" w:sz="8" w:color="0000EE"/>
            </w:tcBorders>
            <w:gridSpan w:val="8"/>
          </w:tcPr>
          <w:p>
            <w:pPr>
              <w:spacing w:after="0"/>
              <w:rPr>
                <w:sz w:val="17"/>
                <w:szCs w:val="17"/>
                <w:color w:val="auto"/>
              </w:rPr>
            </w:pPr>
          </w:p>
        </w:tc>
        <w:tc>
          <w:tcPr>
            <w:tcW w:w="6180" w:type="dxa"/>
            <w:vAlign w:val="bottom"/>
            <w:gridSpan w:val="6"/>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Interim Consolidated Statements of Income</w:t>
              </w:r>
            </w:hyperlink>
          </w:p>
        </w:tc>
        <w:tc>
          <w:tcPr>
            <w:tcW w:w="6680" w:type="dxa"/>
            <w:vAlign w:val="bottom"/>
            <w:gridSpan w:val="8"/>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Comprehensive Income</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Interim Consolidated Balance Sheets</w:t>
              </w:r>
            </w:hyperlink>
          </w:p>
        </w:tc>
        <w:tc>
          <w:tcPr>
            <w:tcW w:w="1640" w:type="dxa"/>
            <w:vAlign w:val="bottom"/>
            <w:tcBorders>
              <w:top w:val="single" w:sz="8" w:color="0000EE"/>
            </w:tcBorders>
            <w:gridSpan w:val="5"/>
          </w:tcPr>
          <w:p>
            <w:pPr>
              <w:spacing w:after="0"/>
              <w:rPr>
                <w:sz w:val="17"/>
                <w:szCs w:val="17"/>
                <w:color w:val="auto"/>
              </w:rPr>
            </w:pPr>
          </w:p>
        </w:tc>
        <w:tc>
          <w:tcPr>
            <w:tcW w:w="5520" w:type="dxa"/>
            <w:vAlign w:val="bottom"/>
            <w:gridSpan w:val="4"/>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4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Consolidated Statements of Cash Flows</w:t>
              </w:r>
            </w:hyperlink>
          </w:p>
        </w:tc>
        <w:tc>
          <w:tcPr>
            <w:tcW w:w="6380" w:type="dxa"/>
            <w:vAlign w:val="bottom"/>
            <w:gridSpan w:val="7"/>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7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6100" w:type="dxa"/>
            <w:vAlign w:val="bottom"/>
            <w:gridSpan w:val="5"/>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36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5460" w:type="dxa"/>
            <w:vAlign w:val="bottom"/>
            <w:gridSpan w:val="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Controls and Procedures</w:t>
              </w:r>
            </w:hyperlink>
          </w:p>
        </w:tc>
        <w:tc>
          <w:tcPr>
            <w:tcW w:w="8040" w:type="dxa"/>
            <w:vAlign w:val="bottom"/>
            <w:gridSpan w:val="1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7800" w:type="dxa"/>
            <w:vAlign w:val="bottom"/>
            <w:gridSpan w:val="11"/>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82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17"/>
                <w:szCs w:val="17"/>
                <w:color w:val="auto"/>
              </w:rPr>
            </w:pPr>
          </w:p>
        </w:tc>
        <w:tc>
          <w:tcPr>
            <w:tcW w:w="8500" w:type="dxa"/>
            <w:vAlign w:val="bottom"/>
            <w:gridSpan w:val="15"/>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2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17"/>
                <w:szCs w:val="17"/>
                <w:color w:val="auto"/>
              </w:rPr>
            </w:pPr>
          </w:p>
        </w:tc>
        <w:tc>
          <w:tcPr>
            <w:tcW w:w="548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2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8060" w:type="dxa"/>
            <w:vAlign w:val="bottom"/>
            <w:gridSpan w:val="1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17"/>
                <w:szCs w:val="17"/>
                <w:color w:val="auto"/>
              </w:rPr>
            </w:pPr>
          </w:p>
        </w:tc>
        <w:tc>
          <w:tcPr>
            <w:tcW w:w="8520" w:type="dxa"/>
            <w:vAlign w:val="bottom"/>
            <w:gridSpan w:val="16"/>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SIGNATURES</w:t>
              </w:r>
            </w:hyperlink>
          </w:p>
        </w:tc>
        <w:tc>
          <w:tcPr>
            <w:tcW w:w="8720" w:type="dxa"/>
            <w:vAlign w:val="bottom"/>
            <w:gridSpan w:val="17"/>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836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20" w:type="dxa"/>
            <w:vAlign w:val="bottom"/>
            <w:gridSpan w:val="2"/>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rPr>
              <w:t>MARRIOTT VACATIONS WORLDWIDE CORPORATION</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rPr>
              <w:t>INTERIM CONSOLIDATED STATEMENTS OF INCOME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color w:val="auto"/>
                <w:w w:val="88"/>
              </w:rPr>
              <w:t>(In thousands, except per share amounts)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color w:val="auto"/>
                <w:w w:val="91"/>
              </w:rPr>
              <w:t>(Unaudited)</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1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March 27, 2015</w:t>
            </w:r>
          </w:p>
        </w:tc>
        <w:tc>
          <w:tcPr>
            <w:tcW w:w="62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28, 2014</w:t>
            </w:r>
          </w:p>
        </w:tc>
      </w:tr>
      <w:tr>
        <w:trPr>
          <w:trHeight w:val="196"/>
        </w:trPr>
        <w:tc>
          <w:tcPr>
            <w:tcW w:w="20" w:type="dxa"/>
            <w:vAlign w:val="bottom"/>
          </w:tcPr>
          <w:p>
            <w:pPr>
              <w:spacing w:after="0"/>
              <w:rPr>
                <w:sz w:val="17"/>
                <w:szCs w:val="17"/>
                <w:color w:val="auto"/>
              </w:rPr>
            </w:pPr>
          </w:p>
        </w:tc>
        <w:tc>
          <w:tcPr>
            <w:tcW w:w="83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Sale of vacation ownership products</w:t>
            </w: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183,906</w:t>
            </w:r>
          </w:p>
        </w:tc>
        <w:tc>
          <w:tcPr>
            <w:tcW w:w="102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144,850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64,417</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63,546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Financing</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29,052</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30,640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76,199</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63,525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Cost reimbursements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101,306</w:t>
            </w:r>
          </w:p>
        </w:tc>
        <w:tc>
          <w:tcPr>
            <w:tcW w:w="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99,386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454,880</w:t>
            </w:r>
          </w:p>
        </w:tc>
        <w:tc>
          <w:tcPr>
            <w:tcW w:w="6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401,947</w:t>
            </w:r>
          </w:p>
        </w:tc>
        <w:tc>
          <w:tcPr>
            <w:tcW w:w="100" w:type="dxa"/>
            <w:vAlign w:val="bottom"/>
            <w:shd w:val="clear" w:color="auto" w:fill="CCEEFF"/>
          </w:tcPr>
          <w:p>
            <w:pPr>
              <w:spacing w:after="0"/>
              <w:rPr>
                <w:sz w:val="18"/>
                <w:szCs w:val="18"/>
                <w:color w:val="auto"/>
              </w:rPr>
            </w:pPr>
          </w:p>
        </w:tc>
      </w:tr>
      <w:tr>
        <w:trPr>
          <w:trHeight w:val="223"/>
        </w:trPr>
        <w:tc>
          <w:tcPr>
            <w:tcW w:w="8360" w:type="dxa"/>
            <w:vAlign w:val="bottom"/>
            <w:gridSpan w:val="4"/>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Cost of vacation ownership products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64,962</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Marketing and sales</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79,995</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71,220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42,409</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Financing</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4,905</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5,104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60,158</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22,777</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21,828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Organizational and separation related</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192</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Consumer financing interest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6,021</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Royalty fee</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13,000</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13,428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101,306</w:t>
            </w:r>
          </w:p>
        </w:tc>
        <w:tc>
          <w:tcPr>
            <w:tcW w:w="6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99,386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EXPENSES</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395,463</w:t>
            </w:r>
          </w:p>
        </w:tc>
        <w:tc>
          <w:tcPr>
            <w:tcW w:w="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366,999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Gains and other income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887</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Equity in earnings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Impairment charges on equity investment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57,343</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(23,289)</w:t>
            </w:r>
          </w:p>
        </w:tc>
        <w:tc>
          <w:tcPr>
            <w:tcW w:w="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34,054</w:t>
            </w:r>
          </w:p>
        </w:tc>
        <w:tc>
          <w:tcPr>
            <w:tcW w:w="6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19,308</w:t>
            </w:r>
          </w:p>
        </w:tc>
        <w:tc>
          <w:tcPr>
            <w:tcW w:w="100" w:type="dxa"/>
            <w:vAlign w:val="bottom"/>
            <w:shd w:val="clear" w:color="auto" w:fill="CCEEFF"/>
          </w:tcPr>
          <w:p>
            <w:pPr>
              <w:spacing w:after="0"/>
              <w:rPr>
                <w:sz w:val="18"/>
                <w:szCs w:val="18"/>
                <w:color w:val="auto"/>
              </w:rPr>
            </w:pPr>
          </w:p>
        </w:tc>
      </w:tr>
      <w:tr>
        <w:trPr>
          <w:trHeight w:val="20"/>
        </w:trPr>
        <w:tc>
          <w:tcPr>
            <w:tcW w:w="136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8360" w:type="dxa"/>
            <w:vAlign w:val="bottom"/>
            <w:gridSpan w:val="4"/>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1.05</w:t>
            </w:r>
          </w:p>
        </w:tc>
        <w:tc>
          <w:tcPr>
            <w:tcW w:w="102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used in computing basic earnings per share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32,299</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1.03</w:t>
            </w:r>
          </w:p>
        </w:tc>
        <w:tc>
          <w:tcPr>
            <w:tcW w:w="102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used in computing diluted earnings per share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33,009</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35,882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Dividends declared per share of common stock</w:t>
            </w: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0.25</w:t>
            </w:r>
          </w:p>
        </w:tc>
        <w:tc>
          <w:tcPr>
            <w:tcW w:w="102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8"/>
              </w:rPr>
              <w:t>Twelve Weeks Ended</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27, 2015</w:t>
            </w:r>
          </w:p>
        </w:tc>
        <w:tc>
          <w:tcPr>
            <w:tcW w:w="70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28, 2014</w:t>
            </w: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34,054</w:t>
            </w: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(5,602)</w:t>
            </w:r>
          </w:p>
        </w:tc>
        <w:tc>
          <w:tcPr>
            <w:tcW w:w="7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 net of tax</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(5,602)</w:t>
            </w:r>
          </w:p>
        </w:tc>
        <w:tc>
          <w:tcPr>
            <w:tcW w:w="7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28,452</w:t>
            </w:r>
          </w:p>
        </w:tc>
        <w:tc>
          <w:tcPr>
            <w:tcW w:w="11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(Unaudited)</w:t>
            </w:r>
          </w:p>
        </w:tc>
        <w:tc>
          <w:tcPr>
            <w:tcW w:w="500" w:type="dxa"/>
            <w:vAlign w:val="bottom"/>
          </w:tcPr>
          <w:p>
            <w:pPr>
              <w:spacing w:after="0"/>
              <w:rPr>
                <w:sz w:val="14"/>
                <w:szCs w:val="14"/>
                <w:color w:val="auto"/>
              </w:rPr>
            </w:pPr>
          </w:p>
        </w:tc>
        <w:tc>
          <w:tcPr>
            <w:tcW w:w="13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January 2,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1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March 27, 2015</w:t>
            </w:r>
          </w:p>
        </w:tc>
        <w:tc>
          <w:tcPr>
            <w:tcW w:w="5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272,180</w:t>
            </w: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346,515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$29,310 and $34,986 from VIEs, respectively)</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62,016</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Accounts and contracts receivable, net (including $4,132 and $4,992 from VIEs, respectively)</w:t>
            </w:r>
          </w:p>
        </w:tc>
        <w:tc>
          <w:tcPr>
            <w:tcW w:w="18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114,863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109,700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net (including $675,411 and $750,680 from VIEs, respectively)</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888,193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917,228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724,520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772,784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188,431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138,666</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2,388,869</w:t>
            </w: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2,524,016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76,569</w:t>
            </w: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Advance deposits</w:t>
            </w:r>
          </w:p>
        </w:tc>
        <w:tc>
          <w:tcPr>
            <w:tcW w:w="18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63,439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$552 and $1,088 from VIEs, respectively)</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171,325</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27,018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73,347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8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84,811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89,285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44,598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 net</w:t>
            </w:r>
          </w:p>
        </w:tc>
        <w:tc>
          <w:tcPr>
            <w:tcW w:w="18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38,856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Debt, net (including $629,220 and $708,031 from VIEs, respectively)</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618,946</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696,450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59,960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87,494</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1,346,363</w:t>
            </w: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1,444,313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18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 $0.01 par value; 100,000,000 shares authorized; 36,333,814 and 36,089,513 shares issued,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363</w:t>
            </w: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Treasury stock — at cost; 4,602,258 and 3,996,725 shares, respectively</w:t>
            </w:r>
          </w:p>
        </w:tc>
        <w:tc>
          <w:tcPr>
            <w:tcW w:w="1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(277,629)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1,128,615</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1,137,785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11,452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179,705</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1,042,506</w:t>
            </w: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1,079,703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2,388,869</w:t>
            </w: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2,524,016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27, 2015</w:t>
            </w:r>
          </w:p>
        </w:tc>
        <w:tc>
          <w:tcPr>
            <w:tcW w:w="62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28,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34,054</w:t>
            </w:r>
          </w:p>
        </w:tc>
        <w:tc>
          <w:tcPr>
            <w:tcW w:w="9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4,065</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1,267</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8,437</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2,643</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8,600</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method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Gain on disposal of property and equipment,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litigation settlement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Impairment charges on equity investment</w:t>
            </w:r>
          </w:p>
        </w:tc>
        <w:tc>
          <w:tcPr>
            <w:tcW w:w="2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assets and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Accounts and contracts receivable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(4,643)</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Notes receivable originations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(48,946)</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Notes receivable collections</w:t>
            </w:r>
          </w:p>
        </w:tc>
        <w:tc>
          <w:tcPr>
            <w:tcW w:w="2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67,518</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71,068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44,883</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Purchase of operating hotel for future conversion to inventory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(46,614)</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Accounts payable, advance deposits and accrued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(25,064)</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Payroll and benefit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(19,583)</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Liability for Marriott Rewards customer loyalty program</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Deferred compensation liability</w:t>
            </w:r>
          </w:p>
        </w:tc>
        <w:tc>
          <w:tcPr>
            <w:tcW w:w="2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2,921</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27,937</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32,069</w:t>
            </w: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Decrease in restricted cash</w:t>
            </w:r>
          </w:p>
        </w:tc>
        <w:tc>
          <w:tcPr>
            <w:tcW w:w="2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47,103</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Dispositions,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197</w:t>
            </w: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06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36,738</w:t>
            </w:r>
          </w:p>
        </w:tc>
        <w:tc>
          <w:tcPr>
            <w:tcW w:w="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Repayment of debt related to securitization transactions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(78,811)</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vacation ownership inventory arrangement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5,375</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(51,281)</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dividends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Proceeds from stock option exercises</w:t>
            </w:r>
          </w:p>
        </w:tc>
        <w:tc>
          <w:tcPr>
            <w:tcW w:w="2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(141,689)</w:t>
            </w:r>
          </w:p>
        </w:tc>
        <w:tc>
          <w:tcPr>
            <w:tcW w:w="6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Effect of changes in exchange rates on cash and cash equivalents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(74,335)</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346,515</w:t>
            </w:r>
          </w:p>
        </w:tc>
        <w:tc>
          <w:tcPr>
            <w:tcW w:w="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272,180</w:t>
            </w: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Non-cash impact on Additional paid-in capital for changes in Deferred tax liabilities distributed to</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Marriott Vacations Worldwide at Spin-Off</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Non-cash issuance of note receivable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Notes to Interim Consolidated Financial Statements</w:t>
      </w:r>
    </w:p>
    <w:p>
      <w:pPr>
        <w:sectPr>
          <w:pgSz w:w="11900" w:h="16838" w:orient="portrait"/>
          <w:cols w:equalWidth="0" w:num="1">
            <w:col w:w="11420"/>
          </w:cols>
          <w:pgMar w:left="240" w:top="459"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firstLine="685"/>
        <w:spacing w:after="0" w:line="293"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generally provides on-site management for Ritz-Carlton branded properties.</w:t>
      </w:r>
    </w:p>
    <w:p>
      <w:pPr>
        <w:spacing w:after="0" w:line="165" w:lineRule="exact"/>
        <w:rPr>
          <w:sz w:val="20"/>
          <w:szCs w:val="20"/>
          <w:color w:val="auto"/>
        </w:rPr>
      </w:pPr>
    </w:p>
    <w:p>
      <w:pPr>
        <w:ind w:right="80" w:firstLine="685"/>
        <w:spacing w:after="0" w:line="286" w:lineRule="auto"/>
        <w:rPr>
          <w:sz w:val="20"/>
          <w:szCs w:val="20"/>
          <w:color w:val="auto"/>
        </w:rPr>
      </w:pPr>
      <w:r>
        <w:rPr>
          <w:rFonts w:ascii="Arial" w:cs="Arial" w:eastAsia="Arial" w:hAnsi="Arial"/>
          <w:sz w:val="17"/>
          <w:szCs w:val="17"/>
          <w:color w:val="auto"/>
        </w:rPr>
        <w:t>Our business is grouped into three reportable segments: North America, Europe and Asia Pacific. As of March 27, 2015, we operated 59 properties, including one hotel, in the United States and seven other countries and territories. We generate most of our revenues from four primary sources: selling vacation ownership products; managing our resorts; financing consumer purchases; and renting vacation ownership inventory.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117" w:lineRule="exact"/>
        <w:rPr>
          <w:sz w:val="20"/>
          <w:szCs w:val="20"/>
          <w:color w:val="auto"/>
        </w:rPr>
      </w:pPr>
    </w:p>
    <w:p>
      <w:pPr>
        <w:ind w:right="40" w:firstLine="685"/>
        <w:spacing w:after="0" w:line="342" w:lineRule="auto"/>
        <w:rPr>
          <w:sz w:val="20"/>
          <w:szCs w:val="20"/>
          <w:color w:val="auto"/>
        </w:rPr>
      </w:pPr>
      <w:r>
        <w:rPr>
          <w:rFonts w:ascii="Arial" w:cs="Arial" w:eastAsia="Arial" w:hAnsi="Arial"/>
          <w:sz w:val="16"/>
          <w:szCs w:val="16"/>
          <w:color w:val="auto"/>
        </w:rPr>
        <w:t>On November 21, 2011, the spin-off of Marriott Vacations Worldwide from Marriott International (the “Spin-Off”) was completed. In connection with the Spin-Off, we entered into several agreements that govern the ongoing relationship between Marriott Vacations Worldwide and Marriott International.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order to make this report easier to read, we refer throughout to (i) our Interim Consolidated Financial Statements as our “Financial Statements,”</w:t>
      </w:r>
    </w:p>
    <w:p>
      <w:pPr>
        <w:spacing w:after="0" w:line="46" w:lineRule="exact"/>
        <w:rPr>
          <w:sz w:val="20"/>
          <w:szCs w:val="20"/>
          <w:color w:val="auto"/>
        </w:rPr>
      </w:pPr>
    </w:p>
    <w:p>
      <w:pPr>
        <w:jc w:val="both"/>
        <w:ind w:right="300"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190" w:lineRule="exact"/>
        <w:rPr>
          <w:sz w:val="20"/>
          <w:szCs w:val="20"/>
          <w:color w:val="auto"/>
        </w:rPr>
      </w:pPr>
    </w:p>
    <w:p>
      <w:pPr>
        <w:ind w:right="120" w:firstLine="685"/>
        <w:spacing w:after="0" w:line="277"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189" w:lineRule="exact"/>
        <w:rPr>
          <w:sz w:val="20"/>
          <w:szCs w:val="20"/>
          <w:color w:val="auto"/>
        </w:rPr>
      </w:pPr>
    </w:p>
    <w:tbl>
      <w:tblPr>
        <w:tblLayout w:type="fixed"/>
        <w:tblInd w:w="2880" w:type="dxa"/>
        <w:tblCellMar>
          <w:top w:w="0" w:type="dxa"/>
          <w:left w:w="0" w:type="dxa"/>
          <w:bottom w:w="0" w:type="dxa"/>
          <w:right w:w="0" w:type="dxa"/>
        </w:tblCellMar>
      </w:tblPr>
      <w:tr>
        <w:trPr>
          <w:trHeight w:val="185"/>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080" w:type="dxa"/>
            <w:vAlign w:val="bottom"/>
          </w:tcPr>
          <w:p>
            <w:pPr>
              <w:spacing w:after="0"/>
              <w:rPr>
                <w:sz w:val="16"/>
                <w:szCs w:val="16"/>
                <w:color w:val="auto"/>
              </w:rPr>
            </w:pPr>
          </w:p>
        </w:tc>
        <w:tc>
          <w:tcPr>
            <w:tcW w:w="19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Quarter-End Date</w:t>
            </w:r>
          </w:p>
        </w:tc>
      </w:tr>
      <w:tr>
        <w:trPr>
          <w:trHeight w:val="182"/>
        </w:trPr>
        <w:tc>
          <w:tcPr>
            <w:tcW w:w="1860" w:type="dxa"/>
            <w:vAlign w:val="bottom"/>
          </w:tcPr>
          <w:p>
            <w:pPr>
              <w:jc w:val="center"/>
              <w:spacing w:after="0" w:line="182" w:lineRule="exact"/>
              <w:rPr>
                <w:sz w:val="20"/>
                <w:szCs w:val="20"/>
                <w:color w:val="auto"/>
              </w:rPr>
            </w:pPr>
            <w:r>
              <w:rPr>
                <w:rFonts w:ascii="Arial" w:cs="Arial" w:eastAsia="Arial" w:hAnsi="Arial"/>
                <w:sz w:val="18"/>
                <w:szCs w:val="18"/>
                <w:color w:val="auto"/>
                <w:w w:val="90"/>
              </w:rPr>
              <w:t>2015 First Quarter</w:t>
            </w:r>
          </w:p>
        </w:tc>
        <w:tc>
          <w:tcPr>
            <w:tcW w:w="2080" w:type="dxa"/>
            <w:vAlign w:val="bottom"/>
          </w:tcPr>
          <w:p>
            <w:pPr>
              <w:spacing w:after="0"/>
              <w:rPr>
                <w:sz w:val="15"/>
                <w:szCs w:val="15"/>
                <w:color w:val="auto"/>
              </w:rPr>
            </w:pPr>
          </w:p>
        </w:tc>
        <w:tc>
          <w:tcPr>
            <w:tcW w:w="1980" w:type="dxa"/>
            <w:vAlign w:val="bottom"/>
          </w:tcPr>
          <w:p>
            <w:pPr>
              <w:ind w:left="420"/>
              <w:spacing w:after="0" w:line="182" w:lineRule="exact"/>
              <w:rPr>
                <w:sz w:val="20"/>
                <w:szCs w:val="20"/>
                <w:color w:val="auto"/>
              </w:rPr>
            </w:pPr>
            <w:r>
              <w:rPr>
                <w:rFonts w:ascii="Arial" w:cs="Arial" w:eastAsia="Arial" w:hAnsi="Arial"/>
                <w:sz w:val="18"/>
                <w:szCs w:val="18"/>
                <w:color w:val="auto"/>
              </w:rPr>
              <w:t>March 27, 2015</w:t>
            </w:r>
          </w:p>
        </w:tc>
      </w:tr>
      <w:tr>
        <w:trPr>
          <w:trHeight w:val="230"/>
        </w:trPr>
        <w:tc>
          <w:tcPr>
            <w:tcW w:w="1860" w:type="dxa"/>
            <w:vAlign w:val="bottom"/>
          </w:tcPr>
          <w:p>
            <w:pPr>
              <w:jc w:val="center"/>
              <w:spacing w:after="0"/>
              <w:rPr>
                <w:sz w:val="20"/>
                <w:szCs w:val="20"/>
                <w:color w:val="auto"/>
              </w:rPr>
            </w:pPr>
            <w:r>
              <w:rPr>
                <w:rFonts w:ascii="Arial" w:cs="Arial" w:eastAsia="Arial" w:hAnsi="Arial"/>
                <w:sz w:val="18"/>
                <w:szCs w:val="18"/>
                <w:color w:val="auto"/>
                <w:w w:val="90"/>
              </w:rPr>
              <w:t>2014 First Quarter</w:t>
            </w:r>
          </w:p>
        </w:tc>
        <w:tc>
          <w:tcPr>
            <w:tcW w:w="2080" w:type="dxa"/>
            <w:vAlign w:val="bottom"/>
          </w:tcPr>
          <w:p>
            <w:pPr>
              <w:spacing w:after="0"/>
              <w:rPr>
                <w:sz w:val="20"/>
                <w:szCs w:val="20"/>
                <w:color w:val="auto"/>
              </w:rPr>
            </w:pPr>
          </w:p>
        </w:tc>
        <w:tc>
          <w:tcPr>
            <w:tcW w:w="1980" w:type="dxa"/>
            <w:vAlign w:val="bottom"/>
          </w:tcPr>
          <w:p>
            <w:pPr>
              <w:ind w:left="420"/>
              <w:spacing w:after="0"/>
              <w:rPr>
                <w:sz w:val="20"/>
                <w:szCs w:val="20"/>
                <w:color w:val="auto"/>
              </w:rPr>
            </w:pPr>
            <w:r>
              <w:rPr>
                <w:rFonts w:ascii="Arial" w:cs="Arial" w:eastAsia="Arial" w:hAnsi="Arial"/>
                <w:sz w:val="18"/>
                <w:szCs w:val="18"/>
                <w:color w:val="auto"/>
              </w:rPr>
              <w:t>March 28, 2014</w:t>
            </w:r>
          </w:p>
        </w:tc>
      </w:tr>
    </w:tbl>
    <w:p>
      <w:pPr>
        <w:spacing w:after="0" w:line="202"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81" w:lineRule="exact"/>
        <w:rPr>
          <w:sz w:val="20"/>
          <w:szCs w:val="20"/>
          <w:color w:val="auto"/>
        </w:rPr>
      </w:pPr>
    </w:p>
    <w:p>
      <w:pPr>
        <w:ind w:right="60" w:firstLine="685"/>
        <w:spacing w:after="0" w:line="276" w:lineRule="auto"/>
        <w:rPr>
          <w:sz w:val="20"/>
          <w:szCs w:val="20"/>
          <w:color w:val="auto"/>
        </w:rPr>
      </w:pPr>
      <w:r>
        <w:rPr>
          <w:rFonts w:ascii="Arial" w:cs="Arial" w:eastAsia="Arial" w:hAnsi="Arial"/>
          <w:sz w:val="17"/>
          <w:szCs w:val="17"/>
          <w:color w:val="auto"/>
        </w:rPr>
        <w:t>These Financial Statements have not been audited. Amounts as of January 2, 2015 included in these Financial Statements have been derived from the audited consolidated financial statements as of that date.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January 2, 2015.</w:t>
      </w:r>
    </w:p>
    <w:p>
      <w:pPr>
        <w:spacing w:after="0" w:line="173" w:lineRule="exact"/>
        <w:rPr>
          <w:sz w:val="20"/>
          <w:szCs w:val="20"/>
          <w:color w:val="auto"/>
        </w:rPr>
      </w:pPr>
    </w:p>
    <w:p>
      <w:pPr>
        <w:ind w:right="180" w:firstLine="68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loss contingencies and exit and disposal activities reserves. Accordingly, actual amounts may differ from these estimated amounts.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have reclassified certain prior year amounts to conform to our current period presentation.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Accounting Standards Update No. 2015-02 –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(“ASU 2015-02”)</w:t>
      </w:r>
    </w:p>
    <w:p>
      <w:pPr>
        <w:spacing w:after="0" w:line="225" w:lineRule="exact"/>
        <w:rPr>
          <w:sz w:val="20"/>
          <w:szCs w:val="20"/>
          <w:color w:val="auto"/>
        </w:rPr>
      </w:pPr>
    </w:p>
    <w:p>
      <w:pPr>
        <w:ind w:right="80" w:firstLine="685"/>
        <w:spacing w:after="0" w:line="293" w:lineRule="auto"/>
        <w:rPr>
          <w:sz w:val="20"/>
          <w:szCs w:val="20"/>
          <w:color w:val="auto"/>
        </w:rPr>
      </w:pPr>
      <w:r>
        <w:rPr>
          <w:rFonts w:ascii="Arial" w:cs="Arial" w:eastAsia="Arial" w:hAnsi="Arial"/>
          <w:sz w:val="16"/>
          <w:szCs w:val="16"/>
          <w:color w:val="auto"/>
        </w:rPr>
        <w:t>In February 2015, the Financial Accounting Standards Board (“FASB”) issued ASU 2015-02, which amends the guidance for evaluating whether to consolidate certain legal entities. Specifically, ASU 2015-02 modifies the method for determining whether limited partnerships and similar legal entities are variable interest entities (“VIEs”) or voting interest entities. Further, it eliminates the presumption that a general partner should consolidate a limited partnership and impacts the consolidation analysis of reporting entities that are involved with VIEs, particularly those that have fee arrangements and related party relationships. The updated guidance is effective for fiscal years, and interim periods within those fiscal years, beginning after December 15, 2015, with early adoption permitted. Our early adoption of ASU 2015-02 in the first quarter of 2015 did not have a material impact on our Financial Statements.</w:t>
      </w:r>
    </w:p>
    <w:p>
      <w:pPr>
        <w:spacing w:after="0" w:line="165" w:lineRule="exact"/>
        <w:rPr>
          <w:sz w:val="20"/>
          <w:szCs w:val="20"/>
          <w:color w:val="auto"/>
        </w:rPr>
      </w:pPr>
    </w:p>
    <w:p>
      <w:pPr>
        <w:ind w:right="320" w:firstLine="685"/>
        <w:spacing w:after="0" w:line="277" w:lineRule="auto"/>
        <w:rPr>
          <w:sz w:val="20"/>
          <w:szCs w:val="20"/>
          <w:color w:val="auto"/>
        </w:rPr>
      </w:pPr>
      <w:r>
        <w:rPr>
          <w:rFonts w:ascii="Arial" w:cs="Arial" w:eastAsia="Arial" w:hAnsi="Arial"/>
          <w:sz w:val="18"/>
          <w:szCs w:val="18"/>
          <w:color w:val="auto"/>
        </w:rPr>
        <w:t>Accounting Standards Update No. 2015-03 – “</w:t>
      </w:r>
      <w:r>
        <w:rPr>
          <w:rFonts w:ascii="Arial" w:cs="Arial" w:eastAsia="Arial" w:hAnsi="Arial"/>
          <w:sz w:val="18"/>
          <w:szCs w:val="18"/>
          <w:i w:val="1"/>
          <w:iCs w:val="1"/>
          <w:color w:val="auto"/>
        </w:rPr>
        <w:t>Interest – 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 (“ASU 2015-03”)</w:t>
      </w:r>
    </w:p>
    <w:p>
      <w:pPr>
        <w:spacing w:after="0" w:line="170"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In April 2015, the FASB issued ASU 2015-03, which requires debt issuance costs related to a debt liability to be presented in the balance sheet as a direct deduction from the carrying amount of the debt liability instead of being presented as an asset. The recognition and measurement guidance for debt issuance costs has not changed. ASU 2015-03 requires retrospective application and represents a change in accounting principle. ASU 2015-03 is effective for fiscal years beginning after December 15, 2015 and early adoption is permitted for financial statements that have not been previously issued. Our early adoption of ASU 2015-03 in the first quarter of 2015 did not have a material impact on our Financial Statements. See Footnote No. 9, “Debt,” for additional information on our debt issuance costs.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w:t>
      </w:r>
    </w:p>
    <w:p>
      <w:pPr>
        <w:spacing w:after="0" w:line="225" w:lineRule="exact"/>
        <w:rPr>
          <w:sz w:val="20"/>
          <w:szCs w:val="20"/>
          <w:color w:val="auto"/>
        </w:rPr>
      </w:pPr>
    </w:p>
    <w:p>
      <w:pPr>
        <w:jc w:val="both"/>
        <w:ind w:firstLine="685"/>
        <w:spacing w:after="0" w:line="286" w:lineRule="auto"/>
        <w:rPr>
          <w:sz w:val="20"/>
          <w:szCs w:val="20"/>
          <w:color w:val="auto"/>
        </w:rPr>
      </w:pPr>
      <w:r>
        <w:rPr>
          <w:rFonts w:ascii="Arial" w:cs="Arial" w:eastAsia="Arial" w:hAnsi="Arial"/>
          <w:sz w:val="16"/>
          <w:szCs w:val="16"/>
          <w:color w:val="auto"/>
        </w:rPr>
        <w:t xml:space="preserve">In May 2014, the FASB issued ASU 2014-09. ASU 2014-09 supersedes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most industry-specific guidance, and significantly enhances comparability of revenue recognition practices across entities and 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w:t>
      </w:r>
    </w:p>
    <w:p>
      <w:pPr>
        <w:spacing w:after="0" w:line="2" w:lineRule="exact"/>
        <w:rPr>
          <w:sz w:val="20"/>
          <w:szCs w:val="20"/>
          <w:color w:val="auto"/>
        </w:rPr>
      </w:pPr>
    </w:p>
    <w:p>
      <w:pPr>
        <w:ind w:right="40" w:firstLine="8"/>
        <w:spacing w:after="0" w:line="252"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 currently written, ASU 2014-09 will be effective for financial statements issued for the first interim period within annual periods beginning after December 15, 2016, and does not permit early adoption. However, on April 29, 2015, the FASB published an exposure draft proposing to extend the effective date to the first interim period within annual periods beginning after December 15, 2017. We continue to evaluate the impact that this guidance, including the method of implementation, will have on our financial statements and disclosures.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140" w:firstLine="685"/>
        <w:spacing w:after="0" w:line="264" w:lineRule="auto"/>
        <w:rPr>
          <w:sz w:val="20"/>
          <w:szCs w:val="20"/>
          <w:color w:val="auto"/>
        </w:rPr>
      </w:pPr>
      <w:r>
        <w:rPr>
          <w:rFonts w:ascii="Arial" w:cs="Arial" w:eastAsia="Arial" w:hAnsi="Arial"/>
          <w:sz w:val="18"/>
          <w:szCs w:val="18"/>
          <w:color w:val="auto"/>
        </w:rPr>
        <w:t>We file U.S. consolidated federal and state tax returns, as well as consolidated and separate tax filings for non-U.S. jurisdictions. Our total unrecognized tax benefit balance that, if recognized, would impact our effective tax rate was $1.4 million and $1.3 million at March 27, 2015 and January 2, 2015, respectively.</w:t>
      </w:r>
    </w:p>
    <w:p>
      <w:pPr>
        <w:spacing w:after="0" w:line="181"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We have joined in the Marriott International U.S. federal tax consolidated filing for periods up to the date of the Spin-Off. The U.S. Internal Revenue Service (the “IRS”) has examined Marriott International’s federal income tax returns, and it has settled all issues related to the timeshare business for the tax years through the Spin-Off. Our tax years subsequent to the Spin-Off are subject to examination by relevant tax authorities, and our 2011 and 2012 returns are currently being audited by the IRS and authorities in other foreign jurisdictions. Although we do not anticipate that a significant impact to our unrecognized tax benefit balance will occur during the next fiscal year, the amount of our liability for unrecognized tax benefits could change as a result of these audits. Pursuant to a Tax Sharing and Indemnification Agreement with Marriott International effective November 21, 2011, as subsequently amended, Marriott International is liable and shall pay the relevant tax authority for all taxes related to our taxable income prior to the Spin-Off.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1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March 27, 2015</w:t>
            </w:r>
          </w:p>
        </w:tc>
        <w:tc>
          <w:tcPr>
            <w:tcW w:w="18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January 2, 2015</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675,411</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Eligible for securitization </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88,521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24,194</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720"/>
              <w:spacing w:after="0"/>
              <w:rPr>
                <w:sz w:val="20"/>
                <w:szCs w:val="20"/>
                <w:color w:val="auto"/>
              </w:rPr>
            </w:pPr>
            <w:r>
              <w:rPr>
                <w:rFonts w:ascii="Arial" w:cs="Arial" w:eastAsia="Arial" w:hAnsi="Arial"/>
                <w:sz w:val="18"/>
                <w:szCs w:val="18"/>
                <w:color w:val="auto"/>
              </w:rPr>
              <w:t xml:space="preserve">Not eligible for securitization </w:t>
            </w:r>
            <w:r>
              <w:rPr>
                <w:rFonts w:ascii="Arial" w:cs="Arial" w:eastAsia="Arial" w:hAnsi="Arial"/>
                <w:sz w:val="15"/>
                <w:szCs w:val="15"/>
                <w:color w:val="auto"/>
              </w:rPr>
              <w:t>(1)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124,261</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142,354</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212,782</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166,548</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888,193</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917,228</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94615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1820" w:hanging="448"/>
        <w:spacing w:after="0"/>
        <w:tabs>
          <w:tab w:leader="none" w:pos="182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Refer to Footnote No. 4, “Financial Instruments,” for discussion of eligibility of our vacation ownership notes receivable.</w:t>
      </w:r>
    </w:p>
    <w:p>
      <w:pPr>
        <w:spacing w:after="0" w:line="225" w:lineRule="exact"/>
        <w:rPr>
          <w:sz w:val="20"/>
          <w:szCs w:val="20"/>
          <w:color w:val="auto"/>
        </w:rPr>
      </w:pPr>
    </w:p>
    <w:p>
      <w:pPr>
        <w:ind w:right="540" w:firstLine="685"/>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 at March 27, 2015:</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Non-Securitized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Securitized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14"/>
                <w:szCs w:val="14"/>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Notes Receivable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Notes Receivable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45,822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121,324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36,102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97,914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134,016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27,040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17,707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83,687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14,920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71,191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250,563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321,754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27,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212,782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888,193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stated interest rate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74"/>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74"/>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3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 to 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 to 19.5%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0.0% to 19.5%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85"/>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on our Statements of Income in the Financing revenues caption. The following table summarizes interest income associated with vacation ownership notes receivable:</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00" w:type="dxa"/>
            <w:vAlign w:val="bottom"/>
            <w:gridSpan w:val="2"/>
            <w:vMerge w:val="continue"/>
          </w:tcPr>
          <w:p>
            <w:pPr>
              <w:spacing w:after="0"/>
              <w:rPr>
                <w:sz w:val="12"/>
                <w:szCs w:val="12"/>
                <w:color w:val="auto"/>
              </w:rPr>
            </w:pPr>
          </w:p>
        </w:tc>
        <w:tc>
          <w:tcPr>
            <w:tcW w:w="1180" w:type="dxa"/>
            <w:vAlign w:val="bottom"/>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March 27, 2015</w:t>
            </w:r>
          </w:p>
        </w:tc>
        <w:tc>
          <w:tcPr>
            <w:tcW w:w="200" w:type="dxa"/>
            <w:vAlign w:val="bottom"/>
          </w:tcPr>
          <w:p>
            <w:pPr>
              <w:spacing w:after="0"/>
              <w:rPr>
                <w:sz w:val="12"/>
                <w:szCs w:val="12"/>
                <w:color w:val="auto"/>
              </w:rPr>
            </w:pPr>
          </w:p>
        </w:tc>
        <w:tc>
          <w:tcPr>
            <w:tcW w:w="11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March 28,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associated with vacation ownership notes receivable — securitized</w:t>
            </w:r>
          </w:p>
        </w:tc>
        <w:tc>
          <w:tcPr>
            <w:tcW w:w="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22,074</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21,591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Interest income associated with vacation ownership notes receivable — non-securitized</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5,493</w:t>
            </w: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3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27,567</w:t>
            </w: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29,132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twelve weeks ended March 27, 2015:</w:t>
      </w:r>
    </w:p>
    <w:p>
      <w:pPr>
        <w:spacing w:after="0" w:line="25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Non-Securitized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Securitized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80" w:type="dxa"/>
            <w:vAlign w:val="bottom"/>
          </w:tcPr>
          <w:p>
            <w:pPr>
              <w:spacing w:after="0"/>
              <w:rPr>
                <w:sz w:val="12"/>
                <w:szCs w:val="12"/>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40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Reserve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Reserve</w:t>
            </w: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 2015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64,752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53,666</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2"/>
              </w:rPr>
              <w:t>$ 118,418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3,379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4,815</w:t>
            </w:r>
          </w:p>
        </w:tc>
        <w:tc>
          <w:tcPr>
            <w:tcW w:w="1080" w:type="dxa"/>
            <w:vAlign w:val="bottom"/>
            <w:gridSpan w:val="2"/>
          </w:tcPr>
          <w:p>
            <w:pPr>
              <w:jc w:val="right"/>
              <w:ind w:right="54"/>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Clean-up calls </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(1,316)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Write-offs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
              <w:spacing w:after="0"/>
              <w:rPr>
                <w:sz w:val="20"/>
                <w:szCs w:val="20"/>
                <w:color w:val="auto"/>
              </w:rPr>
            </w:pPr>
            <w:r>
              <w:rPr>
                <w:rFonts w:ascii="Arial" w:cs="Arial" w:eastAsia="Arial" w:hAnsi="Arial"/>
                <w:sz w:val="18"/>
                <w:szCs w:val="18"/>
                <w:color w:val="auto"/>
              </w:rPr>
              <w:t>(11,721)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Defaulted vacation ownership notes receivable repurchase activity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6,031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(6,031)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Balance at March 27,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63,757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51,134</w:t>
            </w:r>
          </w:p>
        </w:tc>
        <w:tc>
          <w:tcPr>
            <w:tcW w:w="1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2"/>
              </w:rPr>
              <w:t>$ 114,891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94615</wp:posOffset>
            </wp:positionV>
            <wp:extent cx="7200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1120" w:right="40" w:hanging="437"/>
        <w:spacing w:after="0" w:line="258" w:lineRule="auto"/>
        <w:tabs>
          <w:tab w:leader="none" w:pos="1120" w:val="left"/>
        </w:tabs>
        <w:numPr>
          <w:ilvl w:val="0"/>
          <w:numId w:val="6"/>
        </w:numPr>
        <w:rPr>
          <w:rFonts w:ascii="Arial" w:cs="Arial" w:eastAsia="Arial" w:hAnsi="Arial"/>
          <w:sz w:val="15"/>
          <w:szCs w:val="15"/>
          <w:color w:val="auto"/>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1" w:lineRule="exact"/>
        <w:rPr>
          <w:rFonts w:ascii="Arial" w:cs="Arial" w:eastAsia="Arial" w:hAnsi="Arial"/>
          <w:sz w:val="15"/>
          <w:szCs w:val="15"/>
          <w:color w:val="auto"/>
        </w:rPr>
      </w:pPr>
    </w:p>
    <w:p>
      <w:pPr>
        <w:ind w:left="1120" w:right="200" w:hanging="437"/>
        <w:spacing w:after="0" w:line="323" w:lineRule="auto"/>
        <w:tabs>
          <w:tab w:leader="none" w:pos="1120" w:val="left"/>
        </w:tabs>
        <w:numPr>
          <w:ilvl w:val="0"/>
          <w:numId w:val="6"/>
        </w:numPr>
        <w:rPr>
          <w:rFonts w:ascii="Arial" w:cs="Arial" w:eastAsia="Arial" w:hAnsi="Arial"/>
          <w:sz w:val="14"/>
          <w:szCs w:val="14"/>
          <w:color w:val="auto"/>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the securitized vacation ownership notes receivable.</w:t>
      </w:r>
    </w:p>
    <w:p>
      <w:pPr>
        <w:spacing w:after="0" w:line="139"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6.84 percent and 6.95 percent as of March 27, 2015 and January 2, 2015, respectively. A 0.5 percentage point increase in the estimated default rate would have resulted in an increase in our allowance for loan losses of $4.6 million as of March 27, 2015 and $4.7 million as of January 2, 2015.</w:t>
      </w:r>
    </w:p>
    <w:p>
      <w:pPr>
        <w:spacing w:after="0" w:line="178" w:lineRule="exact"/>
        <w:rPr>
          <w:sz w:val="20"/>
          <w:szCs w:val="20"/>
          <w:color w:val="auto"/>
        </w:rPr>
      </w:pPr>
    </w:p>
    <w:p>
      <w:pPr>
        <w:ind w:right="540" w:firstLine="685"/>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7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Non-Securitized</w:t>
            </w:r>
          </w:p>
        </w:tc>
        <w:tc>
          <w:tcPr>
            <w:tcW w:w="1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Securitized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4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22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Notes Receivable</w:t>
            </w:r>
          </w:p>
        </w:tc>
        <w:tc>
          <w:tcPr>
            <w:tcW w:w="14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Notes Receivable</w:t>
            </w: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Investment in vacation ownership notes receivable on non-accrual status at March 27,</w:t>
            </w:r>
          </w:p>
        </w:tc>
        <w:tc>
          <w:tcPr>
            <w:tcW w:w="1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64,586</w:t>
            </w:r>
          </w:p>
        </w:tc>
        <w:tc>
          <w:tcPr>
            <w:tcW w:w="0" w:type="dxa"/>
            <w:vAlign w:val="bottom"/>
          </w:tcPr>
          <w:p>
            <w:pPr>
              <w:spacing w:after="0"/>
              <w:rPr>
                <w:sz w:val="1"/>
                <w:szCs w:val="1"/>
                <w:color w:val="auto"/>
              </w:rPr>
            </w:pP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w w:val="93"/>
              </w:rPr>
              <w:t>Investment in vacation ownership notes receivable on non-accrual status at January 2,</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2015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60,275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7,172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Average investment in vacation ownership notes receivable on non-accrual status during</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twelve weeks ended March 27, 2015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66,017</w:t>
            </w:r>
          </w:p>
        </w:tc>
        <w:tc>
          <w:tcPr>
            <w:tcW w:w="0" w:type="dxa"/>
            <w:vAlign w:val="bottom"/>
          </w:tcPr>
          <w:p>
            <w:pPr>
              <w:spacing w:after="0"/>
              <w:rPr>
                <w:sz w:val="1"/>
                <w:szCs w:val="1"/>
                <w:color w:val="auto"/>
              </w:rPr>
            </w:pP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w w:val="91"/>
              </w:rPr>
              <w:t>Average investment in vacation ownership notes receivable on non-accrual status during</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the twelve weeks ended March 28, 2014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67,679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9,027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76,706</w:t>
            </w:r>
          </w:p>
        </w:tc>
        <w:tc>
          <w:tcPr>
            <w:tcW w:w="0" w:type="dxa"/>
            <w:vAlign w:val="bottom"/>
          </w:tcPr>
          <w:p>
            <w:pPr>
              <w:spacing w:after="0"/>
              <w:rPr>
                <w:sz w:val="1"/>
                <w:szCs w:val="1"/>
                <w:color w:val="auto"/>
              </w:rPr>
            </w:pPr>
          </w:p>
        </w:tc>
      </w:tr>
      <w:tr>
        <w:trPr>
          <w:trHeight w:val="365"/>
        </w:trPr>
        <w:tc>
          <w:tcPr>
            <w:tcW w:w="6480" w:type="dxa"/>
            <w:vAlign w:val="bottom"/>
          </w:tcPr>
          <w:p>
            <w:pPr>
              <w:ind w:left="54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March 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Non-Securitized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Securitized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40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Notes Receivable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Notes Receivable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31</w:t>
            </w:r>
          </w:p>
        </w:tc>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17,087</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398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4,954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8,187</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48,718</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62,430</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28,001</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214,109</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698,544</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276,539</w:t>
            </w:r>
          </w:p>
        </w:tc>
        <w:tc>
          <w:tcPr>
            <w:tcW w:w="8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726,545</w:t>
            </w:r>
          </w:p>
        </w:tc>
        <w:tc>
          <w:tcPr>
            <w:tcW w:w="8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1,003,084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January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Non-Securitized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Securitized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40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Notes Receivable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Notes Receivable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31</w:t>
            </w:r>
          </w:p>
        </w:tc>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22,544</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398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6,101</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7,003</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54,174</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68,605</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29,716</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162,695</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774,630</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231,300</w:t>
            </w:r>
          </w:p>
        </w:tc>
        <w:tc>
          <w:tcPr>
            <w:tcW w:w="8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804,346</w:t>
            </w:r>
          </w:p>
        </w:tc>
        <w:tc>
          <w:tcPr>
            <w:tcW w:w="8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1,035,646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60" w:firstLine="685"/>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and Accrued liabilities, all of which had fair values approximating their carrying amounts due to the short maturities and liquidity of these instruments.</w:t>
      </w:r>
    </w:p>
    <w:p>
      <w:pPr>
        <w:spacing w:after="0" w:line="21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At March 27, 2015</w:t>
            </w:r>
          </w:p>
        </w:tc>
        <w:tc>
          <w:tcPr>
            <w:tcW w:w="14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At January 2, 2015</w:t>
            </w:r>
          </w:p>
        </w:tc>
      </w:tr>
      <w:tr>
        <w:trPr>
          <w:trHeight w:val="119"/>
        </w:trPr>
        <w:tc>
          <w:tcPr>
            <w:tcW w:w="50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Fair</w:t>
            </w: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(1)</w:t>
            </w: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Securitized</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675,411</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820,901</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750,680</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909,391</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Non-securitized</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212,782</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235,286</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166,548</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172,103</w:t>
            </w:r>
          </w:p>
        </w:tc>
        <w:tc>
          <w:tcPr>
            <w:tcW w:w="100" w:type="dxa"/>
            <w:vAlign w:val="bottom"/>
            <w:shd w:val="clear" w:color="auto" w:fill="CCEEFF"/>
          </w:tcPr>
          <w:p>
            <w:pPr>
              <w:spacing w:after="0"/>
              <w:rPr>
                <w:sz w:val="18"/>
                <w:szCs w:val="18"/>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888,193</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1,056,187</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917,228</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1,081,494</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Non-recourse debt associated with vacation ownership notes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securitizations, gross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(629,220)</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(635,042)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(708,031)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(712,977)</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debt, gross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(3,386)</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(3,306)</w:t>
            </w: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Mandatorily redeemable preferred stock of consolidated</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subsidiary, gross</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(43,624)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(43,837)</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(84,811)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(74,434)</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(89,285)</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(80,448)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(761,558)</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(760,627)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(844,740)</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(844,686)</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94615</wp:posOffset>
            </wp:positionV>
            <wp:extent cx="720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5660" w:right="4720" w:hanging="4977"/>
        <w:spacing w:after="0" w:line="449" w:lineRule="auto"/>
        <w:tabs>
          <w:tab w:leader="none" w:pos="1120" w:val="left"/>
        </w:tabs>
        <w:numPr>
          <w:ilvl w:val="0"/>
          <w:numId w:val="7"/>
        </w:numPr>
        <w:rPr>
          <w:rFonts w:ascii="Arial" w:cs="Arial" w:eastAsia="Arial" w:hAnsi="Arial"/>
          <w:sz w:val="15"/>
          <w:szCs w:val="15"/>
          <w:color w:val="auto"/>
        </w:rPr>
      </w:pPr>
      <w:r>
        <w:rPr>
          <w:rFonts w:ascii="Arial" w:cs="Arial" w:eastAsia="Arial" w:hAnsi="Arial"/>
          <w:sz w:val="18"/>
          <w:szCs w:val="18"/>
          <w:color w:val="auto"/>
        </w:rPr>
        <w:t>Fair value of financial instruments has been determined using Level 3 inputs. 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187" w:lineRule="exact"/>
        <w:rPr>
          <w:sz w:val="20"/>
          <w:szCs w:val="20"/>
          <w:color w:val="auto"/>
        </w:rPr>
      </w:pPr>
    </w:p>
    <w:p>
      <w:pPr>
        <w:ind w:right="40" w:firstLine="685"/>
        <w:spacing w:after="0" w:line="271" w:lineRule="auto"/>
        <w:rPr>
          <w:sz w:val="20"/>
          <w:szCs w:val="20"/>
          <w:color w:val="auto"/>
        </w:rPr>
      </w:pPr>
      <w:r>
        <w:rPr>
          <w:rFonts w:ascii="Arial" w:cs="Arial" w:eastAsia="Arial" w:hAnsi="Arial"/>
          <w:sz w:val="17"/>
          <w:szCs w:val="17"/>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 The following table shows the bifurcation of our non-securitized vacation ownership notes receivable into those eligible and not eligible for securitization based upon the aforementioned eligibility criteria:</w:t>
      </w:r>
    </w:p>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At March 27, 2015</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ind w:left="460"/>
              <w:spacing w:after="0"/>
              <w:rPr>
                <w:sz w:val="20"/>
                <w:szCs w:val="20"/>
                <w:color w:val="auto"/>
              </w:rPr>
            </w:pPr>
            <w:r>
              <w:rPr>
                <w:rFonts w:ascii="Arial" w:cs="Arial" w:eastAsia="Arial" w:hAnsi="Arial"/>
                <w:sz w:val="14"/>
                <w:szCs w:val="14"/>
                <w:b w:val="1"/>
                <w:bCs w:val="1"/>
                <w:color w:val="auto"/>
              </w:rPr>
              <w:t>At January 2, 2015</w:t>
            </w:r>
          </w:p>
        </w:tc>
      </w:tr>
      <w:tr>
        <w:trPr>
          <w:trHeight w:val="119"/>
        </w:trPr>
        <w:tc>
          <w:tcPr>
            <w:tcW w:w="5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98"/>
              <w:spacing w:after="0" w:line="119" w:lineRule="exact"/>
              <w:rPr>
                <w:sz w:val="20"/>
                <w:szCs w:val="20"/>
                <w:color w:val="auto"/>
              </w:rPr>
            </w:pPr>
            <w:r>
              <w:rPr>
                <w:rFonts w:ascii="Arial" w:cs="Arial" w:eastAsia="Arial" w:hAnsi="Arial"/>
                <w:sz w:val="13"/>
                <w:szCs w:val="13"/>
                <w:b w:val="1"/>
                <w:bCs w:val="1"/>
                <w:color w:val="auto"/>
              </w:rPr>
              <w:t>Fair</w:t>
            </w:r>
          </w:p>
        </w:tc>
        <w:tc>
          <w:tcPr>
            <w:tcW w:w="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58"/>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8"/>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Eligible for securitization</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88,521</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111,025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24,194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29,749</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 eligible for securitization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92"/>
              </w:rPr>
              <w:t>124,261</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124,261</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92"/>
              </w:rPr>
              <w:t>142,354</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142,354</w:t>
            </w:r>
          </w:p>
        </w:tc>
        <w:tc>
          <w:tcPr>
            <w:tcW w:w="100" w:type="dxa"/>
            <w:vAlign w:val="bottom"/>
            <w:shd w:val="clear" w:color="auto" w:fill="CCEEFF"/>
          </w:tcPr>
          <w:p>
            <w:pPr>
              <w:spacing w:after="0"/>
              <w:rPr>
                <w:sz w:val="18"/>
                <w:szCs w:val="18"/>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non-securitized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w w:val="92"/>
              </w:rPr>
              <w:t>212,782</w:t>
            </w:r>
          </w:p>
        </w:tc>
        <w:tc>
          <w:tcPr>
            <w:tcW w:w="5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235,286</w:t>
            </w:r>
          </w:p>
        </w:tc>
        <w:tc>
          <w:tcPr>
            <w:tcW w:w="5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w w:val="92"/>
              </w:rPr>
              <w:t>166,548</w:t>
            </w:r>
          </w:p>
        </w:tc>
        <w:tc>
          <w:tcPr>
            <w:tcW w:w="5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172,103</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85"/>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right="60" w:firstLine="685"/>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117" w:lineRule="exact"/>
        <w:rPr>
          <w:sz w:val="20"/>
          <w:szCs w:val="20"/>
          <w:color w:val="auto"/>
        </w:rPr>
      </w:pPr>
    </w:p>
    <w:p>
      <w:pPr>
        <w:ind w:right="40" w:firstLine="685"/>
        <w:spacing w:after="0" w:line="264"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117" w:lineRule="exact"/>
        <w:rPr>
          <w:sz w:val="20"/>
          <w:szCs w:val="20"/>
          <w:color w:val="auto"/>
        </w:rPr>
      </w:pPr>
    </w:p>
    <w:p>
      <w:pPr>
        <w:ind w:right="120" w:firstLine="685"/>
        <w:spacing w:after="0" w:line="302" w:lineRule="auto"/>
        <w:rPr>
          <w:sz w:val="20"/>
          <w:szCs w:val="20"/>
          <w:color w:val="auto"/>
        </w:rPr>
      </w:pPr>
      <w:r>
        <w:rPr>
          <w:rFonts w:ascii="Arial" w:cs="Arial" w:eastAsia="Arial" w:hAnsi="Arial"/>
          <w:sz w:val="16"/>
          <w:szCs w:val="16"/>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17"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We estimate the fair value of our other liabilities that are financial instruments using expected future payments discounted at risk-adjusted rates. These liabilities represent guarantee costs and reserves and other structured payments. The carrying values of our financial instruments within Other liabilities approximate their fair values.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jc w:val="both"/>
        <w:ind w:right="140" w:firstLine="685"/>
        <w:spacing w:after="0" w:line="264" w:lineRule="auto"/>
        <w:rPr>
          <w:sz w:val="20"/>
          <w:szCs w:val="20"/>
          <w:color w:val="auto"/>
        </w:rPr>
      </w:pPr>
      <w:r>
        <w:rPr>
          <w:rFonts w:ascii="Arial" w:cs="Arial" w:eastAsia="Arial" w:hAnsi="Arial"/>
          <w:sz w:val="18"/>
          <w:szCs w:val="18"/>
          <w:color w:val="auto"/>
        </w:rPr>
        <w:t>During the first quarter of 2015, we sold real property located in Marco Island, Florida, consisting of $3.1 million of vacation ownership inventory, to a third party developer. We received consideration consisting of $5.4 million of cash and a note receivable of $0.5 million. We did not recognize any gain or loss on this transaction.</w:t>
      </w:r>
    </w:p>
    <w:p>
      <w:pPr>
        <w:spacing w:after="0" w:line="181" w:lineRule="exact"/>
        <w:rPr>
          <w:sz w:val="20"/>
          <w:szCs w:val="20"/>
          <w:color w:val="auto"/>
        </w:rPr>
      </w:pPr>
    </w:p>
    <w:p>
      <w:pPr>
        <w:ind w:right="40" w:firstLine="685"/>
        <w:spacing w:after="0" w:line="273" w:lineRule="auto"/>
        <w:rPr>
          <w:sz w:val="20"/>
          <w:szCs w:val="20"/>
          <w:color w:val="auto"/>
        </w:rPr>
      </w:pPr>
      <w:r>
        <w:rPr>
          <w:rFonts w:ascii="Arial" w:cs="Arial" w:eastAsia="Arial" w:hAnsi="Arial"/>
          <w:sz w:val="17"/>
          <w:szCs w:val="17"/>
          <w:color w:val="auto"/>
        </w:rPr>
        <w:t>In accordance with our agreement with the third party developer, we are obligated to repurchase the completed property from the developer contingent upon the property meeting our brand standards, provided that the third party developer has not sold the property to another party. In accordance with the authoritative guidance on accounting for sales of real estate, our conditional obligation to repurchase the property constitutes continuing involvement and thus we were unable to account for this transaction as a sale. The property was sold to a variable interest entity for which we are not the primary beneficiary as we do not control the variable interest entity’s development activities and cannot prevent the variable interest entity from selling the property to another party. Accordingly, we have not consolidated the variable interest entity.</w:t>
      </w:r>
    </w:p>
    <w:p>
      <w:pPr>
        <w:spacing w:after="0" w:line="178" w:lineRule="exact"/>
        <w:rPr>
          <w:sz w:val="20"/>
          <w:szCs w:val="20"/>
          <w:color w:val="auto"/>
        </w:rPr>
      </w:pPr>
    </w:p>
    <w:p>
      <w:pPr>
        <w:ind w:right="160" w:firstLine="685"/>
        <w:spacing w:after="0" w:line="255" w:lineRule="auto"/>
        <w:rPr>
          <w:sz w:val="20"/>
          <w:szCs w:val="20"/>
          <w:color w:val="auto"/>
        </w:rPr>
      </w:pPr>
      <w:r>
        <w:rPr>
          <w:rFonts w:ascii="Arial" w:cs="Arial" w:eastAsia="Arial" w:hAnsi="Arial"/>
          <w:sz w:val="18"/>
          <w:szCs w:val="18"/>
          <w:color w:val="auto"/>
        </w:rPr>
        <w:t>As of March 27, 2015, our Balance Sheet reflects $6.2 million of Other liabilities that relate to the deferral of recognition of revenue on this transaction, which will reduce our basis in the asset if we repurchase the property. In addition, the note receivable of $0.5 million and other receivables of $0.2 million are included in the Accounts and contracts receivable line on the Balance Sheet as of March 27, 2015. The cash consideration received for the sale of the real property is included in Proceeds from vacation ownership inventory arrangements on the Cash Flow for the twelve weeks ended March 27, 2015. We believe that our maximum exposure to loss as a result of our involvement with this variable interest entity is our interest in the note receivable and the other receivables discussed above as of March 27, 2015.</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California</w:t>
      </w:r>
    </w:p>
    <w:p>
      <w:pPr>
        <w:spacing w:after="0" w:line="117" w:lineRule="exact"/>
        <w:rPr>
          <w:sz w:val="20"/>
          <w:szCs w:val="20"/>
          <w:color w:val="auto"/>
        </w:rPr>
      </w:pPr>
    </w:p>
    <w:p>
      <w:pPr>
        <w:ind w:firstLine="685"/>
        <w:spacing w:after="0" w:line="288" w:lineRule="auto"/>
        <w:rPr>
          <w:sz w:val="20"/>
          <w:szCs w:val="20"/>
          <w:color w:val="auto"/>
        </w:rPr>
      </w:pPr>
      <w:r>
        <w:rPr>
          <w:rFonts w:ascii="Arial" w:cs="Arial" w:eastAsia="Arial" w:hAnsi="Arial"/>
          <w:sz w:val="16"/>
          <w:szCs w:val="16"/>
          <w:color w:val="auto"/>
        </w:rPr>
        <w:t>During the first quarter of 2015, we completed the acquisition of an operating hotel located in San Diego, California, for $55.0 million. The acquisition was treated as a business combination and accounted for using the acquisition method of accounting. As consideration for the acquisition, we paid $55.0 million in cash, which was allocated based on the estimated fair value at the date of acquisition as follows: $54.3 million to property and equipment and $0.7 million to other assets. Fair value was calculated using an independent appraisal, which was primarily based on a discounted cash flow model, a level 3 fair value input. We intend to convert this hotel into vacation ownership interests for future use in our North America points-based program, Marriott Vacation Club Destinations ™ (“MVCD”) in the near term. In order to ensure consistency with the expected related future cash flow presentation, $46.6 million of the cash purchase price allocated to property and equipment was included as an operating activity in the Purchase of operating hotel for future conversion to inventory line on the Cash Flow for the twelve weeks ended March 27, 2015. The remaining $7.7 million was included as an investing activity in the Capital expenditures for property and equipment line on the Cash Flow for the twelve weeks ended March 27, 2015, as it was allocated to assets to be used prior to conversion of the hotel to vacation ownership interests, as well as ancillary and sales center assets to be retained after the conversion.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Orlando, Florida</w:t>
      </w:r>
    </w:p>
    <w:p>
      <w:pPr>
        <w:spacing w:after="0" w:line="117" w:lineRule="exact"/>
        <w:rPr>
          <w:sz w:val="20"/>
          <w:szCs w:val="20"/>
          <w:color w:val="auto"/>
        </w:rPr>
      </w:pPr>
    </w:p>
    <w:p>
      <w:pPr>
        <w:ind w:right="320" w:firstLine="685"/>
        <w:spacing w:after="0" w:line="257" w:lineRule="auto"/>
        <w:rPr>
          <w:sz w:val="20"/>
          <w:szCs w:val="20"/>
          <w:color w:val="auto"/>
        </w:rPr>
      </w:pPr>
      <w:r>
        <w:rPr>
          <w:rFonts w:ascii="Arial" w:cs="Arial" w:eastAsia="Arial" w:hAnsi="Arial"/>
          <w:sz w:val="18"/>
          <w:szCs w:val="18"/>
          <w:color w:val="auto"/>
        </w:rPr>
        <w:t>During the first quarter of 2014, we disposed of a golf course and adjacent undeveloped land in Orlando, Florida for $24.0 million in gross cash proceeds. As a condition of the sale, we continued to operate the golf course through the end of the first quarter of 2015 at our own risk. We utilized the performance of services method to record a gain of $3.1 million over the period during which we operated the golf course, of which $0.9 million and $1.2 million is included in the Gains and other income line on the Statements of Income for the twelve weeks ended March 27, 2015 and March 28, 2014, respectively.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 The table below illustrates the reconciliation of the earnings and number of shares used in our calculation of basic and diluted earnings per share.</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Twelve Weeks Ended</w:t>
            </w:r>
          </w:p>
        </w:tc>
      </w:tr>
      <w:tr>
        <w:trPr>
          <w:trHeight w:val="119"/>
        </w:trPr>
        <w:tc>
          <w:tcPr>
            <w:tcW w:w="5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March 27,</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54"/>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r>
      <w:tr>
        <w:trPr>
          <w:trHeight w:val="171"/>
        </w:trPr>
        <w:tc>
          <w:tcPr>
            <w:tcW w:w="5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1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(2)</w:t>
            </w:r>
          </w:p>
        </w:tc>
        <w:tc>
          <w:tcPr>
            <w:tcW w:w="100" w:type="dxa"/>
            <w:vAlign w:val="bottom"/>
            <w:tcBorders>
              <w:bottom w:val="single" w:sz="8" w:color="CCEEFF"/>
            </w:tcBorders>
          </w:tcPr>
          <w:p>
            <w:pPr>
              <w:spacing w:after="0"/>
              <w:rPr>
                <w:sz w:val="14"/>
                <w:szCs w:val="14"/>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Computation of Basic Earnings Per Share</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34,054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19,308</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shares outstanding</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34,875</w:t>
            </w:r>
          </w:p>
        </w:tc>
        <w:tc>
          <w:tcPr>
            <w:tcW w:w="100" w:type="dxa"/>
            <w:vAlign w:val="bottom"/>
            <w:shd w:val="clear" w:color="auto" w:fill="CCEEFF"/>
          </w:tcPr>
          <w:p>
            <w:pPr>
              <w:spacing w:after="0"/>
              <w:rPr>
                <w:sz w:val="18"/>
                <w:szCs w:val="18"/>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Basic earnings per share</w:t>
            </w:r>
          </w:p>
        </w:tc>
        <w:tc>
          <w:tcPr>
            <w:tcW w:w="1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Diluted Earnings Per Share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34,054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19,308</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shares outstanding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34,875</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720"/>
              <w:spacing w:after="0"/>
              <w:rPr>
                <w:sz w:val="20"/>
                <w:szCs w:val="20"/>
                <w:color w:val="auto"/>
              </w:rPr>
            </w:pPr>
            <w:r>
              <w:rPr>
                <w:rFonts w:ascii="Arial" w:cs="Arial" w:eastAsia="Arial" w:hAnsi="Arial"/>
                <w:sz w:val="18"/>
                <w:szCs w:val="18"/>
                <w:color w:val="auto"/>
              </w:rPr>
              <w:t>Effect of dilutive securities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Employee stock options and SARs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r>
      <w:tr>
        <w:trPr>
          <w:trHeight w:val="223"/>
        </w:trPr>
        <w:tc>
          <w:tcPr>
            <w:tcW w:w="5320" w:type="dxa"/>
            <w:vAlign w:val="bottom"/>
          </w:tcPr>
          <w:p>
            <w:pPr>
              <w:ind w:left="144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Shares for diluted earnings per share</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35,882</w:t>
            </w:r>
          </w:p>
        </w:tc>
        <w:tc>
          <w:tcPr>
            <w:tcW w:w="100" w:type="dxa"/>
            <w:vAlign w:val="bottom"/>
            <w:shd w:val="clear" w:color="auto" w:fill="CCEEFF"/>
          </w:tcPr>
          <w:p>
            <w:pPr>
              <w:spacing w:after="0"/>
              <w:rPr>
                <w:sz w:val="18"/>
                <w:szCs w:val="18"/>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Diluted earnings per share</w:t>
            </w:r>
          </w:p>
        </w:tc>
        <w:tc>
          <w:tcPr>
            <w:tcW w:w="1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94615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1820" w:right="160" w:hanging="448"/>
        <w:spacing w:after="0" w:line="288" w:lineRule="auto"/>
        <w:tabs>
          <w:tab w:leader="none" w:pos="182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computations of diluted earnings per share exclude approximately 203,000 shares of common stock, the maximum number of shares issuable as of March 27, 2015 upon the vesting of certain performance-based awards, because the performance conditions required for the shares subject to such awards to vest were not achieved by the end of the reporting period.</w:t>
      </w:r>
    </w:p>
    <w:p>
      <w:pPr>
        <w:ind w:left="1820" w:right="160" w:hanging="448"/>
        <w:spacing w:after="0" w:line="302" w:lineRule="auto"/>
        <w:tabs>
          <w:tab w:leader="none" w:pos="182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computations of diluted earnings per share exclude approximately 291,000 shares of common stock, the maximum number of shares issuable as of March 28, 2014 upon the vesting of certain performance-based awards, because the performance conditions required for the shares subject to such awards to vest were not achieved by the end of the reporting period.</w:t>
      </w:r>
    </w:p>
    <w:p>
      <w:pPr>
        <w:spacing w:after="0" w:line="155" w:lineRule="exact"/>
        <w:rPr>
          <w:sz w:val="20"/>
          <w:szCs w:val="20"/>
          <w:color w:val="auto"/>
        </w:rPr>
      </w:pPr>
    </w:p>
    <w:p>
      <w:pPr>
        <w:ind w:right="40" w:firstLine="685"/>
        <w:spacing w:after="0" w:line="297" w:lineRule="auto"/>
        <w:rPr>
          <w:sz w:val="20"/>
          <w:szCs w:val="20"/>
          <w:color w:val="auto"/>
        </w:rPr>
      </w:pPr>
      <w:r>
        <w:rPr>
          <w:rFonts w:ascii="Arial" w:cs="Arial" w:eastAsia="Arial" w:hAnsi="Arial"/>
          <w:sz w:val="16"/>
          <w:szCs w:val="16"/>
          <w:color w:val="auto"/>
        </w:rPr>
        <w:t>In accordance with the applicable accounting guidance for calculating earnings per share, for the twelve weeks ended March 27, 2015, we excluded 62,018 shares underlying stock appreciation rights (“SARs”) that may be settled in shares of common stock, with an exercise price of $77.42, from our calculation of diluted earnings per share because this exercise price was greater than the average market price for the applicable period. In addition, for the twelve weeks ended March 28, 2014, we excluded 57,906 shares underlying SARs that may be settled in shares of common stock, with an exercise price of $52.09, from our calculation of diluted earnings per share because this exercise price was greater than the average market price for the applicable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30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At March 27, 2015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At January 2, 2015</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361,237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5"/>
                <w:szCs w:val="15"/>
                <w:color w:val="auto"/>
              </w:rPr>
              <w:t>(2)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358,742</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355,198</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Real estate inventory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719,979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768,264</w:t>
            </w:r>
          </w:p>
        </w:tc>
        <w:tc>
          <w:tcPr>
            <w:tcW w:w="100" w:type="dxa"/>
            <w:vAlign w:val="bottom"/>
            <w:shd w:val="clear" w:color="auto" w:fill="CCEEFF"/>
          </w:tcPr>
          <w:p>
            <w:pPr>
              <w:spacing w:after="0"/>
              <w:rPr>
                <w:sz w:val="18"/>
                <w:szCs w:val="18"/>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Operating supplies and retail inventory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4,541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724,520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772,784</w:t>
            </w:r>
          </w:p>
        </w:tc>
        <w:tc>
          <w:tcPr>
            <w:tcW w:w="100" w:type="dxa"/>
            <w:vAlign w:val="bottom"/>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720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1480" w:right="60" w:hanging="567"/>
        <w:spacing w:after="0" w:line="258" w:lineRule="auto"/>
        <w:tabs>
          <w:tab w:leader="none" w:pos="148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15"/>
          <w:szCs w:val="15"/>
          <w:color w:val="auto"/>
        </w:rPr>
      </w:pPr>
    </w:p>
    <w:p>
      <w:pPr>
        <w:ind w:left="1480" w:right="280" w:hanging="567"/>
        <w:spacing w:after="0" w:line="261" w:lineRule="auto"/>
        <w:tabs>
          <w:tab w:leader="none" w:pos="148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Includes $47.5 million of sales centers that are expected to be converted into vacation ownership products to be sold in the future and $83.0 million of inventory related to estimated future foreclosures at March 27, 2015.</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685"/>
        <w:spacing w:after="0" w:line="308" w:lineRule="auto"/>
        <w:rPr>
          <w:sz w:val="20"/>
          <w:szCs w:val="20"/>
          <w:color w:val="auto"/>
        </w:rPr>
      </w:pPr>
      <w:r>
        <w:rPr>
          <w:rFonts w:ascii="Arial" w:cs="Arial" w:eastAsia="Arial" w:hAnsi="Arial"/>
          <w:sz w:val="17"/>
          <w:szCs w:val="17"/>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20" w:firstLine="685"/>
        <w:spacing w:after="0" w:line="254"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funding to third-party lenders related to these guarantees through reacquisition and resale of the financed vacation ownership product. Our commitments under these guarantees expire as notes mature or are repaid. The terms of the underlying notes extend to 2022.</w:t>
      </w:r>
    </w:p>
    <w:p>
      <w:pPr>
        <w:spacing w:after="0" w:line="192" w:lineRule="exact"/>
        <w:rPr>
          <w:sz w:val="20"/>
          <w:szCs w:val="20"/>
          <w:color w:val="auto"/>
        </w:rPr>
      </w:pPr>
    </w:p>
    <w:p>
      <w:pPr>
        <w:ind w:right="340" w:firstLine="685"/>
        <w:spacing w:after="0" w:line="308" w:lineRule="auto"/>
        <w:rPr>
          <w:sz w:val="20"/>
          <w:szCs w:val="20"/>
          <w:color w:val="auto"/>
        </w:rPr>
      </w:pPr>
      <w:r>
        <w:rPr>
          <w:rFonts w:ascii="Arial" w:cs="Arial" w:eastAsia="Arial" w:hAnsi="Arial"/>
          <w:sz w:val="17"/>
          <w:szCs w:val="17"/>
          <w:color w:val="auto"/>
        </w:rPr>
        <w:t>The following table shows the maximum potential amount of future fundings for financing guarantees where we are the primary obligor and the carrying amount of the liability for expected future fundings, which is included on our Balance Sheet in the Other caption within Liabilities.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Maximum Potential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Liability for Expected</w:t>
            </w:r>
          </w:p>
        </w:tc>
      </w:tr>
      <w:tr>
        <w:trPr>
          <w:trHeight w:val="149"/>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Amount of Future Fundings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Future Fundings</w:t>
            </w:r>
          </w:p>
        </w:tc>
      </w:tr>
      <w:tr>
        <w:trPr>
          <w:trHeight w:val="171"/>
        </w:trPr>
        <w:tc>
          <w:tcPr>
            <w:tcW w:w="56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ind w:right="39"/>
              <w:spacing w:after="0"/>
              <w:rPr>
                <w:sz w:val="20"/>
                <w:szCs w:val="20"/>
                <w:color w:val="auto"/>
              </w:rPr>
            </w:pPr>
            <w:r>
              <w:rPr>
                <w:rFonts w:ascii="Arial" w:cs="Arial" w:eastAsia="Arial" w:hAnsi="Arial"/>
                <w:sz w:val="14"/>
                <w:szCs w:val="14"/>
                <w:b w:val="1"/>
                <w:bCs w:val="1"/>
                <w:color w:val="auto"/>
                <w:w w:val="99"/>
              </w:rPr>
              <w:t>At March 27, 2015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At March 27, 2015</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Asia Pacific</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Pr>
          <w:p>
            <w:pPr>
              <w:jc w:val="right"/>
              <w:ind w:right="19"/>
              <w:spacing w:after="0"/>
              <w:rPr>
                <w:sz w:val="20"/>
                <w:szCs w:val="20"/>
                <w:color w:val="auto"/>
              </w:rPr>
            </w:pPr>
            <w:r>
              <w:rPr>
                <w:rFonts w:ascii="Arial" w:cs="Arial" w:eastAsia="Arial" w:hAnsi="Arial"/>
                <w:sz w:val="18"/>
                <w:szCs w:val="18"/>
                <w:color w:val="auto"/>
              </w:rPr>
              <w:t>7,453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2,846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guarantees where we are the primary obligor</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10,299</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addition to the guarantees we describe in the preceding paragraphs, as of March 27, 2015, we had the following commitments outstanding:</w:t>
      </w:r>
    </w:p>
    <w:p>
      <w:pPr>
        <w:spacing w:after="0" w:line="142" w:lineRule="exact"/>
        <w:rPr>
          <w:sz w:val="20"/>
          <w:szCs w:val="20"/>
          <w:color w:val="auto"/>
        </w:rPr>
      </w:pPr>
    </w:p>
    <w:p>
      <w:pPr>
        <w:ind w:left="1120" w:right="100" w:hanging="315"/>
        <w:spacing w:after="0" w:line="264"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$32.6 million, of which we expect $10.5 million, $8.1 million, $6.0 million, $2.5 million, $1.4 million and $4.1 million will be paid in 2015, 2016, 2017, 2018, 2019 and thereafter, respectively.</w:t>
      </w:r>
    </w:p>
    <w:p>
      <w:pPr>
        <w:spacing w:after="0" w:line="86" w:lineRule="exact"/>
        <w:rPr>
          <w:rFonts w:ascii="Arial" w:cs="Arial" w:eastAsia="Arial" w:hAnsi="Arial"/>
          <w:sz w:val="18"/>
          <w:szCs w:val="18"/>
          <w:color w:val="auto"/>
        </w:rPr>
      </w:pPr>
    </w:p>
    <w:p>
      <w:pPr>
        <w:ind w:left="1120" w:hanging="315"/>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commitments to subsidize vacation ownership associations of $4.0 million, which we expect to pay in 2015.</w:t>
      </w:r>
    </w:p>
    <w:p>
      <w:pPr>
        <w:spacing w:after="0" w:line="130" w:lineRule="exact"/>
        <w:rPr>
          <w:rFonts w:ascii="Arial" w:cs="Arial" w:eastAsia="Arial" w:hAnsi="Arial"/>
          <w:sz w:val="18"/>
          <w:szCs w:val="18"/>
          <w:color w:val="auto"/>
        </w:rPr>
      </w:pPr>
    </w:p>
    <w:p>
      <w:pPr>
        <w:ind w:left="1120" w:hanging="315"/>
        <w:spacing w:after="0" w:line="25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commitment of $75.5 million to purchase vacation ownership units located in Miami, Florida, contingent upon completion of construction and receipt of a certificate of occupancy, for use in our MVCD program. We made a deposit of $3.8 million in connection with this commitment in 2014, and we are committed to make an additional deposit of $3.8 million upon the seller’s receipt of a temporary certificate of occupancy and the remaining payment of $67.9 million upon acquisition of the units in 2015. We are currently evaluating the use of a capital efficient arrangement to delay the timing of this capital investment.</w:t>
      </w:r>
    </w:p>
    <w:p>
      <w:pPr>
        <w:spacing w:after="0" w:line="93" w:lineRule="exact"/>
        <w:rPr>
          <w:rFonts w:ascii="Arial" w:cs="Arial" w:eastAsia="Arial" w:hAnsi="Arial"/>
          <w:sz w:val="18"/>
          <w:szCs w:val="18"/>
          <w:color w:val="auto"/>
        </w:rPr>
      </w:pPr>
    </w:p>
    <w:p>
      <w:pPr>
        <w:ind w:left="1120" w:right="60" w:hanging="315"/>
        <w:spacing w:after="0" w:line="255"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commitment of $38.5 million to purchase vacation ownership units located on the Big Island of Hawaii, for use in our MVCD program, contingent upon the seller subjecting the units to a condominium regime prior to our purchase. We made a deposit of $1.5 million in connection with this commitment in 2014, and we are committed to make the remaining payment of $37.0 million in 2015. Upon acquisition, we are committed to renovate the units pursuant to a property improvement plan to be agreed upon at a later date, for which an additional $45.0 million to $55.0 million is required to be funded. We are currently evaluating the use of a capital efficient arrangement to delay the timing of this capital investment.</w:t>
      </w:r>
    </w:p>
    <w:p>
      <w:pPr>
        <w:spacing w:after="0" w:line="98" w:lineRule="exact"/>
        <w:rPr>
          <w:rFonts w:ascii="Arial" w:cs="Arial" w:eastAsia="Arial" w:hAnsi="Arial"/>
          <w:sz w:val="18"/>
          <w:szCs w:val="18"/>
          <w:color w:val="auto"/>
        </w:rPr>
      </w:pPr>
    </w:p>
    <w:p>
      <w:pPr>
        <w:ind w:left="1120" w:right="260" w:hanging="315"/>
        <w:spacing w:after="0" w:line="264"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commitment of $137.1 million to purchase vacation ownership units located in Marco Island, Florida, of which we expect $33.3 million, $50.0 million and $53.8 million will be paid in 2017, 2018 and 2019, respectively. See Footnote No. 5, “Acquisitions and Dispositions,” for additional information on this transaction.</w:t>
      </w:r>
    </w:p>
    <w:p>
      <w:pPr>
        <w:spacing w:after="0" w:line="181" w:lineRule="exact"/>
        <w:rPr>
          <w:sz w:val="20"/>
          <w:szCs w:val="20"/>
          <w:color w:val="auto"/>
        </w:rPr>
      </w:pPr>
    </w:p>
    <w:p>
      <w:pPr>
        <w:ind w:right="80" w:firstLine="685"/>
        <w:spacing w:after="0" w:line="277" w:lineRule="auto"/>
        <w:rPr>
          <w:sz w:val="20"/>
          <w:szCs w:val="20"/>
          <w:color w:val="auto"/>
        </w:rPr>
      </w:pPr>
      <w:r>
        <w:rPr>
          <w:rFonts w:ascii="Arial" w:cs="Arial" w:eastAsia="Arial" w:hAnsi="Arial"/>
          <w:sz w:val="18"/>
          <w:szCs w:val="18"/>
          <w:color w:val="auto"/>
        </w:rPr>
        <w:t>Surety bonds issued as of March 27, 2015 totaled $73.8 million, the majority of which were requested by federal, state or local governments related to our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firstLine="685"/>
        <w:spacing w:after="0" w:line="277" w:lineRule="auto"/>
        <w:rPr>
          <w:sz w:val="20"/>
          <w:szCs w:val="20"/>
          <w:color w:val="auto"/>
        </w:rPr>
      </w:pPr>
      <w:r>
        <w:rPr>
          <w:rFonts w:ascii="Arial" w:cs="Arial" w:eastAsia="Arial" w:hAnsi="Arial"/>
          <w:sz w:val="18"/>
          <w:szCs w:val="18"/>
          <w:color w:val="auto"/>
        </w:rPr>
        <w:t>Additionally, as of March 27, 2015, we had $3.3 million of letters of credit outstanding under our $200 million revolving credit facility (the “Revolving Corporate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In December 2012, Jon Benner, an owner of fractional interests at The Ritz-Carlton Club and Residences, San Francisco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California’s Mello-Roos Community Facilities Act of 1982 (the “Mello-Roos Act”). The plaintiff alleged that the disclosures made about bonds issued for the project under this Act and the payment obligations of fractional interest purchasers with respect to such bonds were inadequate, and this and other alleged statutory violations constituted intentional and negligent misrepresentation, fraud and fraudulent concealment. The relief sought included damages in an unspecified amount, rescission of the purchases, restitution and disgorgement of profits. In September 2014, we reached an agreement in principle to settle the Benner action, which agreement was subject to court approval because the case is a putative class action. The court approved the settlement on March 31, 2015. At March 27, 2015, we have an accrual of $2.9 million related to the settlement.</w:t>
      </w:r>
    </w:p>
    <w:p>
      <w:pPr>
        <w:spacing w:after="0" w:line="182"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In December 2012, Steven B. Hoyt and Bradley A. Hoyt, purchasers of fractional interests in two of The Ritz-Carlton Destination Club projects, filed suit in the United States District Court for the District of Minnesota against us, certain of our subsidiaries and The Ritz-Carlton Hotel Company on behalf of a putative class consisting of all purchasers of fractional interests at The Ritz-Carlton Destination Club projects. The plaintiffs alleged that program changes beginning in 2009 caused an actionable decrease in the value of the fractional interests purchased. The relief sought included declaratory and injunctive relief, damages in an unspecified amount, rescission of the purchases, restitution, disgorgement of profits, interest and attorneys’ fees. In response to our motion to dismiss the original complaint, plaintiffs filed an amended complaint. In response, we filed a renewed motion to dismiss. On February 7, 2014, the court issued an order granting that motion in part and denying it in part. In November 2014, the court granted our motion for partial judgment on the pleadings clarifying the scope of the single remaining claim in the case. We have reached an agreement in principle to settle the case for a nominal amount.</w:t>
      </w:r>
    </w:p>
    <w:p>
      <w:pPr>
        <w:spacing w:after="0" w:line="166" w:lineRule="exact"/>
        <w:rPr>
          <w:sz w:val="20"/>
          <w:szCs w:val="20"/>
          <w:color w:val="auto"/>
        </w:rPr>
      </w:pPr>
    </w:p>
    <w:p>
      <w:pPr>
        <w:ind w:right="20" w:firstLine="685"/>
        <w:spacing w:after="0" w:line="268" w:lineRule="auto"/>
        <w:rPr>
          <w:sz w:val="20"/>
          <w:szCs w:val="20"/>
          <w:color w:val="auto"/>
        </w:rPr>
      </w:pPr>
      <w:r>
        <w:rPr>
          <w:rFonts w:ascii="Arial" w:cs="Arial" w:eastAsia="Arial" w:hAnsi="Arial"/>
          <w:sz w:val="17"/>
          <w:szCs w:val="17"/>
          <w:color w:val="auto"/>
        </w:rPr>
        <w:t>In January 2013, Krishna and Sherrie Narayan and other owners of 12 residential units at the resort formerly known as The Ritz-Carlton Residences, Kapalua Bay (“Kapalua Bay”) were granted leave by the court to file, and subsequently did file,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this action vigorously. In August 2013, the Hawaii Intermediate Court of Appeals reversed the Maui Circuit Court’s denial of our motion to compel arbitration of the claims asserted by plaintiffs. The Circuit Court subsequently granted our renewed motion to compel arbitration and referred the matter to arbitration. The Hawaii Supreme Court thereafter agreed to review the decision of the Intermediate Court of Appeals and heard oral argument in the case in April 2014, but has not yet taken any action to affirm or reverse that decision. Additionally, in 2014, owners of two residential units agreed to release their claims in this action. Given the inherent uncertainties of litigation, we cannot estimate a range of the potential liability, if any, at this time.</w:t>
      </w:r>
    </w:p>
    <w:p>
      <w:pPr>
        <w:spacing w:after="0" w:line="181"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In June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amended complaint supersedes a prior complaint that was not served on any defendant.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and the parties are currently engaged in arbitration. We dispute the material allegations in the amended complaint and in the statement of claim filed in the arbitration, and intend to defend against this action vigorously. Given the early stages of the action and the inherent uncertainties of litigation and arbitration, we cannot estimate a range of the potential liability, if any, at this time. Additionally, owners of two fractional interests have since agreed to release their claims in this action, and the owners of another fractional interest, who are not parties to the Charles action, have agreed to release similar claims, in each instance for nominal sums.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In June 2013, owners of 35 residences and lots at The Abaco Club on Winding Bay (“The Abaco Club”) in the Bahamas filed a complaint in Orange County, Florida Circuit Court against us, one of our subsidiaries, certain subsidiaries of Marriott International and the resort’s owners’ association, alleging that the defendants failed to maintain the golf course, golf clubhouse, roads, water supply system, and other facilities and equipment in a manner commensurate with a five-star luxury resort, and certain deficiencies in the quality of services provided at the resort. The plaintiffs also alleged that the defendants failed to honor an obligation to extend a right of first offer to club owners in connection with plans to sell the club property. The plaintiffs alleged statutory and common law claims for breach of contract, breach of fiduciary duty, and fraud and sought compensatory and punitive damages. We filed a motion to dismiss the complaint. In April 2014, this action was abated for a period after we entered into a non-binding letter of intent to dispose of undeveloped and partially developed land, an operating golf course, spa and clubhouse and related facilities at The Abaco Club to an entity to be comprised of certain members of The Abaco Club, including certain of the plaintiffs, and others. Upon the closing of the sale in December 2014, all claims asserted against us in this matter were dismissed with prejudice.</w:t>
      </w:r>
    </w:p>
    <w:p>
      <w:pPr>
        <w:spacing w:after="0" w:line="178"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In May 2014, we received notices of intent to initiate litigation or arbitration from: Michael and Marla Flynn, owners of weeks-based Marriott Vacation Club vacation ownership products at two of our resorts in Hawaii; William Sterman, an owner of such products at one of our resorts in Massachusetts; and Norman and Carreen Abramson, owners of such products at one of our resorts in California. The claimants, all of whom are represented by a single law firm, allege that the introduction of the MVCD program caused an actionable decrease in the value of their vacation ownership interests. The claimants stated that, if a satisfactory resolution of their concerns could not be achieved, they would pursue their claims through litigation or arbitration, each on behalf of a putative class consisting of themselves and all others similarly situated. The notices indicated that the relief that would be sought would include compensatory and exemplary damages, restitution, injunctive relief, interest and attorneys’ fees pursuant to applicable timeshare and unfair trade practices acts and common-law theories of breach of contract and breach of an implied covenant of good faith and fair dealing. The Flynns filed a claim based on the above allegations with the American Arbitration Association on August 6, 2014. We initiated a declaratory judgment action in the United States District Court of Hawaii against the Flynns, seeking to enjoin the arbitration proceedings. In December 2014, the Court ruled that the arbitrability of the Flynns’ claims must be resolved by an arbitrator. We appealed that decision to the United States Court of Appeals for the Ninth Circuit. The Court granted our motion to expedite the appeal. On March 30, 2015, the arbitrator ruled that the Flynns’ claims are not subject to arbitration, and dismissed the Flynn proceeding. As a result of the arbitrator’s ruling that the Flynns’ claims are not subject to arbitration, we dismissed as moot our appeal in the Ninth Circuit. Mr. Sterman filed a claim based on the above allegations with the American Arbitration Association in August 2014. We initiated a declaratory judgment action in the United States District Court for the Middle District of Florida against Mr. Sterman, seeking to enjoin the arbitration proceedings. On January 16, 2015, the Court ruled that the arbitrability of Mr. Sterman’s claims must be resolved by an arbitrator. We appealed that decision to the United States Court of Appeals for the Eleventh Circuit. The Court granted our motion to expedite the appeal, which remains pending. On March 30, 2015, the arbitrator ruled that Mr. Sterman’s claims were subject to arbitration, but reserved judgment on our motion to dismiss the arbitration for other reasons. On January 29, 2015, the Abramsons filed an action in the United States District Court for the Central District of California based on the above allegations. On March 30, 2015, we filed a motion to dismiss the Abramson action, which remains pending. We dispute the material allegations in the arbitration claim, as well as the allegations in the California action, and intend to defend against them vigorously. Given the early stages of the arbitration and litigation proceedings, we cannot estimate a range of potential liability, if any, at this time.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$16.1 million, of which $4.4 million is included within liabilities on our Balance Sheet at March 27, 2015. This estimate is based on our current development plans, which remain subject to change, and we expect the phases currently under development will be completed by 2017.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detail on our debt balances, net of unamortized debt issuance costs: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At March 27,</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At January 2,</w:t>
            </w:r>
          </w:p>
        </w:tc>
      </w:tr>
      <w:tr>
        <w:trPr>
          <w:trHeight w:val="171"/>
        </w:trPr>
        <w:tc>
          <w:tcPr>
            <w:tcW w:w="6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5"/>
                <w:szCs w:val="15"/>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629,220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708,031</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(7,372)</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w:t>
            </w: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621,848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699,942</w:t>
            </w:r>
          </w:p>
        </w:tc>
        <w:tc>
          <w:tcPr>
            <w:tcW w:w="100" w:type="dxa"/>
            <w:vAlign w:val="bottom"/>
            <w:shd w:val="clear" w:color="auto" w:fill="CCEEFF"/>
          </w:tcPr>
          <w:p>
            <w:pPr>
              <w:spacing w:after="0"/>
              <w:rPr>
                <w:sz w:val="18"/>
                <w:szCs w:val="18"/>
                <w:color w:val="auto"/>
              </w:rPr>
            </w:pP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Other debt, gross</w:t>
            </w:r>
          </w:p>
        </w:tc>
        <w:tc>
          <w:tcPr>
            <w:tcW w:w="160" w:type="dxa"/>
            <w:vAlign w:val="bottom"/>
          </w:tcPr>
          <w:p>
            <w:pPr>
              <w:spacing w:after="0"/>
              <w:rPr>
                <w:sz w:val="24"/>
                <w:szCs w:val="24"/>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3,386</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4"/>
                <w:szCs w:val="24"/>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5"/>
                <w:szCs w:val="15"/>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(6,288)</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100" w:type="dxa"/>
            <w:vAlign w:val="bottom"/>
            <w:shd w:val="clear" w:color="auto" w:fill="CCEEFF"/>
          </w:tcPr>
          <w:p>
            <w:pPr>
              <w:spacing w:after="0"/>
              <w:rPr>
                <w:sz w:val="18"/>
                <w:szCs w:val="18"/>
                <w:color w:val="auto"/>
              </w:rPr>
            </w:pPr>
          </w:p>
        </w:tc>
      </w:tr>
      <w:tr>
        <w:trPr>
          <w:trHeight w:val="230"/>
        </w:trPr>
        <w:tc>
          <w:tcPr>
            <w:tcW w:w="6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(2,902)</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20"/>
                <w:szCs w:val="20"/>
                <w:color w:val="auto"/>
              </w:rPr>
            </w:pPr>
          </w:p>
        </w:tc>
      </w:tr>
      <w:tr>
        <w:trPr>
          <w:trHeight w:val="216"/>
        </w:trPr>
        <w:tc>
          <w:tcPr>
            <w:tcW w:w="6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618,946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696,450</w:t>
            </w:r>
          </w:p>
        </w:tc>
        <w:tc>
          <w:tcPr>
            <w:tcW w:w="100" w:type="dxa"/>
            <w:vAlign w:val="bottom"/>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7200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Interest rates as of March 27, 2015 range from 2.2% to 7.2% with a weighted average interest rate of 3.0%.</w:t>
      </w:r>
    </w:p>
    <w:p>
      <w:pPr>
        <w:spacing w:after="0" w:line="23" w:lineRule="exact"/>
        <w:rPr>
          <w:rFonts w:ascii="Arial" w:cs="Arial" w:eastAsia="Arial" w:hAnsi="Arial"/>
          <w:sz w:val="15"/>
          <w:szCs w:val="15"/>
          <w:color w:val="auto"/>
        </w:rPr>
      </w:pPr>
    </w:p>
    <w:p>
      <w:pPr>
        <w:ind w:left="1480" w:hanging="567"/>
        <w:spacing w:after="0" w:line="261" w:lineRule="auto"/>
        <w:tabs>
          <w:tab w:leader="none" w:pos="148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$6.1 million and $6.6 million of unamortized debt issuance costs as of March 27, 2015 and January 2, 2015, respectively, related to facilities with no cash borrowings outstanding.</w:t>
      </w:r>
    </w:p>
    <w:p>
      <w:pPr>
        <w:spacing w:after="0" w:line="184"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See Footnote No. 13, “Variable Interest Entities,” for a discussion of the collateral for the non-recourse debt associated with the securitized vacation ownership notes receivable and our non-recourse warehouse credit facility (the “Warehouse Credit Facility”). All of our other debt was, and to the extent currently outstanding is, recourse to us but unsecured. The Warehouse Credit Facility currently terminates on September 15, 2016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As of March 27, 2015,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192"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Although no cash borrowings were outstanding as of March 27, 2015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Vacation</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Ownership</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Other</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 xml:space="preserve">Securitizations </w:t>
            </w:r>
            <w:r>
              <w:rPr>
                <w:rFonts w:ascii="Arial" w:cs="Arial" w:eastAsia="Arial" w:hAnsi="Arial"/>
                <w:sz w:val="12"/>
                <w:szCs w:val="12"/>
                <w:b w:val="1"/>
                <w:bCs w:val="1"/>
                <w:color w:val="auto"/>
                <w:w w:val="91"/>
              </w:rPr>
              <w:t>(1)</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Debt</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Principal Payments Year</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77,421</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94,960</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72,861</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68,355</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68,376</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247,247</w:t>
            </w:r>
          </w:p>
        </w:tc>
        <w:tc>
          <w:tcPr>
            <w:tcW w:w="7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Balance at March 27, 2015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629,220</w:t>
            </w:r>
          </w:p>
        </w:tc>
        <w:tc>
          <w:tcPr>
            <w:tcW w:w="7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7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94615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1380" w:hanging="575"/>
        <w:spacing w:after="0"/>
        <w:tabs>
          <w:tab w:leader="none" w:pos="13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debt associated with our vacation ownership notes receivable securitizations is non-recourse to us.</w:t>
      </w:r>
    </w:p>
    <w:p>
      <w:pPr>
        <w:spacing w:after="0" w:line="225" w:lineRule="exact"/>
        <w:rPr>
          <w:sz w:val="20"/>
          <w:szCs w:val="20"/>
          <w:color w:val="auto"/>
        </w:rPr>
      </w:pPr>
    </w:p>
    <w:p>
      <w:pPr>
        <w:ind w:right="600" w:firstLine="685"/>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24" w:lineRule="exact"/>
        <w:rPr>
          <w:sz w:val="20"/>
          <w:szCs w:val="20"/>
          <w:color w:val="auto"/>
        </w:rPr>
      </w:pPr>
    </w:p>
    <w:p>
      <w:pPr>
        <w:ind w:right="320" w:firstLine="685"/>
        <w:spacing w:after="0" w:line="277" w:lineRule="auto"/>
        <w:rPr>
          <w:sz w:val="20"/>
          <w:szCs w:val="20"/>
          <w:color w:val="auto"/>
        </w:rPr>
      </w:pPr>
      <w:r>
        <w:rPr>
          <w:rFonts w:ascii="Arial" w:cs="Arial" w:eastAsia="Arial" w:hAnsi="Arial"/>
          <w:sz w:val="18"/>
          <w:szCs w:val="18"/>
          <w:color w:val="auto"/>
        </w:rPr>
        <w:t>We paid cash for interest, net of amounts capitalized, of $6.6 million and $6.2 million in the twelve weeks ended March 27, 2015 and March 28, 2014,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60" w:firstLine="685"/>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twelve weeks ended March 27, 2015, and as of March 27, 2015, no securitized vacation ownership notes receivable pools were out of compliance with the established parameters. As of March 27, 2015, we had 7 securitized vacation ownership notes receivable pools outstanding.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MANDATORILY REDEEMABLE PREFERRED STOCK OF CONSOLIDATED SUBSIDIARY</w:t>
      </w:r>
    </w:p>
    <w:p>
      <w:pPr>
        <w:spacing w:after="0" w:line="121"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In October 2011, our subsidiary, MVW US Holdings, Inc. (“MVW US Holdings”) issued $40.0 million of its mandatorily redeemable Series A (non-voting) preferred stock to Marriott International as part of Marriott International’s internal reorganization prior to the Spin-Off. Subsequently Marriott International sold all of this preferred stock to third-party investors. Until October 2016, the Series A preferred stock will pay an annual cash dividend equal to the five-year U.S. Treasury Rate as of October 19, 2011, plus a spread of 10.958 percent, for a total annual cash dividend rate of 12 percent. In October 2016,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$40.0 million plus any accrued and unpaid dividends and an additional premium if liquidation occurs during the first five years after the issuance of the preferred stock. As of March 27, 2015,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69" w:lineRule="exact"/>
        <w:rPr>
          <w:sz w:val="20"/>
          <w:szCs w:val="20"/>
          <w:color w:val="auto"/>
        </w:rPr>
      </w:pPr>
    </w:p>
    <w:p>
      <w:pPr>
        <w:ind w:right="440" w:firstLine="685"/>
        <w:spacing w:after="0" w:line="277" w:lineRule="auto"/>
        <w:rPr>
          <w:sz w:val="20"/>
          <w:szCs w:val="20"/>
          <w:color w:val="auto"/>
        </w:rPr>
      </w:pPr>
      <w:r>
        <w:rPr>
          <w:rFonts w:ascii="Arial" w:cs="Arial" w:eastAsia="Arial" w:hAnsi="Arial"/>
          <w:sz w:val="18"/>
          <w:szCs w:val="18"/>
          <w:color w:val="auto"/>
        </w:rPr>
        <w:t>The following table provides detail on our mandatorily redeemable preferred stock of consolidated subsidiary balance, net of unamortized debt issuance costs: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At March 27,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At January 2,</w:t>
            </w:r>
          </w:p>
        </w:tc>
      </w:tr>
      <w:tr>
        <w:trPr>
          <w:trHeight w:val="171"/>
        </w:trPr>
        <w:tc>
          <w:tcPr>
            <w:tcW w:w="7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(1,144)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38,856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38,816</w:t>
            </w:r>
          </w:p>
        </w:tc>
        <w:tc>
          <w:tcPr>
            <w:tcW w:w="100" w:type="dxa"/>
            <w:vAlign w:val="bottom"/>
            <w:shd w:val="clear" w:color="auto" w:fill="CCEEFF"/>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121" w:lineRule="exact"/>
        <w:rPr>
          <w:sz w:val="20"/>
          <w:szCs w:val="20"/>
          <w:color w:val="auto"/>
        </w:rPr>
      </w:pPr>
    </w:p>
    <w:p>
      <w:pPr>
        <w:ind w:right="120" w:firstLine="685"/>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March 27, 2015, there were 36,333,814 shares of Marriott Vacations Worldwide common stock issued, of which 31,731,556 shares were outstanding and 4,602,258 shares were held as treasury stock. At January 2, 2015, there were 36,089,513 shares of Marriott Vacations Worldwide common stock issued, of which 32,092,788 shares were outstanding and 3,996,725 shares were held as treasury stock. Marriott Vacations Worldwide has 2,000,000 authorized shares of preferred stock, par value of $0.01 per share, none of which were issued or outstanding as of March 27, 2015 or January 2, 2015.</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details changes in shareholders’ equity during the twelve weeks ended March 27,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4"/>
              </w:rPr>
              <w:t>Treasury</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75"/>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4"/>
                <w:szCs w:val="14"/>
                <w:color w:val="auto"/>
              </w:rPr>
            </w:pPr>
          </w:p>
        </w:tc>
        <w:tc>
          <w:tcPr>
            <w:tcW w:w="860" w:type="dxa"/>
            <w:vAlign w:val="bottom"/>
          </w:tcPr>
          <w:p>
            <w:pPr>
              <w:jc w:val="right"/>
              <w:ind w:right="74"/>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 2015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(229,229)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1,137,785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17,054</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3"/>
              </w:rPr>
              <w:t>$153,732</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4"/>
              </w:rPr>
              <w:t>$ 1,079,703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
              <w:spacing w:after="0"/>
              <w:rPr>
                <w:sz w:val="20"/>
                <w:szCs w:val="20"/>
                <w:color w:val="auto"/>
              </w:rPr>
            </w:pPr>
            <w:r>
              <w:rPr>
                <w:rFonts w:ascii="Arial" w:cs="Arial" w:eastAsia="Arial" w:hAnsi="Arial"/>
                <w:sz w:val="18"/>
                <w:szCs w:val="18"/>
                <w:color w:val="auto"/>
              </w:rPr>
              <w:t>34,054</w:t>
            </w:r>
          </w:p>
        </w:tc>
        <w:tc>
          <w:tcPr>
            <w:tcW w:w="1320" w:type="dxa"/>
            <w:vAlign w:val="bottom"/>
            <w:gridSpan w:val="2"/>
          </w:tcPr>
          <w:p>
            <w:pPr>
              <w:jc w:val="right"/>
              <w:ind w:right="36"/>
              <w:spacing w:after="0"/>
              <w:rPr>
                <w:sz w:val="20"/>
                <w:szCs w:val="20"/>
                <w:color w:val="auto"/>
              </w:rPr>
            </w:pPr>
            <w:r>
              <w:rPr>
                <w:rFonts w:ascii="Arial" w:cs="Arial" w:eastAsia="Arial" w:hAnsi="Arial"/>
                <w:sz w:val="18"/>
                <w:szCs w:val="18"/>
                <w:color w:val="auto"/>
              </w:rPr>
              <w:t>34,054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Amounts related to share-based compensation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(6,281)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to reclassification of Marriott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investment to Additional paid-in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(48,400)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(2,881)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Balance at March 27,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(277,629)</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1,128,615</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11,452</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179,705</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4"/>
              </w:rPr>
              <w:t>$ 1,042,506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13"/>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In March 2015, pursuant to our existing share repurchase program, we entered into an accelerated share repurchase agreement (“ASR”) with a financial institution to repurchase shares of our common stock. Under the agreement, we paid $30.0 million and received an initial delivery of 327,782 shares of common stock on March 20, 2015, which are included in treasury stock. We accounted for the ASR as two separate transactions: (i) a purchase of treasury stock and (ii) a forward contract indexed to our common stock.</w:t>
      </w:r>
    </w:p>
    <w:p>
      <w:pPr>
        <w:spacing w:after="0" w:line="187"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We recorded $27.1 million as treasury stock and $2.9 million, the implied value of the forward contract, in additional paid-in capital on the Balance Sheet as of March 27, 2015. The total number of shares that we ultimately receive under the ASR will be determined based on the average of the daily volume-weighted average share price of our common stock over the duration of the ASR, less an agreed discount, and may be subject to adjustments for certain events under the agreement. The maximum number of additional shares that may be delivered to us under the ASR is 72,841. As the remainder of the shares are delivered to us, the forward contract will be reclassified from additional paid-in capital to treasury stock. Final settlement will occur in the second quarter of 2015.</w:t>
      </w:r>
    </w:p>
    <w:p>
      <w:pPr>
        <w:spacing w:after="0" w:line="193" w:lineRule="exact"/>
        <w:rPr>
          <w:sz w:val="20"/>
          <w:szCs w:val="20"/>
          <w:color w:val="auto"/>
        </w:rPr>
      </w:pPr>
    </w:p>
    <w:p>
      <w:pPr>
        <w:ind w:right="260" w:firstLine="685"/>
        <w:spacing w:after="0" w:line="264" w:lineRule="auto"/>
        <w:rPr>
          <w:sz w:val="20"/>
          <w:szCs w:val="20"/>
          <w:color w:val="auto"/>
        </w:rPr>
      </w:pPr>
      <w:r>
        <w:rPr>
          <w:rFonts w:ascii="Arial" w:cs="Arial" w:eastAsia="Arial" w:hAnsi="Arial"/>
          <w:sz w:val="18"/>
          <w:szCs w:val="18"/>
          <w:color w:val="auto"/>
        </w:rPr>
        <w:t>Excluding the repurchases under the ASR discussed above, during the first quarter of 2015, we repurchased 277,751 shares of our common stock under our current share repurchase program at an average price of $76.62 per share for a total of $21.3 million. As of March 27, 2015, 2.3 million shares remained available for repurchase under the program.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60" w:firstLine="685"/>
        <w:spacing w:after="0" w:line="277" w:lineRule="auto"/>
        <w:rPr>
          <w:sz w:val="20"/>
          <w:szCs w:val="20"/>
          <w:color w:val="auto"/>
        </w:rPr>
      </w:pPr>
      <w:r>
        <w:rPr>
          <w:rFonts w:ascii="Arial" w:cs="Arial" w:eastAsia="Arial" w:hAnsi="Arial"/>
          <w:sz w:val="18"/>
          <w:szCs w:val="18"/>
          <w:color w:val="auto"/>
        </w:rPr>
        <w:t>On February 12, 2015, our Board of Directors declared a quarterly dividend of $0.25 per share to shareholders of record as of February 26, 2015, which we paid on March 11,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400" w:firstLine="685"/>
        <w:spacing w:after="0" w:line="277"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“Stock Plan”). As of March 27, 2015, 1.7 million shares were available for grants under the Stock Plan.</w:t>
      </w:r>
    </w:p>
    <w:p>
      <w:pPr>
        <w:spacing w:after="0" w:line="170" w:lineRule="exact"/>
        <w:rPr>
          <w:sz w:val="20"/>
          <w:szCs w:val="20"/>
          <w:color w:val="auto"/>
        </w:rPr>
      </w:pPr>
    </w:p>
    <w:p>
      <w:pPr>
        <w:ind w:right="60" w:firstLine="685"/>
        <w:spacing w:after="0" w:line="257" w:lineRule="auto"/>
        <w:rPr>
          <w:sz w:val="20"/>
          <w:szCs w:val="20"/>
          <w:color w:val="auto"/>
        </w:rPr>
      </w:pPr>
      <w:r>
        <w:rPr>
          <w:rFonts w:ascii="Arial" w:cs="Arial" w:eastAsia="Arial" w:hAnsi="Arial"/>
          <w:sz w:val="18"/>
          <w:szCs w:val="18"/>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the Statements of Income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188" w:lineRule="exact"/>
        <w:rPr>
          <w:sz w:val="20"/>
          <w:szCs w:val="20"/>
          <w:color w:val="auto"/>
        </w:rPr>
      </w:pPr>
    </w:p>
    <w:p>
      <w:pPr>
        <w:ind w:right="40" w:firstLine="685"/>
        <w:spacing w:after="0" w:line="264"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$2.6 million and $2.3 million for the twelve weeks ended March 27, 2015 and March 28, 2014, respectively. Our deferred compensation liability related to unvested awards held by our employees totaled $23.4 million and $12.2 million at March 27, 2015 and January 2, 2015,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We granted 118,189 RSUs, exclusive of RSUs with performance vesting conditions, to our employees and non-employee directors during the twelve weeks ended March 27, 2015. RSUs granted in the twelve weeks ended March 27, 2015 had a weighted average grant-date fair value of $77.43. RSUs issued to our employees generally vest over four years in annual installments commencing one year after the date of grant. RSUs issued to our non-employee directors vest in full on the date of grant.</w:t>
      </w:r>
    </w:p>
    <w:p>
      <w:pPr>
        <w:spacing w:after="0" w:line="187" w:lineRule="exact"/>
        <w:rPr>
          <w:sz w:val="20"/>
          <w:szCs w:val="20"/>
          <w:color w:val="auto"/>
        </w:rPr>
      </w:pPr>
    </w:p>
    <w:p>
      <w:pPr>
        <w:ind w:right="140" w:firstLine="685"/>
        <w:spacing w:after="0" w:line="257" w:lineRule="auto"/>
        <w:rPr>
          <w:sz w:val="20"/>
          <w:szCs w:val="20"/>
          <w:color w:val="auto"/>
        </w:rPr>
      </w:pPr>
      <w:r>
        <w:rPr>
          <w:rFonts w:ascii="Arial" w:cs="Arial" w:eastAsia="Arial" w:hAnsi="Arial"/>
          <w:sz w:val="18"/>
          <w:szCs w:val="18"/>
          <w:color w:val="auto"/>
        </w:rPr>
        <w:t>During the twelve weeks ended March 27, 2015 and March 28, 2014, we granted RSUs with performance vesting conditions to members of management. The number of RSUs earned, if any, is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the twelve weeks ended March 27, 2015 and March 28, 2014 was approximately 74,000 and 62,000,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117" w:lineRule="exact"/>
        <w:rPr>
          <w:sz w:val="20"/>
          <w:szCs w:val="20"/>
          <w:color w:val="auto"/>
        </w:rPr>
      </w:pPr>
    </w:p>
    <w:p>
      <w:pPr>
        <w:jc w:val="both"/>
        <w:ind w:right="160" w:firstLine="685"/>
        <w:spacing w:after="0" w:line="312" w:lineRule="auto"/>
        <w:rPr>
          <w:sz w:val="20"/>
          <w:szCs w:val="20"/>
          <w:color w:val="auto"/>
        </w:rPr>
      </w:pPr>
      <w:r>
        <w:rPr>
          <w:rFonts w:ascii="Arial" w:cs="Arial" w:eastAsia="Arial" w:hAnsi="Arial"/>
          <w:sz w:val="16"/>
          <w:szCs w:val="16"/>
          <w:color w:val="auto"/>
        </w:rPr>
        <w:t>We granted 62,018 SARs to members of management during the twelve weeks ended March 27, 2015. These SARs had a weighted average grant-date fair value of $29.75 and a weighted average exercise price of $77.42. SARs generally expire ten years after the date of grant and both vest and may be exercised in cumulative installments of one quarter of the grant at the end of each of the first four years following the date of grant.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685"/>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Stock Plan in the twelve weeks ended March 27, 2015,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expected annual dividend per share was $1.00 based on our expected dividend rate.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twelve weeks ended March 27, 2015:</w:t>
      </w:r>
    </w:p>
    <w:p>
      <w:pPr>
        <w:spacing w:after="0" w:line="26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Dividend yield</w:t>
            </w:r>
          </w:p>
        </w:tc>
        <w:tc>
          <w:tcPr>
            <w:tcW w:w="28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40" w:type="dxa"/>
            <w:vAlign w:val="bottom"/>
          </w:tcPr>
          <w:p>
            <w:pPr>
              <w:jc w:val="right"/>
              <w:ind w:right="110"/>
              <w:spacing w:after="0"/>
              <w:rPr>
                <w:sz w:val="20"/>
                <w:szCs w:val="20"/>
                <w:color w:val="auto"/>
              </w:rPr>
            </w:pPr>
            <w:r>
              <w:rPr>
                <w:rFonts w:ascii="Arial" w:cs="Arial" w:eastAsia="Arial" w:hAnsi="Arial"/>
                <w:sz w:val="18"/>
                <w:szCs w:val="18"/>
                <w:color w:val="auto"/>
              </w:rPr>
              <w:t>6.25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jc w:val="both"/>
        <w:ind w:right="40" w:firstLine="685"/>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80" w:firstLine="685"/>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issued by the special purpose entities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78"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87" w:lineRule="exact"/>
        <w:rPr>
          <w:sz w:val="20"/>
          <w:szCs w:val="20"/>
          <w:color w:val="auto"/>
        </w:rPr>
      </w:pPr>
    </w:p>
    <w:p>
      <w:pPr>
        <w:ind w:right="100" w:firstLine="685"/>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March 27, 2015:</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Vacation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2"/>
              </w:rPr>
              <w:t>Warehouse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Ownership</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Credit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Securitizations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35"/>
              <w:spacing w:after="0"/>
              <w:rPr>
                <w:sz w:val="20"/>
                <w:szCs w:val="20"/>
                <w:color w:val="auto"/>
              </w:rPr>
            </w:pPr>
            <w:r>
              <w:rPr>
                <w:rFonts w:ascii="Arial" w:cs="Arial" w:eastAsia="Arial" w:hAnsi="Arial"/>
                <w:sz w:val="14"/>
                <w:szCs w:val="14"/>
                <w:b w:val="1"/>
                <w:bCs w:val="1"/>
                <w:color w:val="auto"/>
                <w:w w:val="95"/>
              </w:rPr>
              <w:t>Facility</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675,411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675,411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29,310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708,853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708,853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Debt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629,220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629,220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629,741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629,772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March 27, 2015:</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Vacation</w:t>
            </w:r>
          </w:p>
        </w:tc>
        <w:tc>
          <w:tcPr>
            <w:tcW w:w="2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Warehouse</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Ownership</w:t>
            </w:r>
          </w:p>
        </w:tc>
        <w:tc>
          <w:tcPr>
            <w:tcW w:w="200" w:type="dxa"/>
            <w:vAlign w:val="bottom"/>
          </w:tcPr>
          <w:p>
            <w:pPr>
              <w:spacing w:after="0"/>
              <w:rPr>
                <w:sz w:val="12"/>
                <w:szCs w:val="12"/>
                <w:color w:val="auto"/>
              </w:rPr>
            </w:pPr>
          </w:p>
        </w:tc>
        <w:tc>
          <w:tcPr>
            <w:tcW w:w="12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Credit</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3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200" w:type="dxa"/>
            <w:vAlign w:val="bottom"/>
          </w:tcPr>
          <w:p>
            <w:pPr>
              <w:spacing w:after="0"/>
              <w:rPr>
                <w:sz w:val="12"/>
                <w:szCs w:val="12"/>
                <w:color w:val="auto"/>
              </w:rPr>
            </w:pPr>
          </w:p>
        </w:tc>
        <w:tc>
          <w:tcPr>
            <w:tcW w:w="12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Facility</w:t>
            </w:r>
          </w:p>
        </w:tc>
        <w:tc>
          <w:tcPr>
            <w:tcW w:w="30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Securitizations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4,706</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685"/>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twelve weeks ended March 27, 2015 and March 28, 2014:</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14"/>
                <w:szCs w:val="14"/>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March 27, 2015</w:t>
            </w:r>
          </w:p>
        </w:tc>
        <w:tc>
          <w:tcPr>
            <w:tcW w:w="18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Principal receipts</w:t>
            </w:r>
          </w:p>
        </w:tc>
        <w:tc>
          <w:tcPr>
            <w:tcW w:w="3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48,608</w:t>
            </w:r>
          </w:p>
        </w:tc>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46,195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receipts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22,933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Reserve release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72,966</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(48,054)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3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(6,031)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Voluntary clean-up call</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(24,726)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Interest to investors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(5,219)</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(84,030)</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b w:val="1"/>
                <w:bCs w:val="1"/>
                <w:color w:val="auto"/>
              </w:rPr>
              <w:t>Net Cash Flows</w:t>
            </w:r>
          </w:p>
        </w:tc>
        <w:tc>
          <w:tcPr>
            <w:tcW w:w="3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(11,064)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shows cash flows between us and the Warehouse Credit Facility variable interest entity during the twelve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27, 2015 and March 28, 2014:</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180" w:type="dxa"/>
            <w:vAlign w:val="bottom"/>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March 27, 2015</w:t>
            </w:r>
          </w:p>
        </w:tc>
        <w:tc>
          <w:tcPr>
            <w:tcW w:w="180" w:type="dxa"/>
            <w:vAlign w:val="bottom"/>
          </w:tcPr>
          <w:p>
            <w:pPr>
              <w:spacing w:after="0"/>
              <w:rPr>
                <w:sz w:val="12"/>
                <w:szCs w:val="12"/>
                <w:color w:val="auto"/>
              </w:rPr>
            </w:pPr>
          </w:p>
        </w:tc>
        <w:tc>
          <w:tcPr>
            <w:tcW w:w="11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March 28,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7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to investors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Net Cash Flows</w:t>
            </w:r>
          </w:p>
        </w:tc>
        <w:tc>
          <w:tcPr>
            <w:tcW w:w="3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9"/>
                <w:szCs w:val="19"/>
                <w:color w:val="auto"/>
              </w:rPr>
            </w:pPr>
          </w:p>
        </w:tc>
        <w:tc>
          <w:tcPr>
            <w:tcW w:w="62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685"/>
        <w:spacing w:after="0" w:line="272"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$15.0 million upon presentation of demand notes related to certain vacation ownerships notes receivable securitization transactions outstanding at March 27, 2015.</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equity investment in the Joint Venture and in certain notes receivable due from the Joint Venture and subsequently reduced the carrying value of our investment in those receivables to zero. Following the Joint Venture’s failure to pay promissory notes due in 2010 and 2011, the lenders initiated foreclosure proceedings with respect to unsold interests in the project. A sale was completed following a foreclosure auction, and on June 13, 2013, we received $7.4 million of cash as a partial repayment of our previously fully reserved receivables due from the Joint Venture. The Joint Venture’s obligations with respect to the remaining receivables have been terminated.</w:t>
      </w:r>
    </w:p>
    <w:p>
      <w:pPr>
        <w:spacing w:after="0" w:line="182" w:lineRule="exact"/>
        <w:rPr>
          <w:sz w:val="20"/>
          <w:szCs w:val="20"/>
          <w:color w:val="auto"/>
        </w:rPr>
      </w:pPr>
    </w:p>
    <w:p>
      <w:pPr>
        <w:ind w:right="140" w:firstLine="685"/>
        <w:spacing w:after="0" w:line="264" w:lineRule="auto"/>
        <w:rPr>
          <w:sz w:val="20"/>
          <w:szCs w:val="20"/>
          <w:color w:val="auto"/>
        </w:rPr>
      </w:pPr>
      <w:r>
        <w:rPr>
          <w:rFonts w:ascii="Arial" w:cs="Arial" w:eastAsia="Arial" w:hAnsi="Arial"/>
          <w:sz w:val="18"/>
          <w:szCs w:val="18"/>
          <w:color w:val="auto"/>
        </w:rPr>
        <w:t>At March 27, 2015, we have an accrual of $4.0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8, “Contingencies and Commitments.”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w:t>
      </w:r>
    </w:p>
    <w:p>
      <w:pPr>
        <w:spacing w:after="0" w:line="121" w:lineRule="exact"/>
        <w:rPr>
          <w:sz w:val="20"/>
          <w:szCs w:val="20"/>
          <w:color w:val="auto"/>
        </w:rPr>
      </w:pPr>
    </w:p>
    <w:p>
      <w:pPr>
        <w:ind w:right="80" w:firstLine="685"/>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jc w:val="both"/>
        <w:ind w:left="1120" w:right="280" w:hanging="437"/>
        <w:spacing w:after="0" w:line="31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52" w:lineRule="exact"/>
        <w:rPr>
          <w:rFonts w:ascii="Arial" w:cs="Arial" w:eastAsia="Arial" w:hAnsi="Arial"/>
          <w:sz w:val="16"/>
          <w:szCs w:val="16"/>
          <w:color w:val="auto"/>
        </w:rPr>
      </w:pPr>
    </w:p>
    <w:p>
      <w:pPr>
        <w:ind w:left="1120" w:right="200" w:hanging="437"/>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75" w:lineRule="exact"/>
        <w:rPr>
          <w:rFonts w:ascii="Arial" w:cs="Arial" w:eastAsia="Arial" w:hAnsi="Arial"/>
          <w:sz w:val="18"/>
          <w:szCs w:val="18"/>
          <w:color w:val="auto"/>
        </w:rPr>
      </w:pPr>
    </w:p>
    <w:p>
      <w:pPr>
        <w:ind w:left="1120" w:right="80" w:hanging="437"/>
        <w:spacing w:after="0" w:line="34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124" w:lineRule="exact"/>
        <w:rPr>
          <w:sz w:val="20"/>
          <w:szCs w:val="20"/>
          <w:color w:val="auto"/>
        </w:rPr>
      </w:pPr>
    </w:p>
    <w:p>
      <w:pPr>
        <w:ind w:right="100" w:firstLine="685"/>
        <w:spacing w:after="0" w:line="276" w:lineRule="auto"/>
        <w:rPr>
          <w:sz w:val="20"/>
          <w:szCs w:val="20"/>
          <w:color w:val="auto"/>
        </w:rPr>
      </w:pPr>
      <w:r>
        <w:rPr>
          <w:rFonts w:ascii="Arial" w:cs="Arial" w:eastAsia="Arial" w:hAnsi="Arial"/>
          <w:sz w:val="17"/>
          <w:szCs w:val="17"/>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720" w:type="dxa"/>
            <w:vAlign w:val="bottom"/>
          </w:tcPr>
          <w:p>
            <w:pPr>
              <w:spacing w:after="0"/>
              <w:rPr>
                <w:sz w:val="20"/>
                <w:szCs w:val="20"/>
                <w:color w:val="auto"/>
              </w:rPr>
            </w:pPr>
          </w:p>
        </w:tc>
        <w:tc>
          <w:tcPr>
            <w:tcW w:w="11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March 27, 2015</w:t>
            </w:r>
          </w:p>
        </w:tc>
        <w:tc>
          <w:tcPr>
            <w:tcW w:w="18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28, 2014</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7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391,928</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Europe</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21,587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7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41,365</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720"/>
              <w:spacing w:after="0"/>
              <w:rPr>
                <w:sz w:val="20"/>
                <w:szCs w:val="20"/>
                <w:color w:val="auto"/>
              </w:rPr>
            </w:pPr>
            <w:r>
              <w:rPr>
                <w:rFonts w:ascii="Arial" w:cs="Arial" w:eastAsia="Arial" w:hAnsi="Arial"/>
                <w:sz w:val="18"/>
                <w:szCs w:val="18"/>
                <w:color w:val="auto"/>
              </w:rPr>
              <w:t>Total segment revenues</w:t>
            </w:r>
          </w:p>
        </w:tc>
        <w:tc>
          <w:tcPr>
            <w:tcW w:w="2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454,880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454,880</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720" w:type="dxa"/>
            <w:vAlign w:val="bottom"/>
            <w:vMerge w:val="restart"/>
          </w:tcPr>
          <w:p>
            <w:pPr>
              <w:jc w:val="right"/>
              <w:ind w:right="1530"/>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Twelve Weeks Ended</w:t>
            </w:r>
          </w:p>
        </w:tc>
      </w:tr>
      <w:tr>
        <w:trPr>
          <w:trHeight w:val="237"/>
        </w:trPr>
        <w:tc>
          <w:tcPr>
            <w:tcW w:w="60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1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March 27, 2015</w:t>
            </w:r>
          </w:p>
        </w:tc>
        <w:tc>
          <w:tcPr>
            <w:tcW w:w="18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28, 2014</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97,736</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9,443</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8"/>
                <w:szCs w:val="18"/>
                <w:color w:val="auto"/>
              </w:rPr>
            </w:pPr>
          </w:p>
        </w:tc>
      </w:tr>
      <w:tr>
        <w:trPr>
          <w:trHeight w:val="223"/>
        </w:trPr>
        <w:tc>
          <w:tcPr>
            <w:tcW w:w="6040" w:type="dxa"/>
            <w:vAlign w:val="bottom"/>
          </w:tcPr>
          <w:p>
            <w:pPr>
              <w:ind w:left="720"/>
              <w:spacing w:after="0"/>
              <w:rPr>
                <w:sz w:val="20"/>
                <w:szCs w:val="20"/>
                <w:color w:val="auto"/>
              </w:rPr>
            </w:pPr>
            <w:r>
              <w:rPr>
                <w:rFonts w:ascii="Arial" w:cs="Arial" w:eastAsia="Arial" w:hAnsi="Arial"/>
                <w:sz w:val="18"/>
                <w:szCs w:val="18"/>
                <w:color w:val="auto"/>
              </w:rPr>
              <w:t>Total segment financial results</w:t>
            </w:r>
          </w:p>
        </w:tc>
        <w:tc>
          <w:tcPr>
            <w:tcW w:w="32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107,193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82,549</w:t>
            </w:r>
          </w:p>
        </w:tc>
        <w:tc>
          <w:tcPr>
            <w:tcW w:w="10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(50,478)</w:t>
            </w:r>
          </w:p>
        </w:tc>
        <w:tc>
          <w:tcPr>
            <w:tcW w:w="10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(23,289)</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(12,763)</w:t>
            </w:r>
          </w:p>
        </w:tc>
        <w:tc>
          <w:tcPr>
            <w:tcW w:w="10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34,054</w:t>
            </w:r>
          </w:p>
        </w:tc>
        <w:tc>
          <w:tcPr>
            <w:tcW w:w="5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19,308</w:t>
            </w:r>
          </w:p>
        </w:tc>
        <w:tc>
          <w:tcPr>
            <w:tcW w:w="10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At March 27,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At January 2,</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1,913,448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Europe</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84,472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720"/>
              <w:spacing w:after="0"/>
              <w:rPr>
                <w:sz w:val="20"/>
                <w:szCs w:val="20"/>
                <w:color w:val="auto"/>
              </w:rPr>
            </w:pPr>
            <w:r>
              <w:rPr>
                <w:rFonts w:ascii="Arial" w:cs="Arial" w:eastAsia="Arial" w:hAnsi="Arial"/>
                <w:sz w:val="18"/>
                <w:szCs w:val="18"/>
                <w:color w:val="auto"/>
              </w:rPr>
              <w:t>Total segment assets</w:t>
            </w: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2,064,764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2,051,911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324,105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2,388,869</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940" w:type="dxa"/>
            <w:vAlign w:val="bottom"/>
            <w:vMerge w:val="restart"/>
          </w:tcPr>
          <w:p>
            <w:pPr>
              <w:jc w:val="right"/>
              <w:ind w:right="165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189" w:lineRule="exact"/>
        <w:rPr>
          <w:sz w:val="20"/>
          <w:szCs w:val="20"/>
          <w:color w:val="auto"/>
        </w:rPr>
      </w:pPr>
    </w:p>
    <w:p>
      <w:pPr>
        <w:ind w:right="160" w:firstLine="685"/>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166" w:lineRule="exact"/>
        <w:rPr>
          <w:sz w:val="20"/>
          <w:szCs w:val="20"/>
          <w:color w:val="auto"/>
        </w:rPr>
      </w:pPr>
    </w:p>
    <w:p>
      <w:pPr>
        <w:ind w:right="60" w:firstLine="685"/>
        <w:spacing w:after="0" w:line="259"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87" w:lineRule="exact"/>
        <w:rPr>
          <w:sz w:val="20"/>
          <w:szCs w:val="20"/>
          <w:color w:val="auto"/>
        </w:rPr>
      </w:pPr>
    </w:p>
    <w:p>
      <w:pPr>
        <w:ind w:right="40" w:firstLine="685"/>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21" w:lineRule="exact"/>
        <w:rPr>
          <w:sz w:val="20"/>
          <w:szCs w:val="20"/>
          <w:color w:val="auto"/>
        </w:rPr>
      </w:pPr>
    </w:p>
    <w:p>
      <w:pPr>
        <w:jc w:val="both"/>
        <w:ind w:right="140" w:firstLine="685"/>
        <w:spacing w:after="0" w:line="312" w:lineRule="auto"/>
        <w:rPr>
          <w:sz w:val="20"/>
          <w:szCs w:val="20"/>
          <w:color w:val="auto"/>
        </w:rPr>
      </w:pPr>
      <w:r>
        <w:rPr>
          <w:rFonts w:ascii="Arial" w:cs="Arial" w:eastAsia="Arial" w:hAnsi="Arial"/>
          <w:sz w:val="16"/>
          <w:szCs w:val="16"/>
          <w:color w:val="auto"/>
        </w:rPr>
        <w:t>On November 21, 2011, Marriott International, Inc. (“Marriott International”) completed the spin-off of its vacation ownership division (the “Spin-Off”). Since the Spin-Off, we have been an independent public company, with our common stock listed on the New York Stock Exchange under the symbol “VAC.” Following the Spin-Off, we and Marriott International have operated independently, and neither company has any ownership interest in the other.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188" w:lineRule="exact"/>
        <w:rPr>
          <w:sz w:val="20"/>
          <w:szCs w:val="20"/>
          <w:color w:val="auto"/>
        </w:rPr>
      </w:pPr>
    </w:p>
    <w:p>
      <w:pPr>
        <w:ind w:right="140" w:firstLine="685"/>
        <w:spacing w:after="0" w:line="257"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March 27, 2015, we operated 59 properties in the United States and seven other countries and territories, including an operating hotel in San Diego, California, that we intend to convert into vacation ownership interests for future use in our North America points-based program, Marriott Vacation Club Destinations</w:t>
      </w:r>
      <w:r>
        <w:rPr>
          <w:rFonts w:ascii="Arial" w:cs="Arial" w:eastAsia="Arial" w:hAnsi="Arial"/>
          <w:sz w:val="15"/>
          <w:szCs w:val="15"/>
          <w:color w:val="auto"/>
        </w:rPr>
        <w:t>TM</w:t>
      </w:r>
      <w:r>
        <w:rPr>
          <w:rFonts w:ascii="Arial" w:cs="Arial" w:eastAsia="Arial" w:hAnsi="Arial"/>
          <w:sz w:val="18"/>
          <w:szCs w:val="18"/>
          <w:color w:val="auto"/>
        </w:rPr>
        <w:t xml:space="preserve"> (“MVCD”) in the near term. We generate most of our revenues from four primary sources: selling vacation ownership products; managing our resorts; financing consumer purchases of vacation ownership products; and renting vacation ownership inventory.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jc w:val="both"/>
        <w:ind w:right="220" w:firstLine="685"/>
        <w:spacing w:after="0" w:line="342" w:lineRule="auto"/>
        <w:rPr>
          <w:sz w:val="20"/>
          <w:szCs w:val="20"/>
          <w:color w:val="auto"/>
        </w:rPr>
      </w:pPr>
      <w:r>
        <w:rPr>
          <w:rFonts w:ascii="Arial" w:cs="Arial" w:eastAsia="Arial" w:hAnsi="Arial"/>
          <w:sz w:val="16"/>
          <w:szCs w:val="16"/>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685"/>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188" w:lineRule="exact"/>
        <w:rPr>
          <w:sz w:val="20"/>
          <w:szCs w:val="20"/>
          <w:color w:val="auto"/>
        </w:rPr>
      </w:pPr>
    </w:p>
    <w:p>
      <w:pPr>
        <w:jc w:val="both"/>
        <w:ind w:right="60" w:firstLine="685"/>
        <w:spacing w:after="0" w:line="286"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66" w:lineRule="exact"/>
        <w:rPr>
          <w:sz w:val="20"/>
          <w:szCs w:val="20"/>
          <w:color w:val="auto"/>
        </w:rPr>
      </w:pPr>
    </w:p>
    <w:p>
      <w:pPr>
        <w:ind w:right="40" w:firstLine="685"/>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181" w:lineRule="exact"/>
        <w:rPr>
          <w:sz w:val="20"/>
          <w:szCs w:val="20"/>
          <w:color w:val="auto"/>
        </w:rPr>
      </w:pPr>
    </w:p>
    <w:p>
      <w:pPr>
        <w:ind w:right="260" w:firstLine="685"/>
        <w:spacing w:after="0" w:line="257" w:lineRule="auto"/>
        <w:rPr>
          <w:sz w:val="20"/>
          <w:szCs w:val="20"/>
          <w:color w:val="auto"/>
        </w:rPr>
      </w:pPr>
      <w:r>
        <w:rPr>
          <w:rFonts w:ascii="Arial" w:cs="Arial" w:eastAsia="Arial" w:hAnsi="Arial"/>
          <w:sz w:val="18"/>
          <w:szCs w:val="18"/>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188" w:lineRule="exact"/>
        <w:rPr>
          <w:sz w:val="20"/>
          <w:szCs w:val="20"/>
          <w:color w:val="auto"/>
        </w:rPr>
      </w:pPr>
    </w:p>
    <w:p>
      <w:pPr>
        <w:ind w:right="80" w:firstLine="685"/>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revenues and costs in that period to those that would have been recorded historically if the revised estimates had been used. These true-ups, which we refer to as product cost true-ups, will have a positive or negative impact on our Statements of Income.</w:t>
      </w:r>
    </w:p>
    <w:p>
      <w:pPr>
        <w:spacing w:after="0" w:line="178" w:lineRule="exact"/>
        <w:rPr>
          <w:sz w:val="20"/>
          <w:szCs w:val="20"/>
          <w:color w:val="auto"/>
        </w:rPr>
      </w:pPr>
    </w:p>
    <w:p>
      <w:pPr>
        <w:ind w:right="340" w:firstLine="685"/>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jc w:val="both"/>
        <w:ind w:right="80" w:firstLine="685"/>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187" w:lineRule="exact"/>
        <w:rPr>
          <w:sz w:val="20"/>
          <w:szCs w:val="20"/>
          <w:color w:val="auto"/>
        </w:rPr>
      </w:pPr>
    </w:p>
    <w:p>
      <w:pPr>
        <w:ind w:right="400" w:firstLine="685"/>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budgeted costs to operate the resorts or a fixed fee arrangement. We earn these fees regardless of usage or occupancy.</w:t>
      </w:r>
    </w:p>
    <w:p>
      <w:pPr>
        <w:spacing w:after="0" w:line="187" w:lineRule="exact"/>
        <w:rPr>
          <w:sz w:val="20"/>
          <w:szCs w:val="20"/>
          <w:color w:val="auto"/>
        </w:rPr>
      </w:pPr>
    </w:p>
    <w:p>
      <w:pPr>
        <w:jc w:val="both"/>
        <w:ind w:right="140" w:firstLine="685"/>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100" w:firstLine="685"/>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386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Twelve Weeks Ended</w:t>
            </w:r>
          </w:p>
        </w:tc>
      </w:tr>
      <w:tr>
        <w:trPr>
          <w:trHeight w:val="142"/>
        </w:trPr>
        <w:tc>
          <w:tcPr>
            <w:tcW w:w="4820" w:type="dxa"/>
            <w:vAlign w:val="bottom"/>
          </w:tcPr>
          <w:p>
            <w:pPr>
              <w:spacing w:after="0"/>
              <w:rPr>
                <w:sz w:val="12"/>
                <w:szCs w:val="12"/>
                <w:color w:val="auto"/>
              </w:rPr>
            </w:pPr>
          </w:p>
        </w:tc>
        <w:tc>
          <w:tcPr>
            <w:tcW w:w="20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1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March 28, 2014</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FICO score</w:t>
            </w:r>
          </w:p>
        </w:tc>
        <w:tc>
          <w:tcPr>
            <w:tcW w:w="1840" w:type="dxa"/>
            <w:vAlign w:val="bottom"/>
            <w:tcBorders>
              <w:top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rPr>
              <w:t>728</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731</w:t>
            </w:r>
          </w:p>
        </w:tc>
      </w:tr>
    </w:tbl>
    <w:p>
      <w:pPr>
        <w:spacing w:after="0" w:line="202" w:lineRule="exact"/>
        <w:rPr>
          <w:sz w:val="20"/>
          <w:szCs w:val="20"/>
          <w:color w:val="auto"/>
        </w:rPr>
      </w:pPr>
    </w:p>
    <w:p>
      <w:pPr>
        <w:jc w:val="both"/>
        <w:ind w:firstLine="685"/>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685"/>
        <w:spacing w:after="0" w:line="272"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stabilized since then. As a result, we expect that interest income will continue to decline in the near term until new originations outpace the decline in principal of the existing vacation ownership notes receivable portfolio.</w:t>
      </w:r>
    </w:p>
    <w:p>
      <w:pPr>
        <w:spacing w:after="0" w:line="178"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386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Twelve Weeks Ended</w:t>
            </w:r>
          </w:p>
        </w:tc>
      </w:tr>
      <w:tr>
        <w:trPr>
          <w:trHeight w:val="142"/>
        </w:trPr>
        <w:tc>
          <w:tcPr>
            <w:tcW w:w="4820" w:type="dxa"/>
            <w:vAlign w:val="bottom"/>
          </w:tcPr>
          <w:p>
            <w:pPr>
              <w:spacing w:after="0"/>
              <w:rPr>
                <w:sz w:val="12"/>
                <w:szCs w:val="12"/>
                <w:color w:val="auto"/>
              </w:rPr>
            </w:pPr>
          </w:p>
        </w:tc>
        <w:tc>
          <w:tcPr>
            <w:tcW w:w="20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1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March 28, 2014</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1840" w:type="dxa"/>
            <w:vAlign w:val="bottom"/>
            <w:tcBorders>
              <w:top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rPr>
              <w:t>0.9%</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0.9%</w:t>
            </w:r>
          </w:p>
        </w:tc>
      </w:tr>
    </w:tbl>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360" w:firstLine="685"/>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181" w:lineRule="exact"/>
        <w:rPr>
          <w:sz w:val="20"/>
          <w:szCs w:val="20"/>
          <w:color w:val="auto"/>
        </w:rPr>
      </w:pPr>
    </w:p>
    <w:p>
      <w:pPr>
        <w:ind w:right="120" w:firstLine="685"/>
        <w:spacing w:after="0" w:line="308" w:lineRule="auto"/>
        <w:rPr>
          <w:sz w:val="20"/>
          <w:szCs w:val="20"/>
          <w:color w:val="auto"/>
        </w:rPr>
      </w:pPr>
      <w:r>
        <w:rPr>
          <w:rFonts w:ascii="Arial" w:cs="Arial" w:eastAsia="Arial" w:hAnsi="Arial"/>
          <w:sz w:val="17"/>
          <w:szCs w:val="17"/>
          <w:color w:val="auto"/>
        </w:rPr>
        <w:t>Rental revenues are primarily the revenues we earn from renting this inventory. We also recognize rental revenue from the utilization of plus points under the MVCD program when those points are redeemed for rental stays at one of our resorts or upon expiration of the points.</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Rental expenses include:</w:t>
      </w:r>
    </w:p>
    <w:p>
      <w:pPr>
        <w:spacing w:after="0" w:line="131" w:lineRule="exact"/>
        <w:rPr>
          <w:sz w:val="20"/>
          <w:szCs w:val="20"/>
          <w:color w:val="auto"/>
        </w:rPr>
      </w:pPr>
    </w:p>
    <w:p>
      <w:pPr>
        <w:ind w:left="1120" w:hanging="315"/>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30" w:lineRule="exact"/>
        <w:rPr>
          <w:rFonts w:ascii="Arial" w:cs="Arial" w:eastAsia="Arial" w:hAnsi="Arial"/>
          <w:sz w:val="18"/>
          <w:szCs w:val="18"/>
          <w:color w:val="auto"/>
        </w:rPr>
      </w:pPr>
    </w:p>
    <w:p>
      <w:pPr>
        <w:ind w:left="1120" w:right="260" w:hanging="315"/>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75" w:lineRule="exact"/>
        <w:rPr>
          <w:rFonts w:ascii="Arial" w:cs="Arial" w:eastAsia="Arial" w:hAnsi="Arial"/>
          <w:sz w:val="18"/>
          <w:szCs w:val="18"/>
          <w:color w:val="auto"/>
        </w:rPr>
      </w:pPr>
    </w:p>
    <w:p>
      <w:pPr>
        <w:ind w:left="1120" w:right="340" w:hanging="315"/>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75" w:lineRule="exact"/>
        <w:rPr>
          <w:rFonts w:ascii="Arial" w:cs="Arial" w:eastAsia="Arial" w:hAnsi="Arial"/>
          <w:sz w:val="18"/>
          <w:szCs w:val="18"/>
          <w:color w:val="auto"/>
        </w:rPr>
      </w:pPr>
    </w:p>
    <w:p>
      <w:pPr>
        <w:ind w:left="1120" w:right="140" w:hanging="315"/>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75" w:lineRule="exact"/>
        <w:rPr>
          <w:rFonts w:ascii="Arial" w:cs="Arial" w:eastAsia="Arial" w:hAnsi="Arial"/>
          <w:sz w:val="18"/>
          <w:szCs w:val="18"/>
          <w:color w:val="auto"/>
        </w:rPr>
      </w:pPr>
    </w:p>
    <w:p>
      <w:pPr>
        <w:ind w:left="1120" w:hanging="315"/>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the MVCD program.</w:t>
      </w:r>
    </w:p>
    <w:p>
      <w:pPr>
        <w:spacing w:after="0" w:line="225"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685"/>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120" w:firstLine="685"/>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that is generally non-recourse to us.</w:t>
      </w:r>
    </w:p>
    <w:p>
      <w:pPr>
        <w:spacing w:after="0" w:line="28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31" w:lineRule="exact"/>
        <w:rPr>
          <w:sz w:val="20"/>
          <w:szCs w:val="20"/>
          <w:color w:val="auto"/>
        </w:rPr>
      </w:pPr>
    </w:p>
    <w:p>
      <w:pPr>
        <w:ind w:left="1120" w:hanging="31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30" w:lineRule="exact"/>
        <w:rPr>
          <w:rFonts w:ascii="Arial" w:cs="Arial" w:eastAsia="Arial" w:hAnsi="Arial"/>
          <w:sz w:val="18"/>
          <w:szCs w:val="18"/>
          <w:color w:val="auto"/>
        </w:rPr>
      </w:pPr>
    </w:p>
    <w:p>
      <w:pPr>
        <w:ind w:left="1120" w:hanging="315"/>
        <w:spacing w:after="0" w:line="259"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contract sales, excluding fractional and residential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Rounding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right="420" w:firstLine="685"/>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weeks ended March 27, 2015, compared to the twelve weeks ended March 28,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920" w:type="dxa"/>
            <w:vAlign w:val="bottom"/>
            <w:gridSpan w:val="2"/>
            <w:vMerge w:val="restart"/>
          </w:tcPr>
          <w:p>
            <w:pPr>
              <w:ind w:left="68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5"/>
          </w:tcPr>
          <w:p>
            <w:pPr>
              <w:jc w:val="right"/>
              <w:ind w:right="560"/>
              <w:spacing w:after="0" w:line="142" w:lineRule="exact"/>
              <w:rPr>
                <w:sz w:val="20"/>
                <w:szCs w:val="20"/>
                <w:color w:val="auto"/>
              </w:rPr>
            </w:pPr>
            <w:r>
              <w:rPr>
                <w:rFonts w:ascii="Arial" w:cs="Arial" w:eastAsia="Arial" w:hAnsi="Arial"/>
                <w:sz w:val="14"/>
                <w:szCs w:val="14"/>
                <w:b w:val="1"/>
                <w:bCs w:val="1"/>
                <w:color w:val="auto"/>
              </w:rPr>
              <w:t>March 27, 2015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2"/>
              </w:rPr>
              <w:t>March 28, 2014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183,906</w:t>
            </w:r>
          </w:p>
        </w:tc>
        <w:tc>
          <w:tcPr>
            <w:tcW w:w="420" w:type="dxa"/>
            <w:vAlign w:val="bottom"/>
          </w:tcPr>
          <w:p>
            <w:pPr>
              <w:spacing w:after="0"/>
              <w:rPr>
                <w:sz w:val="18"/>
                <w:szCs w:val="18"/>
                <w:color w:val="auto"/>
              </w:rPr>
            </w:pP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144,850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63,546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29,052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30,640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63,525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101,306</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99,386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454,880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401,947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920" w:type="dxa"/>
            <w:vAlign w:val="bottom"/>
            <w:gridSpan w:val="2"/>
          </w:tcPr>
          <w:p>
            <w:pPr>
              <w:ind w:left="680"/>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79,995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71,220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5,104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22,777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21,828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13,000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13,428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101,306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99,386</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395,463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366,999</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and other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Impairment charges on equity investment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32,071</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(23,289)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(12,763)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34,054</w:t>
            </w:r>
          </w:p>
        </w:tc>
        <w:tc>
          <w:tcPr>
            <w:tcW w:w="4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3"/>
          </w:tcPr>
          <w:p>
            <w:pPr>
              <w:ind w:left="700"/>
              <w:spacing w:after="0"/>
              <w:rPr>
                <w:sz w:val="20"/>
                <w:szCs w:val="20"/>
                <w:color w:val="auto"/>
              </w:rPr>
            </w:pPr>
            <w:r>
              <w:rPr>
                <w:rFonts w:ascii="Arial" w:cs="Arial" w:eastAsia="Arial" w:hAnsi="Arial"/>
                <w:sz w:val="18"/>
                <w:szCs w:val="18"/>
                <w:i w:val="1"/>
                <w:iCs w:val="1"/>
                <w:color w:val="auto"/>
              </w:rPr>
              <w:t>Twelve Weeks Ended March 27, 2015</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20" w:type="dxa"/>
            <w:vAlign w:val="bottom"/>
            <w:gridSpan w:val="3"/>
            <w:vMerge w:val="restart"/>
          </w:tcPr>
          <w:p>
            <w:pPr>
              <w:ind w:left="70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860" w:type="dxa"/>
            <w:vAlign w:val="bottom"/>
            <w:gridSpan w:val="3"/>
            <w:vMerge w:val="restart"/>
          </w:tcPr>
          <w:p>
            <w:pPr>
              <w:jc w:val="center"/>
              <w:ind w:right="7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Vacation ownership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169,950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155,248</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Residential products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920" w:type="dxa"/>
            <w:vAlign w:val="bottom"/>
            <w:gridSpan w:val="2"/>
          </w:tcPr>
          <w:p>
            <w:pPr>
              <w:ind w:left="360"/>
              <w:spacing w:after="0"/>
              <w:rPr>
                <w:sz w:val="20"/>
                <w:szCs w:val="20"/>
                <w:color w:val="auto"/>
              </w:rPr>
            </w:pPr>
            <w:r>
              <w:rPr>
                <w:rFonts w:ascii="Arial" w:cs="Arial" w:eastAsia="Arial" w:hAnsi="Arial"/>
                <w:sz w:val="18"/>
                <w:szCs w:val="18"/>
                <w:color w:val="auto"/>
              </w:rPr>
              <w:t>Total contract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198,370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161,574</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2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NM = not meaningful</w:t>
      </w:r>
    </w:p>
    <w:p>
      <w:pPr>
        <w:spacing w:after="0" w:line="225"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The $36.8 million increase in total contract sales was driven by $28.4 million of higher residential contract sales in our Asia Pacific segment in the twelve weeks ended March 27, 2015, $15.8 million of higher vacation ownership contract sales in our key North America segment and $2.0 million of higher vacation ownership contract sales in our Asia Pacific segment, partially offset by $6.3 million of lower residential contract sales in our North America segment and $3.1 million of lower contract sales in our Europe segment.</w:t>
      </w:r>
    </w:p>
    <w:p>
      <w:pPr>
        <w:spacing w:after="0" w:line="187"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The increase in vacation ownership contract sales in our North America segment reflected a $12.6 million increase in sales at on-site sales locations, a $1.9 million increase in fractional sales as we continue to sell through remaining luxury inventory, and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$1.3 million increase in sales at off-site (non tour-based) sales locations. The increase in sales at on-site sales locations reflected a 5 percent increase in VPG to $3,640 in the twelve weeks ended March 27, 2015 from $3,477 in the prior year comparable period and a 5 percent increase in the number of tours. The increase in VPG was due to a 0.8 percentage point increase in closing efficiency and higher pricing, partially offset by a decrease in the number of points sold per contract due to the increase in sales to existing owners in the current period. The increase in the number of tours was driven by an increase in existing owner tours. During the twelve weeks ended March 27, 2015, we announced enhancements to our owner recognition levels that created a near-term incentive for existing owners to purchase additional points.</w:t>
      </w:r>
    </w:p>
    <w:p>
      <w:pPr>
        <w:spacing w:after="0" w:line="193"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for $28.4 million. We expect to reinvest the proceeds from the disposition in new timeshare destinations in the region with strong on-site sales 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198,370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161,574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36,796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Reportability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(1,513)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3,041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720"/>
              <w:spacing w:after="0"/>
              <w:rPr>
                <w:sz w:val="20"/>
                <w:szCs w:val="20"/>
                <w:color w:val="auto"/>
              </w:rPr>
            </w:pPr>
            <w:r>
              <w:rPr>
                <w:rFonts w:ascii="Arial" w:cs="Arial" w:eastAsia="Arial" w:hAnsi="Arial"/>
                <w:sz w:val="18"/>
                <w:szCs w:val="18"/>
                <w:color w:val="auto"/>
              </w:rPr>
              <w:t>Sales reserve</w:t>
            </w:r>
          </w:p>
        </w:tc>
        <w:tc>
          <w:tcPr>
            <w:tcW w:w="140" w:type="dxa"/>
            <w:vAlign w:val="bottom"/>
          </w:tcPr>
          <w:p>
            <w:pPr>
              <w:spacing w:after="0"/>
              <w:rPr>
                <w:sz w:val="18"/>
                <w:szCs w:val="18"/>
                <w:color w:val="auto"/>
              </w:rPr>
            </w:pPr>
          </w:p>
        </w:tc>
        <w:tc>
          <w:tcPr>
            <w:tcW w:w="1100" w:type="dxa"/>
            <w:vAlign w:val="bottom"/>
          </w:tcPr>
          <w:p>
            <w:pPr>
              <w:ind w:left="540"/>
              <w:spacing w:after="0"/>
              <w:rPr>
                <w:sz w:val="20"/>
                <w:szCs w:val="20"/>
                <w:color w:val="auto"/>
              </w:rPr>
            </w:pPr>
            <w:r>
              <w:rPr>
                <w:rFonts w:ascii="Arial" w:cs="Arial" w:eastAsia="Arial" w:hAnsi="Arial"/>
                <w:sz w:val="18"/>
                <w:szCs w:val="18"/>
                <w:color w:val="auto"/>
                <w:w w:val="94"/>
              </w:rPr>
              <w:t>(8,367)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4"/>
              </w:rPr>
              <w:t>(4,584)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8"/>
              </w:rPr>
              <w:t>183,906</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144,850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39,056</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7200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Revenue reportability had a $1.5 million negative impact in the quarter, compared to a $4.6 million negative impact in the prior year comparable period because more sales met the down payment requirement for revenue recognition purposes prior to the end of the current period compared to the prior year comparable period, mainly in our Europe segment. The higher sales reserve is due to the increase in vacation ownership contract sales in the current year quarter.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144,850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39,056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(18,091)</w:t>
            </w:r>
          </w:p>
        </w:tc>
        <w:tc>
          <w:tcPr>
            <w:tcW w:w="1200" w:type="dxa"/>
            <w:vAlign w:val="bottom"/>
            <w:gridSpan w:val="2"/>
          </w:tcPr>
          <w:p>
            <w:pPr>
              <w:jc w:val="right"/>
              <w:ind w:right="19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12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Development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38,949</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26,759</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12,190</w:t>
            </w: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 pts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31" w:lineRule="exact"/>
        <w:rPr>
          <w:sz w:val="20"/>
          <w:szCs w:val="20"/>
          <w:color w:val="auto"/>
        </w:rPr>
      </w:pPr>
    </w:p>
    <w:p>
      <w:pPr>
        <w:ind w:left="1480" w:right="20" w:hanging="446"/>
        <w:spacing w:after="0" w:line="264"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$4.5 million from higher residential contract sales ($5.9 million from the sale of residential inventory in our Asia Pacific segment in the twelve weeks ended March 27, 2015 compared to $1.4 million from the sale of residential inventory in our North America segment in the prior year comparable period);</w:t>
      </w:r>
    </w:p>
    <w:p>
      <w:pPr>
        <w:spacing w:after="0" w:line="86" w:lineRule="exact"/>
        <w:rPr>
          <w:rFonts w:ascii="Arial" w:cs="Arial" w:eastAsia="Arial" w:hAnsi="Arial"/>
          <w:sz w:val="18"/>
          <w:szCs w:val="18"/>
          <w:color w:val="auto"/>
        </w:rPr>
      </w:pPr>
    </w:p>
    <w:p>
      <w:pPr>
        <w:ind w:left="1480" w:right="40" w:hanging="446"/>
        <w:spacing w:after="0" w:line="34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$4.0 million from higher vacation ownership contract sales volume net of lower direct variable expenses (i.e., cost of vacation ownership products and marketing and sales), including $1.6 million from a favorable mix of lower cost real estate inventory being sold;</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 million from higher revenue reportability compared to the prior year comparable period; and</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$1.8 million from higher favorable product cost true-ups, including $1.5 million in our Asia Pacific segment ($2.7 million in the twelve weeks ended March 27, 2015 compared to $0.9 million in the prior year comparable period).</w:t>
      </w:r>
    </w:p>
    <w:p>
      <w:pPr>
        <w:spacing w:after="0" w:line="170" w:lineRule="exact"/>
        <w:rPr>
          <w:sz w:val="20"/>
          <w:szCs w:val="20"/>
          <w:color w:val="auto"/>
        </w:rPr>
      </w:pPr>
    </w:p>
    <w:p>
      <w:pPr>
        <w:ind w:right="180" w:firstLine="685"/>
        <w:spacing w:after="0" w:line="277" w:lineRule="auto"/>
        <w:rPr>
          <w:sz w:val="20"/>
          <w:szCs w:val="20"/>
          <w:color w:val="auto"/>
        </w:rPr>
      </w:pPr>
      <w:r>
        <w:rPr>
          <w:rFonts w:ascii="Arial" w:cs="Arial" w:eastAsia="Arial" w:hAnsi="Arial"/>
          <w:sz w:val="18"/>
          <w:szCs w:val="18"/>
          <w:color w:val="auto"/>
        </w:rPr>
        <w:t>The 2.7 percentage point improvement in the development margin percentage reflected a 1.2 percentage point increase due to the higher favorable product cost true-up activity year-over-year, a 1.1 percentage point increase due to a favorable mix of lower cost</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vacation ownership real estate inventory being sold in the twelve weeks ended March 27, 2015, a 0.9 percentage point increase due to the favorable revenue reportability year-over-year and a 0.6 percentage point increase from the higher North America vacation ownership contract sales and Asia Pacific residential contract sales, both of which have a development margin that is higher than the company-wide average. These improvements were partially offset by a 1.1 percentage point decline due to less efficient marketing and sales spending, primarily in our Europe segment due to an inability to leverage fixed costs on lower sales volumes.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16,783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797</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46,763</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1020" w:type="dxa"/>
            <w:vAlign w:val="bottom"/>
          </w:tcPr>
          <w:p>
            <w:pPr>
              <w:jc w:val="right"/>
              <w:ind w:right="2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63,546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871</w:t>
            </w:r>
          </w:p>
        </w:tc>
        <w:tc>
          <w:tcPr>
            <w:tcW w:w="120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(44,896)</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2,487</w:t>
            </w:r>
          </w:p>
        </w:tc>
        <w:tc>
          <w:tcPr>
            <w:tcW w:w="1200" w:type="dxa"/>
            <w:vAlign w:val="bottom"/>
            <w:gridSpan w:val="2"/>
          </w:tcPr>
          <w:p>
            <w:pPr>
              <w:jc w:val="right"/>
              <w:ind w:right="25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18,650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3,358</w:t>
            </w:r>
          </w:p>
        </w:tc>
        <w:tc>
          <w:tcPr>
            <w:tcW w:w="120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4.9 pts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685"/>
        <w:spacing w:after="0" w:line="273" w:lineRule="auto"/>
        <w:rPr>
          <w:sz w:val="20"/>
          <w:szCs w:val="20"/>
          <w:color w:val="auto"/>
        </w:rPr>
      </w:pPr>
      <w:r>
        <w:rPr>
          <w:rFonts w:ascii="Arial" w:cs="Arial" w:eastAsia="Arial" w:hAnsi="Arial"/>
          <w:sz w:val="17"/>
          <w:szCs w:val="17"/>
          <w:color w:val="auto"/>
        </w:rPr>
        <w:t>The increase in resort management and other services revenues reflected $0.8 million of higher management fees, $0.6 million of additional annual club dues earned in connection with the MVCD program due to the cumulative increase in owners enrolled in the program, $0.6 million of higher fees from external exchange service providers and $1.2 million of higher resales commission and other revenues, partially offset by $2.3 million of lower ancillary revenues. The decrease in ancillary revenues included a $2.8 million decline due to the disposition of certain assets during the prior year, the closure of another ancillary operation during the prior year and outsourcing the operation of a restaurant during the prior year. These declines were partially offset by a $0.5 million increase in ancillary revenues from food and beverage and golf offerings at our other resorts.</w:t>
      </w:r>
    </w:p>
    <w:p>
      <w:pPr>
        <w:spacing w:after="0" w:line="178" w:lineRule="exact"/>
        <w:rPr>
          <w:sz w:val="20"/>
          <w:szCs w:val="20"/>
          <w:color w:val="auto"/>
        </w:rPr>
      </w:pPr>
    </w:p>
    <w:p>
      <w:pPr>
        <w:ind w:right="180" w:firstLine="685"/>
        <w:spacing w:after="0" w:line="286" w:lineRule="auto"/>
        <w:rPr>
          <w:sz w:val="20"/>
          <w:szCs w:val="20"/>
          <w:color w:val="auto"/>
        </w:rPr>
      </w:pPr>
      <w:r>
        <w:rPr>
          <w:rFonts w:ascii="Arial" w:cs="Arial" w:eastAsia="Arial" w:hAnsi="Arial"/>
          <w:sz w:val="17"/>
          <w:szCs w:val="17"/>
          <w:color w:val="auto"/>
        </w:rPr>
        <w:t>The improvement in the resort management and other services margin reflected the increase in revenue, as well as $2.5 million of lower expenses, including $4.1 million of ancillary expense savings from the dispositions, closure and outsourcing noted above, partially offset by $1.6 million of higher ancillary, customer service and MVCD program expenses related to the higher revenues in the twelve weeks ended March 27, 2015.</w:t>
      </w:r>
    </w:p>
    <w:p>
      <w:pPr>
        <w:spacing w:after="0" w:line="270" w:lineRule="exact"/>
        <w:rPr>
          <w:sz w:val="20"/>
          <w:szCs w:val="20"/>
          <w:color w:val="auto"/>
        </w:rPr>
      </w:pPr>
    </w:p>
    <w:p>
      <w:pPr>
        <w:jc w:val="right"/>
        <w:ind w:right="8080"/>
        <w:spacing w:after="0"/>
        <w:rPr>
          <w:sz w:val="20"/>
          <w:szCs w:val="20"/>
          <w:color w:val="auto"/>
        </w:rPr>
      </w:pPr>
      <w:r>
        <w:rPr>
          <w:rFonts w:ascii="Arial" w:cs="Arial" w:eastAsia="Arial" w:hAnsi="Arial"/>
          <w:sz w:val="16"/>
          <w:szCs w:val="16"/>
          <w:b w:val="1"/>
          <w:bCs w:val="1"/>
          <w:color w:val="auto"/>
        </w:rPr>
        <w:t>Financing Revenues, Expenses and Margin</w:t>
      </w:r>
    </w:p>
    <w:p>
      <w:pPr>
        <w:spacing w:after="0" w:line="144" w:lineRule="exact"/>
        <w:rPr>
          <w:sz w:val="20"/>
          <w:szCs w:val="20"/>
          <w:color w:val="auto"/>
        </w:rPr>
      </w:pPr>
    </w:p>
    <w:p>
      <w:pPr>
        <w:jc w:val="right"/>
        <w:ind w:right="802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29,118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0" w:type="dxa"/>
            <w:vAlign w:val="bottom"/>
            <w:gridSpan w:val="2"/>
          </w:tcPr>
          <w:p>
            <w:pPr>
              <w:jc w:val="right"/>
              <w:ind w:right="2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Financing expenses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0" w:type="dxa"/>
            <w:vAlign w:val="bottom"/>
            <w:gridSpan w:val="2"/>
          </w:tcPr>
          <w:p>
            <w:pPr>
              <w:jc w:val="right"/>
              <w:ind w:right="29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604</w:t>
            </w:r>
          </w:p>
        </w:tc>
        <w:tc>
          <w:tcPr>
            <w:tcW w:w="12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18,126</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18,911</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200" w:type="dxa"/>
            <w:vAlign w:val="bottom"/>
            <w:gridSpan w:val="2"/>
          </w:tcPr>
          <w:p>
            <w:pPr>
              <w:jc w:val="right"/>
              <w:ind w:right="23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685"/>
        <w:spacing w:after="0" w:line="264" w:lineRule="auto"/>
        <w:rPr>
          <w:sz w:val="20"/>
          <w:szCs w:val="20"/>
          <w:color w:val="auto"/>
        </w:rPr>
      </w:pPr>
      <w:r>
        <w:rPr>
          <w:rFonts w:ascii="Arial" w:cs="Arial" w:eastAsia="Arial" w:hAnsi="Arial"/>
          <w:sz w:val="18"/>
          <w:szCs w:val="18"/>
          <w:color w:val="auto"/>
        </w:rPr>
        <w:t>The decrease in financing revenues was due to a $67.0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181" w:lineRule="exact"/>
        <w:rPr>
          <w:sz w:val="20"/>
          <w:szCs w:val="20"/>
          <w:color w:val="auto"/>
        </w:rPr>
      </w:pPr>
    </w:p>
    <w:p>
      <w:pPr>
        <w:ind w:firstLine="685"/>
        <w:spacing w:after="0" w:line="276" w:lineRule="auto"/>
        <w:rPr>
          <w:sz w:val="20"/>
          <w:szCs w:val="20"/>
          <w:color w:val="auto"/>
        </w:rPr>
      </w:pPr>
      <w:r>
        <w:rPr>
          <w:rFonts w:ascii="Arial" w:cs="Arial" w:eastAsia="Arial" w:hAnsi="Arial"/>
          <w:sz w:val="17"/>
          <w:szCs w:val="17"/>
          <w:color w:val="auto"/>
        </w:rPr>
        <w:t>The decline in financing margin reflects the lower financing revenues, partially offset by lower consumer financing interest expense and lower financing expenses. The lower consumer financing interest expense was due to a lower average interest rate on the outstanding debt balances ($0.8 million), partially offset by an increase in the outstanding debt balances of securitized vacation ownership notes receivable and associated interest costs ($0.2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63,525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12,674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(945)</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2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Rental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16,041</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6,735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9,306</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138%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 pts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4"/>
                <w:szCs w:val="24"/>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269,131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27,579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212.81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13.34</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pts)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60" w:firstLine="685"/>
        <w:spacing w:after="0" w:line="257" w:lineRule="auto"/>
        <w:rPr>
          <w:sz w:val="20"/>
          <w:szCs w:val="20"/>
          <w:color w:val="auto"/>
        </w:rPr>
      </w:pPr>
      <w:r>
        <w:rPr>
          <w:rFonts w:ascii="Arial" w:cs="Arial" w:eastAsia="Arial" w:hAnsi="Arial"/>
          <w:sz w:val="18"/>
          <w:szCs w:val="18"/>
          <w:color w:val="auto"/>
        </w:rPr>
        <w:t>The increase in rental revenues was due to a company-wide 10 percent increase in transient keys rented ($5.9 million) primarily sourced from a 12 percent increase in available keys, a company-wide 6 percent increase in average transient rate ($3.9 million) driven by stronger consumer demand and a favorable mix of available inventory, $1.2 million of higher plus points revenue (which is recognized upon utilization of plus points for stays at our resorts or upon expiration of the points) and a $1.1 million increase in preview keys. In addition, we had $0.6 million of revenue from the operation of the hotel acquired during the twelve weeks ended March 27, 2015.</w:t>
      </w:r>
    </w:p>
    <w:p>
      <w:pPr>
        <w:spacing w:after="0" w:line="188" w:lineRule="exact"/>
        <w:rPr>
          <w:sz w:val="20"/>
          <w:szCs w:val="20"/>
          <w:color w:val="auto"/>
        </w:rPr>
      </w:pPr>
    </w:p>
    <w:p>
      <w:pPr>
        <w:ind w:right="80" w:firstLine="685"/>
        <w:spacing w:after="0" w:line="286" w:lineRule="auto"/>
        <w:rPr>
          <w:sz w:val="20"/>
          <w:szCs w:val="20"/>
          <w:color w:val="auto"/>
        </w:rPr>
      </w:pPr>
      <w:r>
        <w:rPr>
          <w:rFonts w:ascii="Arial" w:cs="Arial" w:eastAsia="Arial" w:hAnsi="Arial"/>
          <w:sz w:val="17"/>
          <w:szCs w:val="17"/>
          <w:color w:val="auto"/>
        </w:rPr>
        <w:t>The increase in rental margin reflected $8.6 million of higher rental revenues net of direct variable expenses (such as housekeeping), expenses incurred due to owners choosing alternative usage options, and unsold maintenance fees, as well as the $1.2 million increase in plus points revenue, partially offset by a $0.5 million loss from the operation of the hotel acquired during the twelve weeks ended March 27,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Cost reimbursements increased $1.9 million, or 2 percent, over the prior year comparable period, reflecting an increase of $4.5 million due to higher costs and $1.0 million due to additional managed unit weeks in the twelve weeks ended March 27, 2015, partially offset by $2.3 million of lower costs associated with management contracts that were terminated prior to 2015 and a $1.3 million negative impact from foreign exchange rates in our Europe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ind w:right="140" w:firstLine="685"/>
        <w:spacing w:after="0" w:line="277" w:lineRule="auto"/>
        <w:rPr>
          <w:sz w:val="20"/>
          <w:szCs w:val="20"/>
          <w:color w:val="auto"/>
        </w:rPr>
      </w:pPr>
      <w:r>
        <w:rPr>
          <w:rFonts w:ascii="Arial" w:cs="Arial" w:eastAsia="Arial" w:hAnsi="Arial"/>
          <w:sz w:val="18"/>
          <w:szCs w:val="18"/>
          <w:color w:val="auto"/>
        </w:rPr>
        <w:t>General and administrative expenses increased $1.0 million (from $21.8 million to $22.8 million) and were driven by higher personnel related and other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ind w:right="320" w:firstLine="685"/>
        <w:spacing w:after="0" w:line="264" w:lineRule="auto"/>
        <w:rPr>
          <w:sz w:val="20"/>
          <w:szCs w:val="20"/>
          <w:color w:val="auto"/>
        </w:rPr>
      </w:pPr>
      <w:r>
        <w:rPr>
          <w:rFonts w:ascii="Arial" w:cs="Arial" w:eastAsia="Arial" w:hAnsi="Arial"/>
          <w:sz w:val="18"/>
          <w:szCs w:val="18"/>
          <w:color w:val="auto"/>
        </w:rPr>
        <w:t>During the first quarter of 2015, we reversed $0.3 million of an accrual from the sale of The Abaco Club in the Bahamas in the fourth quarter of 2014 because actual costs were lower than expected. See Footnote No. 8, “Contingencies and Commitments,” to our Financial Statements for further information related to this transaction.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ind w:right="20" w:firstLine="685"/>
        <w:spacing w:after="0" w:line="277" w:lineRule="auto"/>
        <w:rPr>
          <w:sz w:val="20"/>
          <w:szCs w:val="20"/>
          <w:color w:val="auto"/>
        </w:rPr>
      </w:pPr>
      <w:r>
        <w:rPr>
          <w:rFonts w:ascii="Arial" w:cs="Arial" w:eastAsia="Arial" w:hAnsi="Arial"/>
          <w:sz w:val="18"/>
          <w:szCs w:val="18"/>
          <w:color w:val="auto"/>
        </w:rPr>
        <w:t>Organizational and separation related expenses, as reflected on our Statements of Income, continued to decline in the first quarter of 2015, with $0.2 million of expenses in the twelve weeks ended March 27, 2015 compared to $0.9 million in the prior year comparable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Interest expense increased $0.9 million (from $2.1 million to $3.0 million) due to $1.3 million of lower capitalized interest costs because fewer projects were under construction than in the prior year comparable period, partially offset by a $0.2 million decline in expense associated with our liability for the Marriott Rewards customer loyalty program under our Marriott Rewards Affiliation Agreement with Marriott International and a $0.2 million decline in other interest expense.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Royalty fee expense decreased $0.4 million in the twelve weeks ended March 25, 2015 (from $13.4 million to $13.0 million), and included $0.5 million of lower costs due to a higher portion of sales of pre-owned inventory, which carries a lower royalty fee as compared to initial sales of our real estate inventory (one percent versus two percent), partially offset by $0.1 million of higher costs due to higher closings in the twelve weeks ended March 27, 2015. Royalty fee expense decreased despite higher sales of our real estate inventory, as the $28.4 million of residential contract sales in our Asia Pacific segment were unbranded and did not require us to pay a royalty fee.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ind w:right="80" w:firstLine="685"/>
        <w:spacing w:after="0" w:line="257" w:lineRule="auto"/>
        <w:rPr>
          <w:sz w:val="20"/>
          <w:szCs w:val="20"/>
          <w:color w:val="auto"/>
        </w:rPr>
      </w:pPr>
      <w:r>
        <w:rPr>
          <w:rFonts w:ascii="Arial" w:cs="Arial" w:eastAsia="Arial" w:hAnsi="Arial"/>
          <w:sz w:val="18"/>
          <w:szCs w:val="18"/>
          <w:color w:val="auto"/>
        </w:rPr>
        <w:t>The decline in gains and other income was due to a lower gain related to the disposition of a golf course and adjacent undeveloped land in Orlando, Florida compared to the prior year comparable period. We disposed of this asset in the first quarter of 2014 and, as a condition of the sale, we continued to operate the golf course through the end of the first quarter of 2015 at our own risk. We utilized the performance of services method to record a gain of $3.1 million over the period during which we operated the golf course, of which $0.9 million was recorded in the twelve weeks ended March 27, 2015 and $1.2 million in the prior year comparable period.</w:t>
      </w:r>
    </w:p>
    <w:p>
      <w:pPr>
        <w:spacing w:after="0" w:line="292" w:lineRule="exact"/>
        <w:rPr>
          <w:sz w:val="20"/>
          <w:szCs w:val="20"/>
          <w:color w:val="auto"/>
        </w:rPr>
      </w:pPr>
    </w:p>
    <w:p>
      <w:pPr>
        <w:jc w:val="right"/>
        <w:ind w:right="8080"/>
        <w:spacing w:after="0"/>
        <w:rPr>
          <w:sz w:val="20"/>
          <w:szCs w:val="20"/>
          <w:color w:val="auto"/>
        </w:rPr>
      </w:pPr>
      <w:r>
        <w:rPr>
          <w:rFonts w:ascii="Arial" w:cs="Arial" w:eastAsia="Arial" w:hAnsi="Arial"/>
          <w:sz w:val="16"/>
          <w:szCs w:val="16"/>
          <w:b w:val="1"/>
          <w:bCs w:val="1"/>
          <w:color w:val="auto"/>
        </w:rPr>
        <w:t>Impairment Charges on Equity Investment</w:t>
      </w:r>
    </w:p>
    <w:p>
      <w:pPr>
        <w:spacing w:after="0" w:line="144" w:lineRule="exact"/>
        <w:rPr>
          <w:sz w:val="20"/>
          <w:szCs w:val="20"/>
          <w:color w:val="auto"/>
        </w:rPr>
      </w:pPr>
    </w:p>
    <w:p>
      <w:pPr>
        <w:jc w:val="right"/>
        <w:ind w:right="802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jc w:val="both"/>
        <w:ind w:right="40" w:firstLine="685"/>
        <w:spacing w:after="0" w:line="264" w:lineRule="auto"/>
        <w:rPr>
          <w:sz w:val="20"/>
          <w:szCs w:val="20"/>
          <w:color w:val="auto"/>
        </w:rPr>
      </w:pPr>
      <w:r>
        <w:rPr>
          <w:rFonts w:ascii="Arial" w:cs="Arial" w:eastAsia="Arial" w:hAnsi="Arial"/>
          <w:sz w:val="18"/>
          <w:szCs w:val="18"/>
          <w:color w:val="auto"/>
        </w:rPr>
        <w:t>During the first quarter of 2014, we recorded a $2.0 million impairment charge to increase our accrual for remaining costs that we expected to incur relating to our interests in an equity method investment in a joint venture project in our North America segment. There were no impairment charges on equity investment in the first quarter of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Our provision for income taxes increased $10.5 million (from $12.8 million to $23.3 million) from the prior year comparable period. The increase was due to higher income in the United States as noted in the discussion of our North America results as well as higher income from the sale of the residential inventory in Macau as noted in the discussion of our Asia-Pacific results.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w:t>
      </w:r>
    </w:p>
    <w:p>
      <w:pPr>
        <w:spacing w:after="0" w:line="121"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that is generally non-recourse to us. Further, we consider consumer financing interest expense to be an operating expense of our business.</w:t>
      </w:r>
    </w:p>
    <w:p>
      <w:pPr>
        <w:spacing w:after="0" w:line="188" w:lineRule="exact"/>
        <w:rPr>
          <w:sz w:val="20"/>
          <w:szCs w:val="20"/>
          <w:color w:val="auto"/>
        </w:rPr>
      </w:pPr>
    </w:p>
    <w:p>
      <w:pPr>
        <w:ind w:right="80" w:firstLine="685"/>
        <w:spacing w:after="0" w:line="290" w:lineRule="auto"/>
        <w:rPr>
          <w:sz w:val="20"/>
          <w:szCs w:val="20"/>
          <w:color w:val="auto"/>
        </w:rPr>
      </w:pPr>
      <w:r>
        <w:rPr>
          <w:rFonts w:ascii="Arial" w:cs="Arial" w:eastAsia="Arial" w:hAnsi="Arial"/>
          <w:sz w:val="16"/>
          <w:szCs w:val="16"/>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66" w:lineRule="exact"/>
        <w:rPr>
          <w:sz w:val="20"/>
          <w:szCs w:val="20"/>
          <w:color w:val="auto"/>
        </w:rPr>
      </w:pPr>
    </w:p>
    <w:p>
      <w:pPr>
        <w:ind w:right="60" w:firstLine="685"/>
        <w:spacing w:after="0" w:line="286" w:lineRule="auto"/>
        <w:rPr>
          <w:sz w:val="20"/>
          <w:szCs w:val="20"/>
          <w:color w:val="auto"/>
        </w:rPr>
      </w:pPr>
      <w:r>
        <w:rPr>
          <w:rFonts w:ascii="Arial" w:cs="Arial" w:eastAsia="Arial" w:hAnsi="Arial"/>
          <w:sz w:val="17"/>
          <w:szCs w:val="17"/>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640" w:type="dxa"/>
            <w:vAlign w:val="bottom"/>
            <w:gridSpan w:val="5"/>
          </w:tcPr>
          <w:p>
            <w:pPr>
              <w:ind w:left="5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2"/>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720" w:firstLine="685"/>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See Footnote No. 14, “Business Segments,” to our Financial Statements for further information on our segments.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27, 2015, we operated the following 59 properties by segment: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060" w:type="dxa"/>
            <w:vAlign w:val="bottom"/>
          </w:tcPr>
          <w:p>
            <w:pPr>
              <w:jc w:val="right"/>
              <w:ind w:right="254"/>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2"/>
                <w:szCs w:val="12"/>
                <w:b w:val="1"/>
                <w:bCs w:val="1"/>
                <w:color w:val="auto"/>
              </w:rPr>
              <w:t>(1)</w:t>
            </w:r>
          </w:p>
        </w:tc>
        <w:tc>
          <w:tcPr>
            <w:tcW w:w="680" w:type="dxa"/>
            <w:vAlign w:val="bottom"/>
          </w:tcPr>
          <w:p>
            <w:pPr>
              <w:spacing w:after="0"/>
              <w:rPr>
                <w:sz w:val="14"/>
                <w:szCs w:val="14"/>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Non-U.S.</w:t>
            </w:r>
          </w:p>
        </w:tc>
        <w:tc>
          <w:tcPr>
            <w:tcW w:w="70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r>
              <w:rPr>
                <w:rFonts w:ascii="Arial" w:cs="Arial" w:eastAsia="Arial" w:hAnsi="Arial"/>
                <w:sz w:val="15"/>
                <w:szCs w:val="15"/>
                <w:color w:val="auto"/>
              </w:rPr>
              <w:t>(2)</w:t>
            </w:r>
          </w:p>
        </w:tc>
        <w:tc>
          <w:tcPr>
            <w:tcW w:w="10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46</w:t>
            </w:r>
          </w:p>
        </w:tc>
        <w:tc>
          <w:tcPr>
            <w:tcW w:w="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5</w:t>
            </w:r>
          </w:p>
        </w:tc>
        <w:tc>
          <w:tcPr>
            <w:tcW w:w="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Europe</w:t>
            </w:r>
          </w:p>
        </w:tc>
        <w:tc>
          <w:tcPr>
            <w:tcW w:w="106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76"/>
              <w:spacing w:after="0"/>
              <w:rPr>
                <w:sz w:val="20"/>
                <w:szCs w:val="20"/>
                <w:color w:val="auto"/>
              </w:rPr>
            </w:pPr>
            <w:r>
              <w:rPr>
                <w:rFonts w:ascii="Arial" w:cs="Arial" w:eastAsia="Arial" w:hAnsi="Arial"/>
                <w:sz w:val="18"/>
                <w:szCs w:val="18"/>
                <w:color w:val="auto"/>
              </w:rPr>
              <w:t>5</w:t>
            </w:r>
          </w:p>
        </w:tc>
        <w:tc>
          <w:tcPr>
            <w:tcW w:w="1580" w:type="dxa"/>
            <w:vAlign w:val="bottom"/>
            <w:gridSpan w:val="2"/>
          </w:tcPr>
          <w:p>
            <w:pPr>
              <w:jc w:val="right"/>
              <w:ind w:right="27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3</w:t>
            </w:r>
          </w:p>
        </w:tc>
        <w:tc>
          <w:tcPr>
            <w:tcW w:w="158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7200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1360" w:hanging="447"/>
        <w:spacing w:after="0"/>
        <w:tabs>
          <w:tab w:leader="none" w:pos="13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Includes properties located in the 48 contiguous states, Hawaii and Alaska.</w:t>
      </w:r>
    </w:p>
    <w:p>
      <w:pPr>
        <w:spacing w:after="0" w:line="23" w:lineRule="exact"/>
        <w:rPr>
          <w:rFonts w:ascii="Arial" w:cs="Arial" w:eastAsia="Arial" w:hAnsi="Arial"/>
          <w:sz w:val="15"/>
          <w:szCs w:val="15"/>
          <w:color w:val="auto"/>
        </w:rPr>
      </w:pPr>
    </w:p>
    <w:p>
      <w:pPr>
        <w:ind w:left="1360" w:right="180" w:hanging="447"/>
        <w:spacing w:after="0" w:line="290"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7"/>
          <w:szCs w:val="17"/>
          <w:color w:val="auto"/>
        </w:rPr>
        <w:t>Includes an operating hotel in San Diego, California that was acquired during the first quarter of 2015, which is operated by a third party, that we intend to convert into vacation ownership interests for future use in our MVCD program in the near term.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right="420" w:firstLine="685"/>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weeks ended March 27, 2015, compared to the twelve weeks ended March 28, 2014.</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3300" w:type="dxa"/>
            <w:vAlign w:val="bottom"/>
            <w:gridSpan w:val="5"/>
          </w:tcPr>
          <w:p>
            <w:pPr>
              <w:ind w:left="8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8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2"/>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141,728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131,342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58,575</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27,056</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28,561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71,715</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59,323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92,854</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89,943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391,928</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366,329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40,501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69,017</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62,687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36,968</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54,611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51,037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14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139</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1,260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92,854</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89,943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295,088</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285,955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1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880</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rPr>
              <w:t>Impairment charges on equity investment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97,736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79,655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155,993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140,177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15,816</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2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Total contract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155,993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146,503</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9,490</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The increase in vacation ownership contract sales in our North America segment reflected a $12.6 million increase in sales at on-site sales locations, a $1.9 million increase in fractional sales as we continue to sell through remaining luxury inventory, and a $1.3 million increase in sales at off-site (non tour-based) sales locations. The increase in sales at on-site sales locations reflected a 5 percent increase in VPG to $3,640 in the twelve weeks ended March 27, 2015 from $3,477 in the prior year comparable period and a 5 percent increase in the number of tours. The increase in VPG was due to a 0.8 percentage point increase in closing efficiency and higher pricing, partially offset by a decrease in the number of points sold per contract due to the increase in sales to existing owners in the current period. The increase in the number of tours was driven by an increase in existing owner tours. During the twelve weeks ended</w:t>
      </w:r>
    </w:p>
    <w:p>
      <w:pPr>
        <w:spacing w:after="0" w:line="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March 27, 2015, we announced enhancements to our owner recognition levels that created a near-term incentive for existing owners to purchase additional points.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155,993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146,503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9,490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Reportability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(3,444)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720"/>
              <w:spacing w:after="0"/>
              <w:rPr>
                <w:sz w:val="20"/>
                <w:szCs w:val="20"/>
                <w:color w:val="auto"/>
              </w:rPr>
            </w:pPr>
            <w:r>
              <w:rPr>
                <w:rFonts w:ascii="Arial" w:cs="Arial" w:eastAsia="Arial" w:hAnsi="Arial"/>
                <w:sz w:val="18"/>
                <w:szCs w:val="18"/>
                <w:color w:val="auto"/>
              </w:rPr>
              <w:t>Sales reserve</w:t>
            </w:r>
          </w:p>
        </w:tc>
        <w:tc>
          <w:tcPr>
            <w:tcW w:w="140" w:type="dxa"/>
            <w:vAlign w:val="bottom"/>
          </w:tcPr>
          <w:p>
            <w:pPr>
              <w:spacing w:after="0"/>
              <w:rPr>
                <w:sz w:val="18"/>
                <w:szCs w:val="18"/>
                <w:color w:val="auto"/>
              </w:rPr>
            </w:pPr>
          </w:p>
        </w:tc>
        <w:tc>
          <w:tcPr>
            <w:tcW w:w="1100" w:type="dxa"/>
            <w:vAlign w:val="bottom"/>
          </w:tcPr>
          <w:p>
            <w:pPr>
              <w:ind w:left="540"/>
              <w:spacing w:after="0"/>
              <w:rPr>
                <w:sz w:val="20"/>
                <w:szCs w:val="20"/>
                <w:color w:val="auto"/>
              </w:rPr>
            </w:pPr>
            <w:r>
              <w:rPr>
                <w:rFonts w:ascii="Arial" w:cs="Arial" w:eastAsia="Arial" w:hAnsi="Arial"/>
                <w:sz w:val="18"/>
                <w:szCs w:val="18"/>
                <w:color w:val="auto"/>
                <w:w w:val="94"/>
              </w:rPr>
              <w:t>(6,334)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4"/>
              </w:rPr>
              <w:t>(4,487)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8"/>
              </w:rPr>
              <w:t>141,728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131,342</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10,386</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7200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Revenue reportability had a $3.4 million negative impact in the quarter, compared to a $4.4 million negative impact in the prior year comparable period because fewer sales were in the rescission period at the end of the twelve weeks ended March 27, 2015 compared to the prior year comparable period. Although the sales reserve is unchanged from the prior year comparable period, it reflects an increase due to the higher contract sales and an offsetting decrease due to lower estimated default activity compared to the prior year comparable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2"/>
              </w:rPr>
              <w:t>March 28, 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131,342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1,004</w:t>
            </w:r>
          </w:p>
        </w:tc>
        <w:tc>
          <w:tcPr>
            <w:tcW w:w="11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4"/>
              </w:rPr>
              <w:t>(6,330)</w:t>
            </w:r>
          </w:p>
        </w:tc>
        <w:tc>
          <w:tcPr>
            <w:tcW w:w="11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Development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32,210</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27,150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114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2.0 pts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31" w:lineRule="exact"/>
        <w:rPr>
          <w:sz w:val="20"/>
          <w:szCs w:val="20"/>
          <w:color w:val="auto"/>
        </w:rPr>
      </w:pPr>
    </w:p>
    <w:p>
      <w:pPr>
        <w:ind w:left="1480" w:hanging="446"/>
        <w:spacing w:after="0" w:line="342" w:lineRule="auto"/>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$5.8 million from higher vacation ownership contract sales volume net of lower direct variable expenses (i.e., cost of vacation ownership products and marketing and sales), including $1.5 million from a favorable mix of lower cost real estate inventory being sold;</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$0.5 million from higher revenue reportability compared to the prior year comparable period; and</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$0.2 million from higher favorable product cost true-ups ($1.0 million in the twelve weeks ended March 27, 2015 compared to $0.8 million in the prior year comparable period).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increases were partially offset by $1.4 million lower residential contract sales.</w:t>
      </w:r>
    </w:p>
    <w:p>
      <w:pPr>
        <w:spacing w:after="0" w:line="225" w:lineRule="exact"/>
        <w:rPr>
          <w:sz w:val="20"/>
          <w:szCs w:val="20"/>
          <w:color w:val="auto"/>
        </w:rPr>
      </w:pPr>
    </w:p>
    <w:p>
      <w:pPr>
        <w:jc w:val="both"/>
        <w:ind w:right="160" w:firstLine="685"/>
        <w:spacing w:after="0" w:line="302" w:lineRule="auto"/>
        <w:rPr>
          <w:sz w:val="20"/>
          <w:szCs w:val="20"/>
          <w:color w:val="auto"/>
        </w:rPr>
      </w:pPr>
      <w:r>
        <w:rPr>
          <w:rFonts w:ascii="Arial" w:cs="Arial" w:eastAsia="Arial" w:hAnsi="Arial"/>
          <w:sz w:val="16"/>
          <w:szCs w:val="16"/>
          <w:color w:val="auto"/>
        </w:rPr>
        <w:t>The 2.0 percentage point improvement in the development margin percentage reflected a 1.1 percentage point increase due to a favorable mix of lower cost vacation ownership real estate inventory being sold in the twelve weeks ended March 27, 2015, a 0.5 percentage point increase from the higher vacation ownership contract sales and more efficient marketing and sales spending, a 0.2 percentage point increase due to the higher favorable product cost true-up activity year-over-year, and a 0.2 percentage point increase due to the favorable revenue reportability year-over-year.</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43,007</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465</w:t>
            </w:r>
          </w:p>
        </w:tc>
        <w:tc>
          <w:tcPr>
            <w:tcW w:w="11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1,415</w:t>
            </w:r>
          </w:p>
        </w:tc>
        <w:tc>
          <w:tcPr>
            <w:tcW w:w="11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(36,968)</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2,121</w:t>
            </w:r>
          </w:p>
        </w:tc>
        <w:tc>
          <w:tcPr>
            <w:tcW w:w="11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3,536</w:t>
            </w:r>
          </w:p>
        </w:tc>
        <w:tc>
          <w:tcPr>
            <w:tcW w:w="11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5.3 pts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685"/>
        <w:spacing w:after="0" w:line="273" w:lineRule="auto"/>
        <w:rPr>
          <w:sz w:val="20"/>
          <w:szCs w:val="20"/>
          <w:color w:val="auto"/>
        </w:rPr>
      </w:pPr>
      <w:r>
        <w:rPr>
          <w:rFonts w:ascii="Arial" w:cs="Arial" w:eastAsia="Arial" w:hAnsi="Arial"/>
          <w:sz w:val="17"/>
          <w:szCs w:val="17"/>
          <w:color w:val="auto"/>
        </w:rPr>
        <w:t>The increase in resort management and other services revenues reflected nearly $1.0 million of higher management fees, $0.6 million of additional annual club dues earned in connection with the MVCD program due to the cumulative increase in owners enrolled in the program, $0.5 million of higher fees from external exchange service providers and $1.3 million of higher resales commission and other revenues, partially offset by $2.0 million of lower ancillary revenues. The decrease in ancillary revenues included a $2.8 million decline due to the disposition of certain assets during the prior year, the closure of another ancillary operation during the prior year and outsourcing the operation of a restaurant during the prior year. These declines were partially offset by a $0.8 million increase in ancillary revenues from food and beverage and golf offerings at our other resorts.</w:t>
      </w:r>
    </w:p>
    <w:p>
      <w:pPr>
        <w:spacing w:after="0" w:line="178" w:lineRule="exact"/>
        <w:rPr>
          <w:sz w:val="20"/>
          <w:szCs w:val="20"/>
          <w:color w:val="auto"/>
        </w:rPr>
      </w:pPr>
    </w:p>
    <w:p>
      <w:pPr>
        <w:ind w:right="160" w:firstLine="685"/>
        <w:spacing w:after="0" w:line="286" w:lineRule="auto"/>
        <w:rPr>
          <w:sz w:val="20"/>
          <w:szCs w:val="20"/>
          <w:color w:val="auto"/>
        </w:rPr>
      </w:pPr>
      <w:r>
        <w:rPr>
          <w:rFonts w:ascii="Arial" w:cs="Arial" w:eastAsia="Arial" w:hAnsi="Arial"/>
          <w:sz w:val="17"/>
          <w:szCs w:val="17"/>
          <w:color w:val="auto"/>
        </w:rPr>
        <w:t>The improvement in the resort management and other services margin reflected the increase in revenue, as well as $2.1 million of lower expenses, including $4.1 million of ancillary expense savings from the dispositions, closure and outsourcing noted above partially offset by $2.0 million of higher ancillary, customer service and MVCD program expenses related to the higher revenues in the twelve weeks ended March 27, 2015.</w:t>
      </w:r>
    </w:p>
    <w:p>
      <w:pPr>
        <w:spacing w:after="0" w:line="270" w:lineRule="exact"/>
        <w:rPr>
          <w:sz w:val="20"/>
          <w:szCs w:val="20"/>
          <w:color w:val="auto"/>
        </w:rPr>
      </w:pPr>
    </w:p>
    <w:p>
      <w:pPr>
        <w:jc w:val="right"/>
        <w:ind w:right="8060"/>
        <w:spacing w:after="0"/>
        <w:rPr>
          <w:sz w:val="20"/>
          <w:szCs w:val="20"/>
          <w:color w:val="auto"/>
        </w:rPr>
      </w:pPr>
      <w:r>
        <w:rPr>
          <w:rFonts w:ascii="Arial" w:cs="Arial" w:eastAsia="Arial" w:hAnsi="Arial"/>
          <w:sz w:val="16"/>
          <w:szCs w:val="16"/>
          <w:b w:val="1"/>
          <w:bCs w:val="1"/>
          <w:color w:val="auto"/>
        </w:rPr>
        <w:t>Financing Revenues, Expenses and Margin</w:t>
      </w:r>
    </w:p>
    <w:p>
      <w:pPr>
        <w:spacing w:after="0" w:line="144" w:lineRule="exact"/>
        <w:rPr>
          <w:sz w:val="20"/>
          <w:szCs w:val="20"/>
          <w:color w:val="auto"/>
        </w:rPr>
      </w:pPr>
    </w:p>
    <w:p>
      <w:pPr>
        <w:jc w:val="right"/>
        <w:ind w:right="80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27,087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1,474</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28,561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685"/>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80" w:type="dxa"/>
            <w:vAlign w:val="bottom"/>
            <w:tcBorders>
              <w:bottom w:val="single" w:sz="8" w:color="CCEEFF"/>
            </w:tcBorders>
            <w:vMerge w:val="continue"/>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59,323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12,392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(1,332)</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1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(890)</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2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Rental margin</w:t>
            </w:r>
          </w:p>
        </w:tc>
        <w:tc>
          <w:tcPr>
            <w:tcW w:w="1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17,104</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8,286</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8,818</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 pts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27, 2015</w:t>
            </w:r>
          </w:p>
        </w:tc>
        <w:tc>
          <w:tcPr>
            <w:tcW w:w="140" w:type="dxa"/>
            <w:vAlign w:val="bottom"/>
          </w:tcPr>
          <w:p>
            <w:pPr>
              <w:spacing w:after="0"/>
              <w:rPr>
                <w:sz w:val="12"/>
                <w:szCs w:val="12"/>
                <w:color w:val="auto"/>
              </w:rPr>
            </w:pPr>
          </w:p>
        </w:tc>
        <w:tc>
          <w:tcPr>
            <w:tcW w:w="11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279,761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252,066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226.03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212.28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13.75</w:t>
            </w:r>
          </w:p>
        </w:tc>
        <w:tc>
          <w:tcPr>
            <w:tcW w:w="180" w:type="dxa"/>
            <w:vAlign w:val="bottom"/>
          </w:tcPr>
          <w:p>
            <w:pPr>
              <w:spacing w:after="0"/>
              <w:rPr>
                <w:sz w:val="18"/>
                <w:szCs w:val="18"/>
                <w:color w:val="auto"/>
              </w:rPr>
            </w:pPr>
          </w:p>
        </w:tc>
        <w:tc>
          <w:tcPr>
            <w:tcW w:w="1020" w:type="dxa"/>
            <w:vAlign w:val="bottom"/>
          </w:tcPr>
          <w:p>
            <w:pPr>
              <w:jc w:val="right"/>
              <w:ind w:right="29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(0.6 pts)</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The increase in rental revenues was due to an 11 percent increase in transient keys rented ($5.9 million) primarily sourced from a 12 percent increase in available keys, a 6 percent increase in average transient rate ($3.8 million) driven by stronger consumer demand and a favorable mix of available inventory, $1.2 million of higher plus points revenue (which is recognized upon utilization of plus points for stays at our resorts or upon expiration of the points) and a $0.8 million increase in preview keys. In addition, we had $0.6 million of revenue from the operation of the hotel acquired during the twelve weeks ended March 27, 2015.</w:t>
      </w:r>
    </w:p>
    <w:p>
      <w:pPr>
        <w:spacing w:after="0" w:line="188" w:lineRule="exact"/>
        <w:rPr>
          <w:sz w:val="20"/>
          <w:szCs w:val="20"/>
          <w:color w:val="auto"/>
        </w:rPr>
      </w:pPr>
    </w:p>
    <w:p>
      <w:pPr>
        <w:ind w:firstLine="685"/>
        <w:spacing w:after="0" w:line="286" w:lineRule="auto"/>
        <w:rPr>
          <w:sz w:val="20"/>
          <w:szCs w:val="20"/>
          <w:color w:val="auto"/>
        </w:rPr>
      </w:pPr>
      <w:r>
        <w:rPr>
          <w:rFonts w:ascii="Arial" w:cs="Arial" w:eastAsia="Arial" w:hAnsi="Arial"/>
          <w:sz w:val="17"/>
          <w:szCs w:val="17"/>
          <w:color w:val="auto"/>
        </w:rPr>
        <w:t>The increase in rental margin reflected $8.1 million of higher rental revenues net of direct variable expenses (such as housekeeping), expenses incurred due to owners choosing alternative usage options, and unsold maintenance fees, as well as the $1.2 million increase in plus points revenue, partially offset by a $0.5 million loss from the operation of the hotel acquired during the twelve weeks ended March 27,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640" w:type="dxa"/>
            <w:vAlign w:val="bottom"/>
            <w:gridSpan w:val="5"/>
          </w:tcPr>
          <w:p>
            <w:pPr>
              <w:ind w:left="5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2"/>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685"/>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Twelve Weeks Ended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6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7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w:t>
            </w:r>
          </w:p>
        </w:tc>
        <w:tc>
          <w:tcPr>
            <w:tcW w:w="6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700" w:type="dxa"/>
            <w:vAlign w:val="bottom"/>
            <w:gridSpan w:val="2"/>
          </w:tcPr>
          <w:p>
            <w:pPr>
              <w:jc w:val="center"/>
              <w:ind w:left="590"/>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70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vMerge w:val="restart"/>
          </w:tcPr>
          <w:p>
            <w:pPr>
              <w:jc w:val="right"/>
              <w:ind w:right="390"/>
              <w:spacing w:after="0"/>
              <w:rPr>
                <w:sz w:val="20"/>
                <w:szCs w:val="20"/>
                <w:color w:val="auto"/>
              </w:rPr>
            </w:pPr>
            <w:r>
              <w:rPr>
                <w:rFonts w:ascii="Arial" w:cs="Arial" w:eastAsia="Arial" w:hAnsi="Arial"/>
                <w:sz w:val="18"/>
                <w:szCs w:val="18"/>
                <w:color w:val="auto"/>
                <w:w w:val="99"/>
              </w:rPr>
              <w:t>36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685"/>
        <w:spacing w:after="0" w:line="264" w:lineRule="auto"/>
        <w:rPr>
          <w:sz w:val="20"/>
          <w:szCs w:val="20"/>
          <w:color w:val="auto"/>
        </w:rPr>
      </w:pPr>
      <w:r>
        <w:rPr>
          <w:rFonts w:ascii="Arial" w:cs="Arial" w:eastAsia="Arial" w:hAnsi="Arial"/>
          <w:sz w:val="18"/>
          <w:szCs w:val="18"/>
          <w:color w:val="auto"/>
        </w:rPr>
        <w:t>The decrease in contract sales was driven by $2.0 million of lower sales from our Middle East sales location due to large multi-week purchases in the prior year comparable period that did not recur in the current period and higher cancellations in the current period, as well as $0.6 million of lower sales across the other sites and $0.6 million of lower fractional sales.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Reportability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540"/>
              <w:spacing w:after="0"/>
              <w:rPr>
                <w:sz w:val="20"/>
                <w:szCs w:val="20"/>
                <w:color w:val="auto"/>
              </w:rPr>
            </w:pPr>
            <w:r>
              <w:rPr>
                <w:rFonts w:ascii="Arial" w:cs="Arial" w:eastAsia="Arial" w:hAnsi="Arial"/>
                <w:sz w:val="18"/>
                <w:szCs w:val="18"/>
                <w:color w:val="auto"/>
              </w:rPr>
              <w:t>Sales reserve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7,240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7200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firstLine="685"/>
        <w:spacing w:after="0" w:line="312" w:lineRule="auto"/>
        <w:rPr>
          <w:sz w:val="20"/>
          <w:szCs w:val="20"/>
          <w:color w:val="auto"/>
        </w:rPr>
      </w:pPr>
      <w:r>
        <w:rPr>
          <w:rFonts w:ascii="Arial" w:cs="Arial" w:eastAsia="Arial" w:hAnsi="Arial"/>
          <w:sz w:val="16"/>
          <w:szCs w:val="16"/>
          <w:color w:val="auto"/>
        </w:rPr>
        <w:t>Revenue reportability had a $1.8 million positive impact in the quarter, compared to a $0.1 million negative impact in the prior year comparable period because more sales met the down payment requirement for revenue recognition purposes prior to the end of the current period compared to the prior year comparable period. The increase in the sales reserve is due to an increase in the estimated default activity compared to the prior year comparable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41%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Development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(136%)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pts)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685"/>
        <w:spacing w:after="0" w:line="259" w:lineRule="auto"/>
        <w:rPr>
          <w:sz w:val="20"/>
          <w:szCs w:val="20"/>
          <w:color w:val="auto"/>
        </w:rPr>
      </w:pPr>
      <w:r>
        <w:rPr>
          <w:rFonts w:ascii="Arial" w:cs="Arial" w:eastAsia="Arial" w:hAnsi="Arial"/>
          <w:sz w:val="18"/>
          <w:szCs w:val="18"/>
          <w:color w:val="auto"/>
        </w:rPr>
        <w:t>The decrease in development margin reflected $2.7 million from the lower vacation ownership contract sales volume net of higher direct variable expenses (i.e., cost of vacation ownership products and marketing and sales) due in part to less efficient marketing and sales spending at our existing sales locations due to an inability to leverage fixed costs on lower sales volumes, partially offset by $1.3 million from the higher revenue reportability year-over-year.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640" w:type="dxa"/>
            <w:vAlign w:val="bottom"/>
            <w:gridSpan w:val="5"/>
          </w:tcPr>
          <w:p>
            <w:pPr>
              <w:ind w:left="5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2"/>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36,278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685"/>
        <w:spacing w:after="0" w:line="297" w:lineRule="auto"/>
        <w:rPr>
          <w:sz w:val="20"/>
          <w:szCs w:val="20"/>
          <w:color w:val="auto"/>
        </w:rPr>
      </w:pPr>
      <w:r>
        <w:rPr>
          <w:rFonts w:ascii="Arial" w:cs="Arial" w:eastAsia="Arial" w:hAnsi="Arial"/>
          <w:sz w:val="16"/>
          <w:szCs w:val="16"/>
          <w:color w:val="auto"/>
        </w:rPr>
        <w:t>In our Asia Pacific segment, we continue to identify opportunities for development margin improvement. Our on-site sales locations are more efficient sales channels than our off-site sales locations and we plan to focus on future inventory acquisitions with strong on-site sales locations. 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We expect to reinvest the proceeds from the disposition in new timeshare destinations in the region with strong on-site sales locations.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2,036</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Total contract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37,079</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30,456</w:t>
            </w:r>
          </w:p>
        </w:tc>
        <w:tc>
          <w:tcPr>
            <w:tcW w:w="1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The increase in vacation ownership contract sales reflected a $704 increase in VPG and a 5.5 percent increase in the number of tours, both of which were impacted in the prior year comparable period by the increase in the cancellations rate due to changes in the Singapore timeshare regulations and continued political turmoil in Thailand.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$28.4 million of residential contract sales was from the disposition of the Macau inventory discussed above.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30,456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Reportability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540"/>
              <w:spacing w:after="0"/>
              <w:rPr>
                <w:sz w:val="20"/>
                <w:szCs w:val="20"/>
                <w:color w:val="auto"/>
              </w:rPr>
            </w:pPr>
            <w:r>
              <w:rPr>
                <w:rFonts w:ascii="Arial" w:cs="Arial" w:eastAsia="Arial" w:hAnsi="Arial"/>
                <w:sz w:val="18"/>
                <w:szCs w:val="18"/>
                <w:color w:val="auto"/>
              </w:rPr>
              <w:t>Sales reserve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6,268</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30,010</w:t>
            </w:r>
          </w:p>
        </w:tc>
        <w:tc>
          <w:tcPr>
            <w:tcW w:w="1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720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180" w:firstLine="685"/>
        <w:spacing w:after="0" w:line="277" w:lineRule="auto"/>
        <w:rPr>
          <w:sz w:val="20"/>
          <w:szCs w:val="20"/>
          <w:color w:val="auto"/>
        </w:rPr>
      </w:pPr>
      <w:r>
        <w:rPr>
          <w:rFonts w:ascii="Arial" w:cs="Arial" w:eastAsia="Arial" w:hAnsi="Arial"/>
          <w:sz w:val="18"/>
          <w:szCs w:val="18"/>
          <w:color w:val="auto"/>
        </w:rPr>
        <w:t>The increase in the sales reserve is due to an increase in the estimated default activity compared to the prior year comparable period as well as the increase in vacation ownership contract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88"/>
              </w:rPr>
              <w:t>6,268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30,010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393"/>
              <w:spacing w:after="0"/>
              <w:rPr>
                <w:sz w:val="20"/>
                <w:szCs w:val="20"/>
                <w:color w:val="auto"/>
              </w:rPr>
            </w:pPr>
            <w:r>
              <w:rPr>
                <w:rFonts w:ascii="Arial" w:cs="Arial" w:eastAsia="Arial" w:hAnsi="Arial"/>
                <w:sz w:val="18"/>
                <w:szCs w:val="18"/>
                <w:color w:val="auto"/>
                <w:w w:val="94"/>
              </w:rPr>
              <w:t>(1,453)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(20,543)</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94"/>
              </w:rPr>
              <w:t>(3,778)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5"/>
              </w:rPr>
              <w:t>(47%)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Development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88"/>
              </w:rPr>
              <w:t>1,037</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7,688</w:t>
            </w:r>
          </w:p>
        </w:tc>
        <w:tc>
          <w:tcPr>
            <w:tcW w:w="1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7.6 pts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85"/>
        <w:spacing w:after="0" w:line="257" w:lineRule="auto"/>
        <w:rPr>
          <w:sz w:val="20"/>
          <w:szCs w:val="20"/>
          <w:color w:val="auto"/>
        </w:rPr>
      </w:pPr>
      <w:r>
        <w:rPr>
          <w:rFonts w:ascii="Arial" w:cs="Arial" w:eastAsia="Arial" w:hAnsi="Arial"/>
          <w:sz w:val="18"/>
          <w:szCs w:val="18"/>
          <w:color w:val="auto"/>
        </w:rPr>
        <w:t>The increase in development margin reflected $5.9 million from the residential contract sales, $1.5 million from higher favorable product cost true-ups ($1.5 million in the twelve weeks ended March 27, 2015 compared to $0 in the prior year comparable period), and $0.7 million from the higher sales volume net of direct variable expenses (i.e., cost of vacation ownership products and marketing and sales), and included more efficient marketing and sales spending at our existing sales locations due to leveraging fixed costs on higher sales volumes. These increases were partially offset by $0.4 million from the increase in the sales reserve.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640" w:type="dxa"/>
            <w:vAlign w:val="bottom"/>
            <w:gridSpan w:val="5"/>
          </w:tcPr>
          <w:p>
            <w:pPr>
              <w:ind w:left="5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2"/>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Organizational and separation related</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Royalty fee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685"/>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and the fixed royalty fee payable under the license agreements that we entered into with Marriott International in connection with the Spin-Off, as well as consumer financing interest expense.</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Twelve Weeks Ended March 27, 2015</w:t>
      </w:r>
    </w:p>
    <w:p>
      <w:pPr>
        <w:spacing w:after="0" w:line="117"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Total expenses decreased $1.5 million from the prior year comparable period. The $1.5 million decrease resulted from $0.9 million of lower cost of vacation ownership products expenses due to lower pre-development spending associated with potential acquisitions and lower other expenses, $0.8 million of lower organizational and separation related expenses due to the completion of many of the initiatives relating to our separation from Marriott International, $0.6 million of lower consumer financing interest expense and $0.2 million of lower financing expenses, partially offset by nearly $1.0 million of higher general and administrative expenses.</w:t>
      </w:r>
    </w:p>
    <w:p>
      <w:pPr>
        <w:sectPr>
          <w:pgSz w:w="11900" w:h="16838" w:orient="portrait"/>
          <w:cols w:equalWidth="0" w:num="1">
            <w:col w:w="11360"/>
          </w:cols>
          <w:pgMar w:left="240" w:top="459" w:right="299" w:bottom="1440" w:gutter="0" w:footer="0" w:header="0"/>
        </w:sectPr>
      </w:pP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60"/>
          </w:cols>
          <w:pgMar w:left="240" w:top="459" w:right="2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685"/>
        <w:spacing w:after="0" w:line="302" w:lineRule="auto"/>
        <w:rPr>
          <w:sz w:val="20"/>
          <w:szCs w:val="20"/>
          <w:color w:val="auto"/>
        </w:rPr>
      </w:pPr>
      <w:r>
        <w:rPr>
          <w:rFonts w:ascii="Arial" w:cs="Arial" w:eastAsia="Arial" w:hAnsi="Arial"/>
          <w:sz w:val="16"/>
          <w:szCs w:val="16"/>
          <w:color w:val="auto"/>
        </w:rPr>
        <w:t>The $0.6 million decline in consumer financing interest expense was due to a lower average interest rate on the outstanding debt balances ($0.8 million), partially offset by an increase in the outstanding debt balances of securitized vacation ownership notes receivable and associated interest costs ($0.2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54"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General and administrative expenses increased $1.0 million (from $21.8 million to $22.8 million) and were driven by higher personnel related and other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40" w:firstLine="685"/>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685"/>
        <w:spacing w:after="0" w:line="272" w:lineRule="auto"/>
        <w:rPr>
          <w:sz w:val="20"/>
          <w:szCs w:val="20"/>
          <w:color w:val="auto"/>
        </w:rPr>
      </w:pPr>
      <w:r>
        <w:rPr>
          <w:rFonts w:ascii="Arial" w:cs="Arial" w:eastAsia="Arial" w:hAnsi="Arial"/>
          <w:sz w:val="17"/>
          <w:szCs w:val="17"/>
          <w:color w:val="auto"/>
        </w:rPr>
        <w:t>Our capital needs are supported by cash on hand ($272.2 million at the end of the first quarter of 2015),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and fulfill other cash requirements. At the end of the first quarter of 2015, $629.2 million of the $632.6 million of total gross debt outstanding was non-recourse debt associated with vacation ownership notes receivable securitizations. In addition, we have $40.0 million of mandatorily redeemable preferred stock of a consolidated subsidiary that we are not required to redeem until October 2021. We may, however, redeem the preferred stock at par after October 2016 at our option.</w:t>
      </w:r>
    </w:p>
    <w:p>
      <w:pPr>
        <w:spacing w:after="0" w:line="178" w:lineRule="exact"/>
        <w:rPr>
          <w:sz w:val="20"/>
          <w:szCs w:val="20"/>
          <w:color w:val="auto"/>
        </w:rPr>
      </w:pPr>
    </w:p>
    <w:p>
      <w:pPr>
        <w:ind w:right="200" w:firstLine="685"/>
        <w:spacing w:after="0" w:line="264" w:lineRule="auto"/>
        <w:rPr>
          <w:sz w:val="20"/>
          <w:szCs w:val="20"/>
          <w:color w:val="auto"/>
        </w:rPr>
      </w:pPr>
      <w:r>
        <w:rPr>
          <w:rFonts w:ascii="Arial" w:cs="Arial" w:eastAsia="Arial" w:hAnsi="Arial"/>
          <w:sz w:val="18"/>
          <w:szCs w:val="18"/>
          <w:color w:val="auto"/>
        </w:rPr>
        <w:t>At the end of the first quarter of 2015, we had $720.0 million of real estate inventory on hand, comprised of $361.2 million of finished goods, and $358.8 million of land and infrastructure. We expect to continue to sell excess Ritz-Carlton branded inventory through the MVCD program in order to generate incremental cash and reduce related carrying costs.</w:t>
      </w:r>
    </w:p>
    <w:p>
      <w:pPr>
        <w:spacing w:after="0" w:line="181" w:lineRule="exact"/>
        <w:rPr>
          <w:sz w:val="20"/>
          <w:szCs w:val="20"/>
          <w:color w:val="auto"/>
        </w:rPr>
      </w:pPr>
    </w:p>
    <w:p>
      <w:pPr>
        <w:ind w:firstLine="685"/>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178"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by targeting high-quality inventory that would allow us to add desirable new destinations to our system with new on-site sales locations through transactions that limit our up-front capital investment and allow us to purchase finished inventory closer to the time it is needed for sale. These asset light deals may consist of the development of new inventory, or the conversion of previously built units by third parties, just prior to sale.</w:t>
      </w:r>
    </w:p>
    <w:p>
      <w:pPr>
        <w:spacing w:after="0" w:line="187" w:lineRule="exact"/>
        <w:rPr>
          <w:sz w:val="20"/>
          <w:szCs w:val="20"/>
          <w:color w:val="auto"/>
        </w:rPr>
      </w:pPr>
    </w:p>
    <w:p>
      <w:pPr>
        <w:ind w:right="340" w:firstLine="685"/>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70"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During the twelve weeks ended March 27, 2015 we had a net decrease in cash and cash equivalents of $74.3 million compared to a net decrease of $40.3 million during the twelve weeks ended March 28, 2014. The following table summarizes these changes: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640" w:type="dxa"/>
            <w:vAlign w:val="bottom"/>
            <w:gridSpan w:val="5"/>
          </w:tcPr>
          <w:p>
            <w:pPr>
              <w:ind w:left="5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48,289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54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(141,689)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Effect of change in exchange rates on cash and cash equivalents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1080"/>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4240"/>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right="160" w:firstLine="685"/>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187"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188" w:lineRule="exact"/>
        <w:rPr>
          <w:sz w:val="20"/>
          <w:szCs w:val="20"/>
          <w:color w:val="auto"/>
        </w:rPr>
      </w:pPr>
    </w:p>
    <w:p>
      <w:pPr>
        <w:ind w:right="60" w:firstLine="685"/>
        <w:spacing w:after="0" w:line="273" w:lineRule="auto"/>
        <w:rPr>
          <w:sz w:val="20"/>
          <w:szCs w:val="20"/>
          <w:color w:val="auto"/>
        </w:rPr>
      </w:pPr>
      <w:r>
        <w:rPr>
          <w:rFonts w:ascii="Arial" w:cs="Arial" w:eastAsia="Arial" w:hAnsi="Arial"/>
          <w:sz w:val="17"/>
          <w:szCs w:val="17"/>
          <w:color w:val="auto"/>
        </w:rPr>
        <w:t>In the twelve weeks ended March 27, 2015, we generated $32.1 million of cash flows from operating activities, compared to $48.3 million in the twelve weeks ended March 28, 2014. Excluding the impact of changes in net income and adjustments for non-cash items, the change in cash flows related to cash outlays for an acquisition of an operating hotel in San Diego, California that we intend to convert to vacation ownership interests in the future, timing of payments to property owners’ associations for maintenance fees collected on their behalf and timing of payments for maintenance fees on unsold inventory. These outlays were partially offset by the timing of management fee collections and the benefit from payments made in the first quarter of 2014 related to a new accounts payable system and value added taxes paid in France.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recorded $28.4 million of residential contract sales in the twelve weeks ended March 27, 2015 associated with the sale of 18 units in Macau.</w:t>
      </w:r>
    </w:p>
    <w:p>
      <w:pPr>
        <w:spacing w:after="0" w:line="248" w:lineRule="exact"/>
        <w:rPr>
          <w:sz w:val="20"/>
          <w:szCs w:val="20"/>
          <w:color w:val="auto"/>
        </w:rPr>
      </w:pPr>
    </w:p>
    <w:p>
      <w:pPr>
        <w:ind w:right="380" w:firstLine="685"/>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Real Estate Inventory Spending (In Excess of) Less Than Cost of Sales</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2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spending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Purchase of operating hotel for future conversion to inventory</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costs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720"/>
              <w:spacing w:after="0"/>
              <w:rPr>
                <w:sz w:val="20"/>
                <w:szCs w:val="20"/>
                <w:color w:val="auto"/>
              </w:rPr>
            </w:pPr>
            <w:r>
              <w:rPr>
                <w:rFonts w:ascii="Arial" w:cs="Arial" w:eastAsia="Arial" w:hAnsi="Arial"/>
                <w:sz w:val="18"/>
                <w:szCs w:val="18"/>
                <w:color w:val="auto"/>
              </w:rPr>
              <w:t>Real estate inventory spending (in excess of) less than cost of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85"/>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24" w:lineRule="exact"/>
        <w:rPr>
          <w:sz w:val="20"/>
          <w:szCs w:val="20"/>
          <w:color w:val="auto"/>
        </w:rPr>
      </w:pPr>
    </w:p>
    <w:p>
      <w:pPr>
        <w:ind w:right="160" w:firstLine="685"/>
        <w:spacing w:after="0" w:line="272" w:lineRule="auto"/>
        <w:rPr>
          <w:sz w:val="20"/>
          <w:szCs w:val="20"/>
          <w:color w:val="auto"/>
        </w:rPr>
      </w:pPr>
      <w:r>
        <w:rPr>
          <w:rFonts w:ascii="Arial" w:cs="Arial" w:eastAsia="Arial" w:hAnsi="Arial"/>
          <w:sz w:val="17"/>
          <w:szCs w:val="17"/>
          <w:color w:val="auto"/>
        </w:rPr>
        <w:t>Our real estate inventory spending was in excess of real estate inventory costs in the twelve weeks ended March 27, 2015, as we capitalized on the opportunity to add a premier destination to our portfolio through the acquisition of an operating hotel in San Diego, California that we intend to convert to vacation ownership interests in the future, partially offset by lower spending on other projects. We intend to convert this hotel into vacation ownership interests for future use in our MVCD program in the near term. In order to ensure consistency with the expected related future cash flow presentation, $46.6 million of the cash purchase price allocated to property and equipment was included as an operating activity in the Purchase of operating hotel for future conversion to inventory line on the Cash Flow for the twelve weeks ended March 27, 2015. See Footnote No. 5, “Acquisitions and Dispositions,” to our Financial Statements for additional information regarding this transaction.</w:t>
      </w:r>
    </w:p>
    <w:p>
      <w:pPr>
        <w:spacing w:after="0" w:line="178"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In the twelve weeks ended March 28, 2014, real estate inventory spending was less than real estate inventory costs due to the level of completed real estate inventory on hand at that time.</w:t>
      </w:r>
    </w:p>
    <w:p>
      <w:pPr>
        <w:spacing w:after="0" w:line="170" w:lineRule="exact"/>
        <w:rPr>
          <w:sz w:val="20"/>
          <w:szCs w:val="20"/>
          <w:color w:val="auto"/>
        </w:rPr>
      </w:pPr>
    </w:p>
    <w:p>
      <w:pPr>
        <w:ind w:right="280" w:firstLine="685"/>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860" w:type="dxa"/>
            <w:vAlign w:val="bottom"/>
            <w:gridSpan w:val="5"/>
          </w:tcPr>
          <w:p>
            <w:pPr>
              <w:ind w:left="6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March 27, 2015</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collections — non-securitized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356"/>
              <w:spacing w:after="0"/>
              <w:rPr>
                <w:sz w:val="20"/>
                <w:szCs w:val="20"/>
                <w:color w:val="auto"/>
              </w:rPr>
            </w:pPr>
            <w:r>
              <w:rPr>
                <w:rFonts w:ascii="Arial" w:cs="Arial" w:eastAsia="Arial" w:hAnsi="Arial"/>
                <w:sz w:val="18"/>
                <w:szCs w:val="18"/>
                <w:color w:val="auto"/>
                <w:w w:val="90"/>
              </w:rPr>
              <w:t>19,074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87"/>
              </w:rPr>
              <w:t>24,898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Vacation ownership notes receivable collections — securitized</w:t>
            </w:r>
          </w:p>
        </w:tc>
        <w:tc>
          <w:tcPr>
            <w:tcW w:w="140" w:type="dxa"/>
            <w:vAlign w:val="bottom"/>
          </w:tcPr>
          <w:p>
            <w:pPr>
              <w:spacing w:after="0"/>
              <w:rPr>
                <w:sz w:val="18"/>
                <w:szCs w:val="18"/>
                <w:color w:val="auto"/>
              </w:rPr>
            </w:pPr>
          </w:p>
        </w:tc>
        <w:tc>
          <w:tcPr>
            <w:tcW w:w="1100" w:type="dxa"/>
            <w:vAlign w:val="bottom"/>
          </w:tcPr>
          <w:p>
            <w:pPr>
              <w:jc w:val="center"/>
              <w:ind w:left="356"/>
              <w:spacing w:after="0"/>
              <w:rPr>
                <w:sz w:val="20"/>
                <w:szCs w:val="20"/>
                <w:color w:val="auto"/>
              </w:rPr>
            </w:pPr>
            <w:r>
              <w:rPr>
                <w:rFonts w:ascii="Arial" w:cs="Arial" w:eastAsia="Arial" w:hAnsi="Arial"/>
                <w:sz w:val="18"/>
                <w:szCs w:val="18"/>
                <w:color w:val="auto"/>
                <w:w w:val="90"/>
              </w:rPr>
              <w:t>48,444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334"/>
              <w:spacing w:after="0"/>
              <w:rPr>
                <w:sz w:val="20"/>
                <w:szCs w:val="20"/>
                <w:color w:val="auto"/>
              </w:rPr>
            </w:pPr>
            <w:r>
              <w:rPr>
                <w:rFonts w:ascii="Arial" w:cs="Arial" w:eastAsia="Arial" w:hAnsi="Arial"/>
                <w:sz w:val="18"/>
                <w:szCs w:val="18"/>
                <w:color w:val="auto"/>
                <w:w w:val="87"/>
              </w:rPr>
              <w:t>46,170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originations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316"/>
              <w:spacing w:after="0"/>
              <w:rPr>
                <w:sz w:val="20"/>
                <w:szCs w:val="20"/>
                <w:color w:val="auto"/>
              </w:rPr>
            </w:pPr>
            <w:r>
              <w:rPr>
                <w:rFonts w:ascii="Arial" w:cs="Arial" w:eastAsia="Arial" w:hAnsi="Arial"/>
                <w:sz w:val="18"/>
                <w:szCs w:val="18"/>
                <w:color w:val="auto"/>
                <w:w w:val="92"/>
              </w:rPr>
              <w:t>(48,946)</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2"/>
              </w:rPr>
              <w:t>(44,921)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720"/>
              <w:spacing w:after="0"/>
              <w:rPr>
                <w:sz w:val="20"/>
                <w:szCs w:val="20"/>
                <w:color w:val="auto"/>
              </w:rPr>
            </w:pPr>
            <w:r>
              <w:rPr>
                <w:rFonts w:ascii="Arial" w:cs="Arial" w:eastAsia="Arial" w:hAnsi="Arial"/>
                <w:sz w:val="18"/>
                <w:szCs w:val="18"/>
                <w:color w:val="auto"/>
              </w:rPr>
              <w:t>Vacation ownership notes receivable collections in excess of originations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90"/>
              </w:rPr>
              <w:t>18,572</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w w:val="87"/>
              </w:rPr>
              <w:t>26,147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85"/>
        <w:spacing w:after="0" w:line="255"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declined due to the reduction in the portfolio of outstanding vacation ownership notes receivable. Vacation ownership notes receivable originations in the twelve weeks ended March 27, 2015 increased due to higher vacation ownership sales volumes and an increase in financing propensity to 43.8 percent for the twelve weeks ended March 27, 2015 compared to 42.0 percent for the twelve weeks ended March 28, 2014. During the twelve weeks ended March 27, 2015, and as of March 27, 2015, no securitized vacation ownership notes receivable pools were out of compliance with established performance parameters.</w:t>
      </w:r>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2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Dispositions, net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21,796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33,295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170" w:lineRule="exact"/>
        <w:rPr>
          <w:sz w:val="20"/>
          <w:szCs w:val="20"/>
          <w:color w:val="auto"/>
        </w:rPr>
      </w:pPr>
    </w:p>
    <w:p>
      <w:pPr>
        <w:ind w:right="20" w:firstLine="685"/>
        <w:spacing w:after="0" w:line="276" w:lineRule="auto"/>
        <w:rPr>
          <w:sz w:val="20"/>
          <w:szCs w:val="20"/>
          <w:color w:val="auto"/>
        </w:rPr>
      </w:pPr>
      <w:r>
        <w:rPr>
          <w:rFonts w:ascii="Arial" w:cs="Arial" w:eastAsia="Arial" w:hAnsi="Arial"/>
          <w:sz w:val="17"/>
          <w:szCs w:val="17"/>
          <w:color w:val="auto"/>
        </w:rPr>
        <w:t>In the twelve weeks ended March 27, 2015, capital expenditures for property and equipment of $10.6 million included $9.3 million to support business operations (including $8.5 million for ancillary and operations assets and $0.8 million for sales locations other than the operating hotel in San Diego, California), and $1.3 million for technology spending (including $0.8 million for Spin-Off related initiatives). The capital expenditures for ancillary and operations assets included $7.7 million associated with the purchase price allocation for the operating hotel in San Diego, California. See Footnote No. 5, “Acquisitions and Dispositions,” to our Financial Statements for additional information regarding this transaction.</w:t>
      </w:r>
    </w:p>
    <w:p>
      <w:pPr>
        <w:spacing w:after="0" w:line="173"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In the twelve weeks ended March 28, 2014, capital expenditures for property and equipment of $1.1 million included $0.7 million to support business operations (including $0.5 million for ancillary and operations assets and $0.2 million for sales locations) and $0.4 million for technology spending (including $0.3 million for Spin-Off related initiatives).</w:t>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Decrease in Restricted Cash</w:t>
      </w:r>
    </w:p>
    <w:p>
      <w:pPr>
        <w:spacing w:after="0" w:line="117" w:lineRule="exact"/>
        <w:rPr>
          <w:sz w:val="20"/>
          <w:szCs w:val="20"/>
          <w:color w:val="auto"/>
        </w:rPr>
      </w:pPr>
    </w:p>
    <w:p>
      <w:pPr>
        <w:jc w:val="both"/>
        <w:ind w:right="100" w:firstLine="685"/>
        <w:spacing w:after="0" w:line="259" w:lineRule="auto"/>
        <w:rPr>
          <w:sz w:val="20"/>
          <w:szCs w:val="20"/>
          <w:color w:val="auto"/>
        </w:rPr>
      </w:pPr>
      <w:r>
        <w:rPr>
          <w:rFonts w:ascii="Arial" w:cs="Arial" w:eastAsia="Arial" w:hAnsi="Arial"/>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tour package sales and vacation ownership product sales that are held in escrow until the associated contract has closed or the period in which it can be rescinded has expired, depending on applicable legal requirements.</w:t>
      </w:r>
    </w:p>
    <w:p>
      <w:pPr>
        <w:spacing w:after="0" w:line="187" w:lineRule="exact"/>
        <w:rPr>
          <w:sz w:val="20"/>
          <w:szCs w:val="20"/>
          <w:color w:val="auto"/>
        </w:rPr>
      </w:pPr>
    </w:p>
    <w:p>
      <w:pPr>
        <w:ind w:right="40" w:firstLine="685"/>
        <w:spacing w:after="0" w:line="257" w:lineRule="auto"/>
        <w:rPr>
          <w:sz w:val="20"/>
          <w:szCs w:val="20"/>
          <w:color w:val="auto"/>
        </w:rPr>
      </w:pPr>
      <w:r>
        <w:rPr>
          <w:rFonts w:ascii="Arial" w:cs="Arial" w:eastAsia="Arial" w:hAnsi="Arial"/>
          <w:sz w:val="18"/>
          <w:szCs w:val="18"/>
          <w:color w:val="auto"/>
        </w:rPr>
        <w:t>The decrease in restricted cash in the twelve weeks ended March 27, 2015 reflected $48.0 million of higher cash distributions for maintenance fees remitted to certain property owners’ associations subsequent to the end of 2014, $6.6 million of higher cash distributed to investors in connection with securitized vacation ownership notes receivable subsequent to the end of 2014 and a $0.1 million decrease in funds required to be held in escrow to guarantee our credit card business in the Asia Pacific segment, partially offset by a $6.8 million increase in cash associated with vacation ownership sales held in escrow.</w:t>
      </w:r>
    </w:p>
    <w:p>
      <w:pPr>
        <w:spacing w:after="0" w:line="188" w:lineRule="exact"/>
        <w:rPr>
          <w:sz w:val="20"/>
          <w:szCs w:val="20"/>
          <w:color w:val="auto"/>
        </w:rPr>
      </w:pPr>
    </w:p>
    <w:p>
      <w:pPr>
        <w:ind w:right="80" w:firstLine="685"/>
        <w:spacing w:after="0" w:line="257" w:lineRule="auto"/>
        <w:rPr>
          <w:sz w:val="20"/>
          <w:szCs w:val="20"/>
          <w:color w:val="auto"/>
        </w:rPr>
      </w:pPr>
      <w:r>
        <w:rPr>
          <w:rFonts w:ascii="Arial" w:cs="Arial" w:eastAsia="Arial" w:hAnsi="Arial"/>
          <w:sz w:val="18"/>
          <w:szCs w:val="18"/>
          <w:color w:val="auto"/>
        </w:rPr>
        <w:t>The decrease in restricted cash in the twelve weeks ended March 28, 2014 reflected $12.2 million of higher cash distributions for maintenance fees remitted to certain property owners’ associations subsequent to the end of 2013 and $7.2 million of higher cash distributions in connection with securitized vacation ownership notes receivable that was distributed to investors subsequent to the end of 2013, partially offset by a $6.2 million increase in cash related to vacation ownership sales that are held in escrow, and a $0.6 million increase in funds required to be held in escrow to guarantee our credit card business in the Asia Pacific segment.</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459" w:right="2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ind w:right="300" w:firstLine="685"/>
        <w:spacing w:after="0" w:line="308" w:lineRule="auto"/>
        <w:rPr>
          <w:sz w:val="20"/>
          <w:szCs w:val="20"/>
          <w:color w:val="auto"/>
        </w:rPr>
      </w:pPr>
      <w:r>
        <w:rPr>
          <w:rFonts w:ascii="Arial" w:cs="Arial" w:eastAsia="Arial" w:hAnsi="Arial"/>
          <w:sz w:val="17"/>
          <w:szCs w:val="17"/>
          <w:color w:val="auto"/>
        </w:rPr>
        <w:t>Dispositions in the twelve weeks ended March 27, 2015 related to the sale of a lot in St. Thomas, U.S. Virgin Islands. Dispositions in the twelve weeks ended March 28, 2014 related to the sale of an operating golf course and adjacent undeveloped land in Orlando, Florida.</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860" w:type="dxa"/>
            <w:vAlign w:val="bottom"/>
            <w:gridSpan w:val="5"/>
          </w:tcPr>
          <w:p>
            <w:pPr>
              <w:ind w:left="6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4"/>
              </w:rPr>
              <w:t>March 28,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related to securitization transactions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Proceeds from vacation ownership inventory arrangement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Payment of dividends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(141,689)</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jc w:val="both"/>
        <w:ind w:right="640" w:firstLine="685"/>
        <w:spacing w:after="0" w:line="277" w:lineRule="auto"/>
        <w:rPr>
          <w:sz w:val="20"/>
          <w:szCs w:val="20"/>
          <w:color w:val="auto"/>
        </w:rPr>
      </w:pPr>
      <w:r>
        <w:rPr>
          <w:rFonts w:ascii="Arial" w:cs="Arial" w:eastAsia="Arial" w:hAnsi="Arial"/>
          <w:sz w:val="18"/>
          <w:szCs w:val="18"/>
          <w:color w:val="auto"/>
        </w:rPr>
        <w:t>At March 27, 2015, no amounts were outstanding under the Warehouse Credit Facility and $93.6 million of gross vacation ownership notes receivable were eligible for securitization.</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Repayment of Debt Related to Securitization Transactions</w:t>
      </w:r>
    </w:p>
    <w:p>
      <w:pPr>
        <w:spacing w:after="0" w:line="117"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We reflect repayments of bonds associated with vacation ownership notes receivable securitizations and repayments on the Warehouse Credit Facility (including vacation ownership notes receivable repurchases) as “Repayment of debt related to securitization transactions.” Repayments on the non-recourse debt associated with our vacation ownership notes receivable securitizations totaled $78.8 million (including $24.7 million for voluntary retirement clean-up calls) and $80.8 million (including $26.7 million for voluntary retirement clean-up calls) in the twelve weeks ended March 27, 2015 and March 28, 2014, respectively.</w:t>
      </w:r>
    </w:p>
    <w:p>
      <w:pPr>
        <w:spacing w:after="0" w:line="2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Proceeds from Vacation Ownership Inventory Arrangement</w:t>
      </w:r>
    </w:p>
    <w:p>
      <w:pPr>
        <w:spacing w:after="0" w:line="117" w:lineRule="exact"/>
        <w:rPr>
          <w:sz w:val="20"/>
          <w:szCs w:val="20"/>
          <w:color w:val="auto"/>
        </w:rPr>
      </w:pPr>
    </w:p>
    <w:p>
      <w:pPr>
        <w:ind w:right="80" w:firstLine="685"/>
        <w:spacing w:after="0" w:line="271" w:lineRule="auto"/>
        <w:rPr>
          <w:sz w:val="20"/>
          <w:szCs w:val="20"/>
          <w:color w:val="auto"/>
        </w:rPr>
      </w:pPr>
      <w:r>
        <w:rPr>
          <w:rFonts w:ascii="Arial" w:cs="Arial" w:eastAsia="Arial" w:hAnsi="Arial"/>
          <w:sz w:val="17"/>
          <w:szCs w:val="17"/>
          <w:color w:val="auto"/>
        </w:rPr>
        <w:t>In connection with our initiative of pursuing growth opportunities in ways that optimize the timing of our capital investments, including working with third party partners to develop new inventory or convert previously built units to be sold to us close to when we need such inventory for sale, we sold real property located in Marco Island, Florida during the first quarter of 2015 to a third party developer. Pursuant to this transaction, we are obligated to repurchase the completed property from the developer contingent upon the property meeting our brand standards and provided that the third party developer has not sold the property to another party. As discussed in Footnote No. 5, “Acquisitions and Dispositions,” to our Financial Statements, we received cash proceeds of $5.4 million upon the sale of this real property. In accordance with the authoritative guidance on accounting for sales of real estate, our conditional obligation to repurchase the property constitutes continuing involvement and thus we were unable to account for this transaction as a sale, and as such have recorded these proceeds as a financing activity.</w:t>
      </w:r>
    </w:p>
    <w:p>
      <w:pPr>
        <w:spacing w:after="0" w:line="2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During the twelve weeks ended March 27, 2015, we repurchased 277,751 shares of our common stock at an average price of $76.62 for a total of $21.3 million. Additionally, we paid $30.0 million under an accelerated share repurchase program in March 2015 and received an initial delivery of 327,782 shares. The maximum number of additional shares that may be delivered to us under the accelerated share repurchase program is 72,841. The final settlement will occur in the second quarter of 2015. See Footnote No. 11, “Shareholders’ Equity,” to our Financial Statements for further information related to our share repurchase program.</w:t>
      </w:r>
    </w:p>
    <w:p>
      <w:pPr>
        <w:spacing w:after="0" w:line="2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On February 12, 2015, our Board of Directors declared a quarterly dividend of $0.25 per share to shareholders of record as of February 26, 2015, which we paid on March 11, 2015. Any future dividend payments will be subject to Board approval, and there can be no assurance that we will pay dividends in the future.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right="280" w:firstLine="685"/>
        <w:spacing w:after="0" w:line="289" w:lineRule="auto"/>
        <w:rPr>
          <w:sz w:val="20"/>
          <w:szCs w:val="20"/>
          <w:color w:val="auto"/>
        </w:rPr>
      </w:pPr>
      <w:r>
        <w:rPr>
          <w:rFonts w:ascii="Arial" w:cs="Arial" w:eastAsia="Arial" w:hAnsi="Arial"/>
          <w:sz w:val="16"/>
          <w:szCs w:val="16"/>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January 2, 2015, other than those discussed below. As of March 27, 2015, debt decreased by $77.6 million to $618.9 million compared to $696.5 million at January 2, 2015, of which $78.8 million related to a decrease in non-recourse debt associated with vacation ownership notes receivable securitizations, partially offset by $1.2 million of debt issuance cost amortization. As of March 27, 2015, future debt payments to be paid out of collections from our vacation ownership notes receivable, including principal and interest, totaled $704.4 million and are due as follows: $91.5 million in 2015; $110.2 million in 2016; $84.2 million in 2017; $77.6 million in 2018; $75.7 million in 2019; and $265.2 million thereafter. Additionally, we have a new commitment of $137.1 million to purchase vacation ownership units located in Marco Island, Florida, discussed in Footnote No. 5, “Acquisitions and Dispositions,” to our Financial Statements, of which we expect $33.3 million, $50.0 million and $53.8 million will be paid in 2017, 2018 and 2019.</w:t>
      </w:r>
    </w:p>
    <w:p>
      <w:pPr>
        <w:spacing w:after="0" w:line="167"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sales of vacation ownership products. The terms of these guarantees generally require us to fund if the purchaser fails to pay under the terms of its note payable. We are entitled to recover any funding to third-party lenders related to these guarantees through reacquisition and resale of the vacation ownership product. Our commitments under these guarantees expire as the guaranteed notes mature or are repaid. Our maximum exposure under such guarantees as of March 27, 2015 in the Asia Pacific and North America segments was $7.5 million and $2.8 million, respectively. The underlying debt to third-party lenders will mature between 2015 and 2022.</w:t>
      </w:r>
    </w:p>
    <w:p>
      <w:pPr>
        <w:spacing w:after="0" w:line="193" w:lineRule="exact"/>
        <w:rPr>
          <w:sz w:val="20"/>
          <w:szCs w:val="20"/>
          <w:color w:val="auto"/>
        </w:rPr>
      </w:pPr>
    </w:p>
    <w:p>
      <w:pPr>
        <w:ind w:right="460" w:firstLine="685"/>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8, “Contingencies and Commitments,” to our Financial Statements.</w:t>
      </w:r>
    </w:p>
    <w:p>
      <w:pPr>
        <w:spacing w:after="0" w:line="170" w:lineRule="exact"/>
        <w:rPr>
          <w:sz w:val="20"/>
          <w:szCs w:val="20"/>
          <w:color w:val="auto"/>
        </w:rPr>
      </w:pPr>
    </w:p>
    <w:p>
      <w:pPr>
        <w:ind w:right="340" w:firstLine="685"/>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60" w:firstLine="685"/>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87" w:lineRule="exact"/>
        <w:rPr>
          <w:sz w:val="20"/>
          <w:szCs w:val="20"/>
          <w:color w:val="auto"/>
        </w:rPr>
      </w:pPr>
    </w:p>
    <w:p>
      <w:pPr>
        <w:ind w:right="40" w:firstLine="685"/>
        <w:spacing w:after="0" w:line="276" w:lineRule="auto"/>
        <w:rPr>
          <w:sz w:val="20"/>
          <w:szCs w:val="20"/>
          <w:color w:val="auto"/>
        </w:rPr>
      </w:pPr>
      <w:r>
        <w:rPr>
          <w:rFonts w:ascii="Arial" w:cs="Arial" w:eastAsia="Arial" w:hAnsi="Arial"/>
          <w:sz w:val="17"/>
          <w:szCs w:val="17"/>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January 2, 2015.</w:t>
      </w: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40" w:firstLine="685"/>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ectPr>
          <w:pgSz w:w="11900" w:h="16838" w:orient="portrait"/>
          <w:cols w:equalWidth="0" w:num="1">
            <w:col w:w="11420"/>
          </w:cols>
          <w:pgMar w:left="240" w:top="459" w:right="239" w:bottom="1440" w:gutter="0" w:footer="0" w:header="0"/>
        </w:sectPr>
      </w:pP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0" w:firstLine="685"/>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60" w:firstLine="685"/>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January 2, 2015.</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420" w:type="dxa"/>
            <w:vAlign w:val="bottom"/>
            <w:gridSpan w:val="2"/>
          </w:tcPr>
          <w:p>
            <w:pPr>
              <w:ind w:left="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i w:val="1"/>
                <w:iCs w:val="1"/>
                <w:color w:val="auto"/>
              </w:rPr>
              <w:t>Issuer Purchases of Equity Securities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Period</w:t>
            </w: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960" w:type="dxa"/>
            <w:vAlign w:val="bottom"/>
            <w:gridSpan w:val="2"/>
            <w:vMerge w:val="continue"/>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 3, 2015 – January 30, 2015</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69,341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69,341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2,833,934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January 31, 2015 – February 27, 2015</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21,600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74.47</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21,600</w:t>
            </w:r>
          </w:p>
        </w:tc>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2,812,334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28, 2015 – March 27, 2015</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186,810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186,810</w:t>
            </w:r>
          </w:p>
        </w:tc>
        <w:tc>
          <w:tcPr>
            <w:tcW w:w="14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2,625,524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February 28, 2015 – March 27, 2015</w:t>
            </w:r>
            <w:r>
              <w:rPr>
                <w:rFonts w:ascii="Arial" w:cs="Arial" w:eastAsia="Arial" w:hAnsi="Arial"/>
                <w:sz w:val="15"/>
                <w:szCs w:val="15"/>
                <w:color w:val="auto"/>
              </w:rPr>
              <w:t>(2)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327,782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82.74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327,782</w:t>
            </w:r>
          </w:p>
        </w:tc>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2,297,742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605,533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79.93</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605,533</w:t>
            </w:r>
          </w:p>
        </w:tc>
        <w:tc>
          <w:tcPr>
            <w:tcW w:w="14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2,297,742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94615</wp:posOffset>
            </wp:positionV>
            <wp:extent cx="7200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jc w:val="both"/>
        <w:ind w:left="1120" w:right="20" w:hanging="437"/>
        <w:spacing w:after="0" w:line="254" w:lineRule="auto"/>
        <w:tabs>
          <w:tab w:leader="none" w:pos="11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On October 14, 2014, our Board of Directors approved the repurchase of up to an additional 3,400,000 shares of our common stock under our existing share repurchase program and extended the termination date of the program to March 26, 2016. Prior to that authorization, our Board of Directors had authorized the repurchase of up to 3,500,000 shares of our common stock prior to March 28, 2015 under the share repurchase program.</w:t>
      </w:r>
    </w:p>
    <w:p>
      <w:pPr>
        <w:spacing w:after="0" w:line="2" w:lineRule="exact"/>
        <w:rPr>
          <w:rFonts w:ascii="Arial" w:cs="Arial" w:eastAsia="Arial" w:hAnsi="Arial"/>
          <w:sz w:val="15"/>
          <w:szCs w:val="15"/>
          <w:color w:val="auto"/>
        </w:rPr>
      </w:pPr>
    </w:p>
    <w:p>
      <w:pPr>
        <w:ind w:left="1120" w:right="20" w:hanging="437"/>
        <w:spacing w:after="0" w:line="252" w:lineRule="auto"/>
        <w:tabs>
          <w:tab w:leader="none" w:pos="11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 March 2015, pursuant to our existing share repurchase program, we entered into an accelerated share repurchase agreement (“ASR”) with a financial institution to repurchase shares of our common stock. Under the agreement, we paid $30.0 million and received an initial delivery of 327,782 shares of common stock on March 20, 2015. The total number of shares that we ultimately receive under the ASR will be determined based on the average of the daily volume-weighted average share price of our common stock over the duration of the ASR, less an agreed discount, and may be subject to adjustments for certain events under the agreement. The maximum number of additional shares that may be delivered to us under the ASR is 72,841.</w:t>
      </w:r>
    </w:p>
    <w:p>
      <w:pPr>
        <w:spacing w:after="0" w:line="3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April 30, 2015</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240" w:top="459" w:right="6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Exhibit</w:t>
            </w: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No.</w:t>
            </w:r>
          </w:p>
        </w:tc>
        <w:tc>
          <w:tcPr>
            <w:tcW w:w="10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Restated Certificate of Incorporation of Marriott Vacations Worldwide Corporation, incorporated by reference to Exhibit 3.1 of our Current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8-K filed on November 22, 2011.</w:t>
            </w:r>
          </w:p>
        </w:tc>
        <w:tc>
          <w:tcPr>
            <w:tcW w:w="0" w:type="dxa"/>
            <w:vAlign w:val="bottom"/>
          </w:tcPr>
          <w:p>
            <w:pPr>
              <w:spacing w:after="0"/>
              <w:rPr>
                <w:sz w:val="1"/>
                <w:szCs w:val="1"/>
                <w:color w:val="auto"/>
              </w:rPr>
            </w:pPr>
          </w:p>
        </w:tc>
      </w:tr>
      <w:tr>
        <w:trPr>
          <w:trHeight w:val="310"/>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Restated Bylaws of Marriott Vacations Worldwide Corporation, incorporated by reference to Exhibit 3.2 of our Current Report on Form 8-K</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November 22, 2011.</w:t>
            </w:r>
          </w:p>
        </w:tc>
        <w:tc>
          <w:tcPr>
            <w:tcW w:w="0" w:type="dxa"/>
            <w:vAlign w:val="bottom"/>
          </w:tcPr>
          <w:p>
            <w:pPr>
              <w:spacing w:after="0"/>
              <w:rPr>
                <w:sz w:val="1"/>
                <w:szCs w:val="1"/>
                <w:color w:val="auto"/>
              </w:rPr>
            </w:pPr>
          </w:p>
        </w:tc>
      </w:tr>
      <w:tr>
        <w:trPr>
          <w:trHeight w:val="324"/>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Director Stock Unit Agreement.</w:t>
            </w:r>
          </w:p>
        </w:tc>
        <w:tc>
          <w:tcPr>
            <w:tcW w:w="0" w:type="dxa"/>
            <w:vAlign w:val="bottom"/>
          </w:tcPr>
          <w:p>
            <w:pPr>
              <w:spacing w:after="0"/>
              <w:rPr>
                <w:sz w:val="1"/>
                <w:szCs w:val="1"/>
                <w:color w:val="auto"/>
              </w:rPr>
            </w:pPr>
          </w:p>
        </w:tc>
      </w:tr>
      <w:tr>
        <w:trPr>
          <w:trHeight w:val="324"/>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c>
          <w:tcPr>
            <w:tcW w:w="0" w:type="dxa"/>
            <w:vAlign w:val="bottom"/>
          </w:tcPr>
          <w:p>
            <w:pPr>
              <w:spacing w:after="0"/>
              <w:rPr>
                <w:sz w:val="1"/>
                <w:szCs w:val="1"/>
                <w:color w:val="auto"/>
              </w:rPr>
            </w:pPr>
          </w:p>
        </w:tc>
      </w:tr>
      <w:tr>
        <w:trPr>
          <w:trHeight w:val="324"/>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c>
          <w:tcPr>
            <w:tcW w:w="0" w:type="dxa"/>
            <w:vAlign w:val="bottom"/>
          </w:tcPr>
          <w:p>
            <w:pPr>
              <w:spacing w:after="0"/>
              <w:rPr>
                <w:sz w:val="1"/>
                <w:szCs w:val="1"/>
                <w:color w:val="auto"/>
              </w:rPr>
            </w:pPr>
          </w:p>
        </w:tc>
      </w:tr>
      <w:tr>
        <w:trPr>
          <w:trHeight w:val="324"/>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c>
          <w:tcPr>
            <w:tcW w:w="0" w:type="dxa"/>
            <w:vAlign w:val="bottom"/>
          </w:tcPr>
          <w:p>
            <w:pPr>
              <w:spacing w:after="0"/>
              <w:rPr>
                <w:sz w:val="1"/>
                <w:szCs w:val="1"/>
                <w:color w:val="auto"/>
              </w:rPr>
            </w:pPr>
          </w:p>
        </w:tc>
      </w:tr>
      <w:tr>
        <w:trPr>
          <w:trHeight w:val="324"/>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report: (i) the Interim Consolidated Statements of Income for the twelve weeks ended March 27, 2015 and March 28, 2014; (ii) the Interim Consolidated Statements of Comprehensive Income for the twelve weeks ended March 27, 2015 and March 28, 2014; (iii) the Interim Consolidated Balance Sheets at March 27, 2015 and January 2, 2015; and (iv) the Interim Consolidated Statements of Cash Flows for the twelve weeks ended March 27, 2015 and March 28, 2014.</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CASH INCENTIVE PLAN</w:t>
      </w:r>
    </w:p>
    <w:p>
      <w:pPr>
        <w:spacing w:after="0" w:line="21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THIS AGREEMENT (the “Agreement” or “Award”) is made on &lt;&lt;GRANT DATE&gt;&gt; (the “Effective Date”) by MARRIOTT VACATIONS WORLDWIDE CORPORATION (the “Company”) and &lt;&lt;PARTICIPANT NAME&gt;&gt; (“Director”).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maintains the Marriott Vacations Worldwide Corporation Stock and Cash Incentive Plan, as amended (the “Plan”); and</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the Director has elected to defer all or a portion of the Director’s Fees (as defined in the Plan) earned for services during the calendar year of the Effective Date (the “Current Year Fees”) in the form of Stock Units (“Unit”) as permitted by Section 11.3 of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 as follows:</w:t>
      </w:r>
    </w:p>
    <w:p>
      <w:pPr>
        <w:spacing w:after="0" w:line="221" w:lineRule="exact"/>
        <w:rPr>
          <w:sz w:val="20"/>
          <w:szCs w:val="20"/>
          <w:color w:val="auto"/>
        </w:rPr>
      </w:pPr>
    </w:p>
    <w:p>
      <w:pPr>
        <w:jc w:val="both"/>
        <w:ind w:right="80" w:firstLine="464"/>
        <w:spacing w:after="0" w:line="298" w:lineRule="auto"/>
        <w:tabs>
          <w:tab w:leader="none" w:pos="63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Grant of Units</w:t>
      </w:r>
      <w:r>
        <w:rPr>
          <w:rFonts w:ascii="Arial" w:cs="Arial" w:eastAsia="Arial" w:hAnsi="Arial"/>
          <w:sz w:val="16"/>
          <w:szCs w:val="16"/>
          <w:color w:val="auto"/>
        </w:rPr>
        <w:t>. Subject to the terms and conditions of the Plan and Director’s acceptance of this Agreement, [this award of &lt;&lt;QTY GRANTED&gt;&gt;</w:t>
      </w:r>
      <w:r>
        <w:rPr>
          <w:rFonts w:ascii="Arial" w:cs="Arial" w:eastAsia="Arial" w:hAnsi="Arial"/>
          <w:sz w:val="16"/>
          <w:szCs w:val="16"/>
          <w:b w:val="1"/>
          <w:bCs w:val="1"/>
          <w:color w:val="auto"/>
        </w:rPr>
        <w:t xml:space="preserve"> </w:t>
      </w:r>
      <w:r>
        <w:rPr>
          <w:rFonts w:ascii="Arial" w:cs="Arial" w:eastAsia="Arial" w:hAnsi="Arial"/>
          <w:sz w:val="16"/>
          <w:szCs w:val="16"/>
          <w:color w:val="auto"/>
        </w:rPr>
        <w:t>Units is made as of the Effective Date.][OR][the number of Units subject to this Agreement shall equal (i) the amount of Current Year Fees deferred pursuant to Director’s Fee Deferral Election divided by (ii) the Fair Market Value of a share of Common Stock of the Company (“Common Shares”) on each date on which the Fees subject to the Fee Deferral Election would otherwise have been paid to Director, with fractional units calculated to at least three (3) decimal places]. [In addition, the Director shall be granted additional Units pursuant to dividend equivalent units in accordance with paragraph 3.]</w:t>
      </w:r>
    </w:p>
    <w:p>
      <w:pPr>
        <w:spacing w:after="0" w:line="154" w:lineRule="exact"/>
        <w:rPr>
          <w:rFonts w:ascii="Arial" w:cs="Arial" w:eastAsia="Arial" w:hAnsi="Arial"/>
          <w:sz w:val="16"/>
          <w:szCs w:val="16"/>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Unit and Common Share Rights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80" w:right="60" w:hanging="567"/>
        <w:spacing w:after="0" w:line="297"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Units awarded under this Agreement shall be fully vested, shall be recorded in a Company book-keeping account and shall represent Director’s unsecured right to receive from the Company payment of the Units in the form of the transfer of title to a number of whole shares of Common Stock of the Company (“Common Shares”) equal to the number of whole Units subject to this Agreement and a cash payment equal to the value of any fractional Units subject to this Agreement. The value of any fractional Units subject to this Agreement shall be equal to the Fair Market Value of an equivalent fraction of a Common Share at the time payment is to be made.</w:t>
      </w:r>
    </w:p>
    <w:p>
      <w:pPr>
        <w:spacing w:after="0" w:line="63" w:lineRule="exact"/>
        <w:rPr>
          <w:rFonts w:ascii="Arial" w:cs="Arial" w:eastAsia="Arial" w:hAnsi="Arial"/>
          <w:sz w:val="16"/>
          <w:szCs w:val="16"/>
          <w:color w:val="auto"/>
        </w:rPr>
      </w:pPr>
    </w:p>
    <w:p>
      <w:pPr>
        <w:ind w:left="1480" w:hanging="567"/>
        <w:spacing w:after="0"/>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accordance with Section 11.3 of the Plan and Director’s election, the payment of the Units subject to this Agreement shall be made [in</w:t>
      </w:r>
    </w:p>
    <w:p>
      <w:pPr>
        <w:spacing w:after="0" w:line="46" w:lineRule="exact"/>
        <w:rPr>
          <w:sz w:val="20"/>
          <w:szCs w:val="20"/>
          <w:color w:val="auto"/>
        </w:rPr>
      </w:pPr>
    </w:p>
    <w:p>
      <w:pPr>
        <w:ind w:left="1480"/>
        <w:spacing w:after="0"/>
        <w:tabs>
          <w:tab w:leader="none" w:pos="6360" w:val="left"/>
        </w:tabs>
        <w:rPr>
          <w:sz w:val="20"/>
          <w:szCs w:val="20"/>
          <w:color w:val="auto"/>
        </w:rPr>
      </w:pPr>
      <w:r>
        <w:rPr>
          <w:rFonts w:ascii="Arial" w:cs="Arial" w:eastAsia="Arial" w:hAnsi="Arial"/>
          <w:sz w:val="18"/>
          <w:szCs w:val="18"/>
          <w:color w:val="auto"/>
        </w:rPr>
        <w:t>a lump sum upon Director’s Termination of Service] [OR] [in [</w:t>
      </w:r>
      <w:r>
        <w:rPr>
          <w:sz w:val="20"/>
          <w:szCs w:val="20"/>
          <w:color w:val="auto"/>
        </w:rPr>
        <w:tab/>
      </w:r>
      <w:r>
        <w:rPr>
          <w:rFonts w:ascii="Arial" w:cs="Arial" w:eastAsia="Arial" w:hAnsi="Arial"/>
          <w:sz w:val="16"/>
          <w:szCs w:val="16"/>
          <w:color w:val="auto"/>
        </w:rPr>
        <w:t>] annual installments, with the first installment made within thirty</w:t>
      </w:r>
    </w:p>
    <w:p>
      <w:pPr>
        <w:spacing w:after="0" w:line="9" w:lineRule="exact"/>
        <w:rPr>
          <w:sz w:val="20"/>
          <w:szCs w:val="20"/>
          <w:color w:val="auto"/>
        </w:rPr>
      </w:pPr>
    </w:p>
    <w:p>
      <w:pPr>
        <w:ind w:left="1480" w:right="140"/>
        <w:spacing w:after="0" w:line="254" w:lineRule="auto"/>
        <w:rPr>
          <w:sz w:val="20"/>
          <w:szCs w:val="20"/>
          <w:color w:val="auto"/>
        </w:rPr>
      </w:pPr>
      <w:r>
        <w:rPr>
          <w:rFonts w:ascii="Arial" w:cs="Arial" w:eastAsia="Arial" w:hAnsi="Arial"/>
          <w:sz w:val="18"/>
          <w:szCs w:val="18"/>
          <w:color w:val="auto"/>
        </w:rPr>
        <w:t>(30) days following the Director’s Termination of Service and the remaining installments continuing thereafter within thirty (30) days following each of the first &lt;&lt;ENTER NUMBER OF YEARS (ONE THROUGH TEN)&gt;&gt; anniversaries of such Termination of Service. Each installment shall be equal to the total number of Units then subject to the Agreement divided by the number of remaining installments].</w:t>
      </w:r>
    </w:p>
    <w:p>
      <w:pPr>
        <w:spacing w:after="0" w:line="95" w:lineRule="exact"/>
        <w:rPr>
          <w:sz w:val="20"/>
          <w:szCs w:val="20"/>
          <w:color w:val="auto"/>
        </w:rPr>
      </w:pPr>
    </w:p>
    <w:p>
      <w:pPr>
        <w:ind w:left="1480" w:right="180" w:hanging="567"/>
        <w:spacing w:after="0" w:line="312" w:lineRule="auto"/>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the date that Units are paid under this Agreement, the Company shall reverse the book-keeping entry for such Units and transfer a corresponding number of Common Shares to an individual brokerage account (the “Account”) established and maintained in Director’s name. If any cash payment is due for a fractional share, such cash shall be paid by the Company directly to Director.</w:t>
      </w:r>
    </w:p>
    <w:p>
      <w:pPr>
        <w:sectPr>
          <w:pgSz w:w="11900" w:h="16838" w:orient="portrait"/>
          <w:cols w:equalWidth="0" w:num="1">
            <w:col w:w="11420"/>
          </w:cols>
          <w:pgMar w:left="240" w:top="121" w:right="239" w:bottom="1440" w:gutter="0" w:footer="0" w:header="0"/>
        </w:sectPr>
      </w:pPr>
    </w:p>
    <w:bookmarkStart w:id="51" w:name="page52"/>
    <w:bookmarkEnd w:id="51"/>
    <w:p>
      <w:pPr>
        <w:ind w:left="1420" w:hanging="567"/>
        <w:spacing w:after="0" w:line="255"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Director shall have no voting, transfer, liquidation, dividend or other rights of a Common Share stockholder with respect to Units prior to such time that the corresponding Common Shares are transferred to Director’s Account; provided that Director shall have dividend equivalent rights as set forth in paragraph 3.</w:t>
      </w:r>
    </w:p>
    <w:p>
      <w:pPr>
        <w:spacing w:after="0" w:line="189" w:lineRule="exact"/>
        <w:rPr>
          <w:rFonts w:ascii="Arial" w:cs="Arial" w:eastAsia="Arial" w:hAnsi="Arial"/>
          <w:sz w:val="18"/>
          <w:szCs w:val="18"/>
          <w:color w:val="auto"/>
        </w:rPr>
      </w:pPr>
    </w:p>
    <w:p>
      <w:pPr>
        <w:ind w:left="-60" w:firstLine="464"/>
        <w:spacing w:after="0" w:line="271" w:lineRule="auto"/>
        <w:tabs>
          <w:tab w:leader="none" w:pos="576"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Dividend Equivalents</w:t>
      </w:r>
      <w:r>
        <w:rPr>
          <w:rFonts w:ascii="Arial" w:cs="Arial" w:eastAsia="Arial" w:hAnsi="Arial"/>
          <w:sz w:val="17"/>
          <w:szCs w:val="17"/>
          <w:color w:val="auto"/>
        </w:rPr>
        <w:t>. Each Unit includes one dividend equivalent unit. [As of each dividend payment date with respect to the Common Shares,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shall be credited with an additional number of Units equal to the product of (a) the per-share cash dividend payable with respect to a Common Share on such dividend payment date multiplied by the total number of Units subject to this Agreement as of the close of business on the record date for such dividend, divided by (b) the Fair Market Value of a Common Share on such dividend payment date. If dividends are paid on Common Shares in a form other than cash, then such dividends shall be either notionally converted to cash or credited “in kind.”] [OR] [Within thirty (30) days after each dividend payment date with respect to the Common Shares, Director shall receive a cash payment equal to the product of (a) the per-share cash dividend payable with respect to a Common Share on such dividend payment date multiplied by (b) the total number of Units then subject to this Agreement as of the close of business on the record date for such dividend. If dividends are paid on Common Shares in a form other than cash, then such dividends shall be notionally converted to cash if their value is readily determinable.]</w:t>
      </w:r>
    </w:p>
    <w:p>
      <w:pPr>
        <w:spacing w:after="0" w:line="174" w:lineRule="exact"/>
        <w:rPr>
          <w:rFonts w:ascii="Arial" w:cs="Arial" w:eastAsia="Arial" w:hAnsi="Arial"/>
          <w:sz w:val="17"/>
          <w:szCs w:val="17"/>
          <w:color w:val="auto"/>
        </w:rPr>
      </w:pPr>
    </w:p>
    <w:p>
      <w:pPr>
        <w:ind w:left="-60" w:right="40" w:firstLine="464"/>
        <w:spacing w:after="0" w:line="282" w:lineRule="auto"/>
        <w:tabs>
          <w:tab w:leader="none" w:pos="576"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Non-Assignability</w:t>
      </w:r>
      <w:r>
        <w:rPr>
          <w:rFonts w:ascii="Arial" w:cs="Arial" w:eastAsia="Arial" w:hAnsi="Arial"/>
          <w:sz w:val="18"/>
          <w:szCs w:val="18"/>
          <w:color w:val="auto"/>
        </w:rPr>
        <w:t>. This Award, and any amounts due hereunder, shall not be assignable or transferable by Director except by will or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w:t>
      </w:r>
    </w:p>
    <w:p>
      <w:pPr>
        <w:spacing w:after="0" w:line="161" w:lineRule="exact"/>
        <w:rPr>
          <w:rFonts w:ascii="Arial" w:cs="Arial" w:eastAsia="Arial" w:hAnsi="Arial"/>
          <w:sz w:val="18"/>
          <w:szCs w:val="18"/>
          <w:color w:val="auto"/>
        </w:rPr>
      </w:pPr>
    </w:p>
    <w:p>
      <w:pPr>
        <w:ind w:left="-60" w:right="100" w:firstLine="464"/>
        <w:spacing w:after="0" w:line="266" w:lineRule="auto"/>
        <w:tabs>
          <w:tab w:leader="none" w:pos="576"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The transfer of Common Shares, pursuant to paragraph 2 above, shall be subject to the further condition that the Company may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withholding of any taxes required by federal, state, or local law by reducing the number of Units to be transferred to Director’s Account or by such other manner as the Committee shall determine in its discretion.</w:t>
      </w:r>
    </w:p>
    <w:p>
      <w:pPr>
        <w:spacing w:after="0" w:line="176" w:lineRule="exact"/>
        <w:rPr>
          <w:rFonts w:ascii="Arial" w:cs="Arial" w:eastAsia="Arial" w:hAnsi="Arial"/>
          <w:sz w:val="18"/>
          <w:szCs w:val="18"/>
          <w:color w:val="auto"/>
        </w:rPr>
      </w:pPr>
    </w:p>
    <w:p>
      <w:pPr>
        <w:ind w:left="-60" w:right="20" w:firstLine="464"/>
        <w:spacing w:after="0" w:line="303" w:lineRule="auto"/>
        <w:tabs>
          <w:tab w:leader="none" w:pos="576"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provisions of the Plan are incorporated herein by reference and form an integral part of this Agreement. Except as otherwise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51" w:lineRule="exact"/>
        <w:rPr>
          <w:rFonts w:ascii="Arial" w:cs="Arial" w:eastAsia="Arial" w:hAnsi="Arial"/>
          <w:sz w:val="16"/>
          <w:szCs w:val="16"/>
          <w:color w:val="auto"/>
        </w:rPr>
      </w:pPr>
    </w:p>
    <w:p>
      <w:pPr>
        <w:ind w:left="-60" w:right="40" w:firstLine="464"/>
        <w:spacing w:after="0" w:line="313" w:lineRule="auto"/>
        <w:tabs>
          <w:tab w:leader="none" w:pos="576"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No Additional Rights</w:t>
      </w:r>
      <w:r>
        <w:rPr>
          <w:rFonts w:ascii="Arial" w:cs="Arial" w:eastAsia="Arial" w:hAnsi="Arial"/>
          <w:sz w:val="17"/>
          <w:szCs w:val="17"/>
          <w:color w:val="auto"/>
        </w:rPr>
        <w:t>. Benefits under this Plan are not guaranteed. The grant of Awards is a one-time benefit and does not create any contractual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 or claim to any future grants of Awards under the Plan, nor does a grant of Awards guarantee future participation in the Plan.</w:t>
      </w:r>
    </w:p>
    <w:p>
      <w:pPr>
        <w:spacing w:after="0" w:line="138" w:lineRule="exact"/>
        <w:rPr>
          <w:rFonts w:ascii="Arial" w:cs="Arial" w:eastAsia="Arial" w:hAnsi="Arial"/>
          <w:sz w:val="17"/>
          <w:szCs w:val="17"/>
          <w:color w:val="auto"/>
        </w:rPr>
      </w:pPr>
    </w:p>
    <w:p>
      <w:pPr>
        <w:ind w:left="-60" w:right="60" w:firstLine="464"/>
        <w:spacing w:after="0" w:line="282" w:lineRule="auto"/>
        <w:tabs>
          <w:tab w:leader="none" w:pos="576"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Recapitalization or Reorganization</w:t>
      </w:r>
      <w:r>
        <w:rPr>
          <w:rFonts w:ascii="Arial" w:cs="Arial" w:eastAsia="Arial" w:hAnsi="Arial"/>
          <w:sz w:val="18"/>
          <w:szCs w:val="18"/>
          <w:color w:val="auto"/>
        </w:rPr>
        <w:t>. Certain events affecting the Common Stock of the Company and mergers, consolidations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affecting the Company may affect the number or type of securities deliverable hereunder.</w:t>
      </w:r>
    </w:p>
    <w:p>
      <w:pPr>
        <w:spacing w:after="0" w:line="161" w:lineRule="exact"/>
        <w:rPr>
          <w:rFonts w:ascii="Arial" w:cs="Arial" w:eastAsia="Arial" w:hAnsi="Arial"/>
          <w:sz w:val="18"/>
          <w:szCs w:val="18"/>
          <w:color w:val="auto"/>
        </w:rPr>
      </w:pPr>
    </w:p>
    <w:p>
      <w:pPr>
        <w:jc w:val="both"/>
        <w:ind w:left="-60" w:right="160" w:firstLine="464"/>
        <w:spacing w:after="0" w:line="266" w:lineRule="auto"/>
        <w:tabs>
          <w:tab w:leader="none" w:pos="576"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Amendment of this Agreement</w:t>
      </w:r>
      <w:r>
        <w:rPr>
          <w:rFonts w:ascii="Arial" w:cs="Arial" w:eastAsia="Arial" w:hAnsi="Arial"/>
          <w:sz w:val="18"/>
          <w:szCs w:val="18"/>
          <w:color w:val="auto"/>
        </w:rPr>
        <w:t>. The Board of Directors may at any time amend, suspend or terminate the Plan or this Award; 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no amendment, suspension or termination of the Plan or the Award shall adversely affect the Award in any material way without the written consent of Director.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74" w:right="299" w:bottom="1440" w:gutter="0" w:footer="0" w:header="0"/>
        </w:sectPr>
      </w:pPr>
    </w:p>
    <w:bookmarkStart w:id="52" w:name="page53"/>
    <w:bookmarkEnd w:id="52"/>
    <w:p>
      <w:pPr>
        <w:jc w:val="both"/>
        <w:ind w:firstLine="464"/>
        <w:spacing w:after="0" w:line="289" w:lineRule="auto"/>
        <w:tabs>
          <w:tab w:leader="none" w:pos="726"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7"/>
          <w:szCs w:val="17"/>
          <w:color w:val="auto"/>
        </w:rPr>
        <w:t>. Notices hereunder shall be in writing, and if to the Company, may be delivered personally to the Compensation Department or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as designated by the Company or mailed to its principal office at [ADDRESS], addressed to the attention of the [TITLE AND DEPARTMENT], and if to Director, may be delivered personally or mailed to Director at his or her address on the records of the Company.</w:t>
      </w:r>
    </w:p>
    <w:p>
      <w:pPr>
        <w:spacing w:after="0" w:line="158" w:lineRule="exact"/>
        <w:rPr>
          <w:rFonts w:ascii="Arial" w:cs="Arial" w:eastAsia="Arial" w:hAnsi="Arial"/>
          <w:sz w:val="17"/>
          <w:szCs w:val="17"/>
          <w:color w:val="auto"/>
        </w:rPr>
      </w:pPr>
    </w:p>
    <w:p>
      <w:pPr>
        <w:ind w:right="120" w:firstLine="464"/>
        <w:spacing w:after="0" w:line="313"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This Agreement shall bind and inure to the benefit of the parties hereto and the successors and assigns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to the extent provided in paragraph 4 above and in the Plan, to the personal representatives, legatees and heirs of Director.</w:t>
      </w:r>
    </w:p>
    <w:p>
      <w:pPr>
        <w:spacing w:after="0" w:line="138"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MARRIOTT VACATIONS WORLDWIDE CORPORATION has caused this Agreement to be signed by its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Chief Human Resources Officer, effective as of the Effective Date.</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MARRIOTT VACATIONS WORLDWIDE CORPORATION</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4131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272415</wp:posOffset>
            </wp:positionV>
            <wp:extent cx="3404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Signed Electronically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0"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3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3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460" w:right="940" w:hanging="452"/>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27, 2015 (the “Quarterly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460" w:right="62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54" w:lineRule="exact"/>
        <w:rPr>
          <w:sz w:val="20"/>
          <w:szCs w:val="20"/>
          <w:color w:val="auto"/>
        </w:rPr>
      </w:pPr>
    </w:p>
    <w:p>
      <w:pPr>
        <w:ind w:left="460" w:right="940" w:hanging="452"/>
        <w:spacing w:after="0" w:line="30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27, 2015 (the “Quarterly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460" w:right="62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Roman"/>
      <w:start w:val="2"/>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lvl w:ilvl="1">
      <w:lvlJc w:val="left"/>
      <w:lvlText w:val="%2."/>
      <w:numFmt w:val="lowerLetter"/>
      <w:start w:val="1"/>
    </w:lvl>
  </w:abstractNum>
  <w:abstractNum w:abstractNumId="26">
    <w:nsid w:val="1E7FF521"/>
    <w:multiLevelType w:val="hybridMultilevel"/>
    <w:lvl w:ilvl="0">
      <w:lvlJc w:val="left"/>
      <w:lvlText w:val="%1."/>
      <w:numFmt w:val="lowerLetter"/>
      <w:start w:val="3"/>
    </w:lvl>
  </w:abstractNum>
  <w:abstractNum w:abstractNumId="27">
    <w:nsid w:val="7C3DBD3D"/>
    <w:multiLevelType w:val="hybridMultilevel"/>
    <w:lvl w:ilvl="0">
      <w:lvlJc w:val="left"/>
      <w:lvlText w:val="%1"/>
      <w:numFmt w:val="decimal"/>
      <w:start w:val="1"/>
    </w:lvl>
    <w:lvl w:ilvl="1">
      <w:lvlJc w:val="left"/>
      <w:lvlText w:val="%2."/>
      <w:numFmt w:val="lowerLetter"/>
      <w:start w:val="4"/>
    </w:lvl>
  </w:abstractNum>
  <w:abstractNum w:abstractNumId="28">
    <w:nsid w:val="737B8DDC"/>
    <w:multiLevelType w:val="hybridMultilevel"/>
    <w:lvl w:ilvl="0">
      <w:lvlJc w:val="left"/>
      <w:lvlText w:val="%1."/>
      <w:numFmt w:val="decimal"/>
      <w:start w:val="3"/>
    </w:lvl>
    <w:lvl w:ilvl="1">
      <w:lvlJc w:val="left"/>
      <w:lvlText w:val="%2"/>
      <w:numFmt w:val="lowerLetter"/>
      <w:start w:val="1"/>
    </w:lvl>
  </w:abstractNum>
  <w:abstractNum w:abstractNumId="29">
    <w:nsid w:val="6CEAF087"/>
    <w:multiLevelType w:val="hybridMultilevel"/>
    <w:lvl w:ilvl="0">
      <w:lvlJc w:val="left"/>
      <w:lvlText w:val="%1."/>
      <w:numFmt w:val="decimal"/>
      <w:start w:val="10"/>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2019-12-29T16:48:00Z</dcterms:created>
  <dcterms:modified xsi:type="dcterms:W3CDTF">2019-12-29T16:48:00Z</dcterms:modified>
</cp:coreProperties>
</file>