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Proxy Statement Pursuant to Section 14(a) of the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5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Marriott Vacations Worldwide Corporation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84" w:hanging="512"/>
        <w:spacing w:after="0"/>
        <w:tabs>
          <w:tab w:leader="none" w:pos="58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4" w:hanging="512"/>
        <w:spacing w:after="0"/>
        <w:tabs>
          <w:tab w:leader="none" w:pos="5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4" w:hanging="512"/>
        <w:spacing w:after="0"/>
        <w:tabs>
          <w:tab w:leader="none" w:pos="5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154940</wp:posOffset>
            </wp:positionV>
            <wp:extent cx="69951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2023-03-30T08:06:22Z</dcterms:created>
  <dcterms:modified xsi:type="dcterms:W3CDTF">2023-03-30T08:06:22Z</dcterms:modified>
</cp:coreProperties>
</file>