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4460"/>
        <w:spacing w:after="0"/>
        <w:rPr>
          <w:sz w:val="20"/>
          <w:szCs w:val="20"/>
          <w:color w:val="auto"/>
        </w:rPr>
      </w:pPr>
      <w:r>
        <w:rPr>
          <w:rFonts w:ascii="Arial" w:cs="Arial" w:eastAsia="Arial" w:hAnsi="Arial"/>
          <w:sz w:val="11"/>
          <w:szCs w:val="11"/>
          <w:color w:val="auto"/>
        </w:rPr>
        <w:t>___________________________________________</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8"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5"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001-35219</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126" w:lineRule="exact"/>
        <w:rPr>
          <w:sz w:val="24"/>
          <w:szCs w:val="24"/>
          <w:color w:val="auto"/>
        </w:rPr>
      </w:pPr>
    </w:p>
    <w:tbl>
      <w:tblPr>
        <w:tblLayout w:type="fixed"/>
        <w:tblInd w:w="2020" w:type="dxa"/>
        <w:tblCellMar>
          <w:top w:w="0" w:type="dxa"/>
          <w:left w:w="0" w:type="dxa"/>
          <w:bottom w:w="0" w:type="dxa"/>
          <w:right w:w="0" w:type="dxa"/>
        </w:tblCellMar>
      </w:tblPr>
      <w:tr>
        <w:trPr>
          <w:trHeight w:val="234"/>
        </w:trPr>
        <w:tc>
          <w:tcPr>
            <w:tcW w:w="4140" w:type="dxa"/>
            <w:vAlign w:val="bottom"/>
          </w:tcPr>
          <w:p>
            <w:pPr>
              <w:jc w:val="center"/>
              <w:ind w:right="1181"/>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jc w:val="right"/>
              <w:ind w:right="61"/>
              <w:spacing w:after="0"/>
              <w:rPr>
                <w:sz w:val="20"/>
                <w:szCs w:val="20"/>
                <w:color w:val="auto"/>
              </w:rPr>
            </w:pPr>
            <w:r>
              <w:rPr>
                <w:rFonts w:ascii="Arial" w:cs="Arial" w:eastAsia="Arial" w:hAnsi="Arial"/>
                <w:sz w:val="18"/>
                <w:szCs w:val="18"/>
                <w:b w:val="1"/>
                <w:bCs w:val="1"/>
                <w:color w:val="auto"/>
              </w:rPr>
              <w:t>45-2598330</w:t>
            </w:r>
          </w:p>
        </w:tc>
      </w:tr>
      <w:tr>
        <w:trPr>
          <w:trHeight w:val="216"/>
        </w:trPr>
        <w:tc>
          <w:tcPr>
            <w:tcW w:w="4140" w:type="dxa"/>
            <w:vAlign w:val="bottom"/>
          </w:tcPr>
          <w:p>
            <w:pPr>
              <w:jc w:val="center"/>
              <w:ind w:right="1181"/>
              <w:spacing w:after="0"/>
              <w:rPr>
                <w:sz w:val="20"/>
                <w:szCs w:val="20"/>
                <w:color w:val="auto"/>
              </w:rPr>
            </w:pPr>
            <w:r>
              <w:rPr>
                <w:rFonts w:ascii="Arial" w:cs="Arial" w:eastAsia="Arial" w:hAnsi="Arial"/>
                <w:sz w:val="14"/>
                <w:szCs w:val="14"/>
                <w:b w:val="1"/>
                <w:bCs w:val="1"/>
                <w:color w:val="auto"/>
                <w:w w:val="93"/>
              </w:rPr>
              <w:t>(State or other jurisdiction of</w:t>
            </w:r>
          </w:p>
        </w:tc>
        <w:tc>
          <w:tcPr>
            <w:tcW w:w="2440" w:type="dxa"/>
            <w:vAlign w:val="bottom"/>
          </w:tcPr>
          <w:p>
            <w:pPr>
              <w:jc w:val="center"/>
              <w:ind w:left="12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140" w:type="dxa"/>
            <w:vAlign w:val="bottom"/>
          </w:tcPr>
          <w:p>
            <w:pPr>
              <w:jc w:val="center"/>
              <w:ind w:right="1181"/>
              <w:spacing w:after="0"/>
              <w:rPr>
                <w:sz w:val="20"/>
                <w:szCs w:val="20"/>
                <w:color w:val="auto"/>
              </w:rPr>
            </w:pPr>
            <w:r>
              <w:rPr>
                <w:rFonts w:ascii="Arial" w:cs="Arial" w:eastAsia="Arial" w:hAnsi="Arial"/>
                <w:sz w:val="14"/>
                <w:szCs w:val="14"/>
                <w:b w:val="1"/>
                <w:bCs w:val="1"/>
                <w:color w:val="auto"/>
                <w:w w:val="94"/>
              </w:rPr>
              <w:t>incorporation or organization)</w:t>
            </w:r>
          </w:p>
        </w:tc>
        <w:tc>
          <w:tcPr>
            <w:tcW w:w="2440" w:type="dxa"/>
            <w:vAlign w:val="bottom"/>
          </w:tcPr>
          <w:p>
            <w:pPr>
              <w:jc w:val="center"/>
              <w:ind w:left="1221"/>
              <w:spacing w:after="0"/>
              <w:rPr>
                <w:sz w:val="20"/>
                <w:szCs w:val="20"/>
                <w:color w:val="auto"/>
              </w:rPr>
            </w:pPr>
            <w:r>
              <w:rPr>
                <w:rFonts w:ascii="Arial" w:cs="Arial" w:eastAsia="Arial" w:hAnsi="Arial"/>
                <w:sz w:val="14"/>
                <w:szCs w:val="14"/>
                <w:b w:val="1"/>
                <w:bCs w:val="1"/>
                <w:color w:val="auto"/>
                <w:w w:val="96"/>
              </w:rPr>
              <w:t>Identification No.)</w:t>
            </w:r>
          </w:p>
        </w:tc>
      </w:tr>
      <w:tr>
        <w:trPr>
          <w:trHeight w:val="250"/>
        </w:trPr>
        <w:tc>
          <w:tcPr>
            <w:tcW w:w="4140" w:type="dxa"/>
            <w:vAlign w:val="bottom"/>
          </w:tcPr>
          <w:p>
            <w:pPr>
              <w:jc w:val="center"/>
              <w:ind w:right="1201"/>
              <w:spacing w:after="0"/>
              <w:rPr>
                <w:sz w:val="20"/>
                <w:szCs w:val="20"/>
                <w:color w:val="auto"/>
              </w:rPr>
            </w:pPr>
            <w:r>
              <w:rPr>
                <w:rFonts w:ascii="Arial" w:cs="Arial" w:eastAsia="Arial" w:hAnsi="Arial"/>
                <w:sz w:val="18"/>
                <w:szCs w:val="18"/>
                <w:b w:val="1"/>
                <w:bCs w:val="1"/>
                <w:color w:val="auto"/>
                <w:w w:val="96"/>
              </w:rPr>
              <w:t>9002 San Marco Court  Orlando FL</w:t>
            </w: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32819</w:t>
            </w:r>
          </w:p>
        </w:tc>
      </w:tr>
      <w:tr>
        <w:trPr>
          <w:trHeight w:val="186"/>
        </w:trPr>
        <w:tc>
          <w:tcPr>
            <w:tcW w:w="4140" w:type="dxa"/>
            <w:vAlign w:val="bottom"/>
          </w:tcPr>
          <w:p>
            <w:pPr>
              <w:jc w:val="center"/>
              <w:ind w:right="11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jc w:val="center"/>
              <w:ind w:left="1221"/>
              <w:spacing w:after="0"/>
              <w:rPr>
                <w:sz w:val="20"/>
                <w:szCs w:val="20"/>
                <w:color w:val="auto"/>
              </w:rPr>
            </w:pPr>
            <w:r>
              <w:rPr>
                <w:rFonts w:ascii="Arial" w:cs="Arial" w:eastAsia="Arial" w:hAnsi="Arial"/>
                <w:sz w:val="14"/>
                <w:szCs w:val="14"/>
                <w:b w:val="1"/>
                <w:bCs w:val="1"/>
                <w:color w:val="auto"/>
                <w:w w:val="95"/>
              </w:rPr>
              <w:t>(Zip Code)</w:t>
            </w:r>
          </w:p>
        </w:tc>
      </w:tr>
    </w:tbl>
    <w:p>
      <w:pPr>
        <w:spacing w:after="0" w:line="102" w:lineRule="exact"/>
        <w:rPr>
          <w:sz w:val="24"/>
          <w:szCs w:val="24"/>
          <w:color w:val="auto"/>
        </w:rPr>
      </w:pPr>
    </w:p>
    <w:p>
      <w:pPr>
        <w:ind w:left="3860" w:hanging="444"/>
        <w:spacing w:after="0"/>
        <w:tabs>
          <w:tab w:leader="none" w:pos="38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206-6000 </w:t>
      </w:r>
      <w:r>
        <w:rPr>
          <w:rFonts w:ascii="Arial" w:cs="Arial" w:eastAsia="Arial" w:hAnsi="Arial"/>
          <w:sz w:val="14"/>
          <w:szCs w:val="14"/>
          <w:b w:val="1"/>
          <w:bCs w:val="1"/>
          <w:color w:val="auto"/>
        </w:rPr>
        <w:t>(Registrant’s telephone number, including area code)</w:t>
      </w:r>
    </w:p>
    <w:p>
      <w:pPr>
        <w:spacing w:after="0" w:line="302" w:lineRule="exact"/>
        <w:rPr>
          <w:sz w:val="24"/>
          <w:szCs w:val="24"/>
          <w:color w:val="auto"/>
        </w:rPr>
      </w:pPr>
    </w:p>
    <w:p>
      <w:pPr>
        <w:ind w:left="310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0"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26" w:lineRule="exact"/>
        <w:rPr>
          <w:sz w:val="24"/>
          <w:szCs w:val="24"/>
          <w:color w:val="auto"/>
        </w:rPr>
      </w:pPr>
    </w:p>
    <w:tbl>
      <w:tblPr>
        <w:tblLayout w:type="fixed"/>
        <w:tblInd w:w="30" w:type="dxa"/>
        <w:tblCellMar>
          <w:top w:w="0" w:type="dxa"/>
          <w:left w:w="0" w:type="dxa"/>
          <w:bottom w:w="0" w:type="dxa"/>
          <w:right w:w="0" w:type="dxa"/>
        </w:tblCellMar>
      </w:tblPr>
      <w:tr>
        <w:trPr>
          <w:trHeight w:val="201"/>
        </w:trPr>
        <w:tc>
          <w:tcPr>
            <w:tcW w:w="3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1"/>
        </w:trPr>
        <w:tc>
          <w:tcPr>
            <w:tcW w:w="3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Common Stock, $0.01 Par Value</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VAC</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New York Stock Exchange</w:t>
            </w:r>
          </w:p>
        </w:tc>
      </w:tr>
    </w:tbl>
    <w:p>
      <w:pPr>
        <w:spacing w:after="0" w:line="144" w:lineRule="exact"/>
        <w:rPr>
          <w:sz w:val="24"/>
          <w:szCs w:val="24"/>
          <w:color w:val="auto"/>
        </w:rPr>
      </w:pPr>
    </w:p>
    <w:p>
      <w:pPr>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ind w:right="120"/>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5" w:lineRule="exact"/>
        <w:rPr>
          <w:sz w:val="24"/>
          <w:szCs w:val="24"/>
          <w:color w:val="auto"/>
        </w:rPr>
      </w:pPr>
    </w:p>
    <w:p>
      <w:pPr>
        <w:jc w:val="both"/>
        <w:ind w:right="14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500" w:type="dxa"/>
        <w:tblCellMar>
          <w:top w:w="0" w:type="dxa"/>
          <w:left w:w="0" w:type="dxa"/>
          <w:bottom w:w="0" w:type="dxa"/>
          <w:right w:w="0" w:type="dxa"/>
        </w:tblCellMar>
      </w:tblPr>
      <w:tr>
        <w:trPr>
          <w:trHeight w:val="209"/>
        </w:trPr>
        <w:tc>
          <w:tcPr>
            <w:tcW w:w="25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0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740"/>
              <w:spacing w:after="0"/>
              <w:rPr>
                <w:sz w:val="20"/>
                <w:szCs w:val="20"/>
                <w:color w:val="auto"/>
              </w:rPr>
            </w:pPr>
            <w:r>
              <w:rPr>
                <w:rFonts w:ascii="Arial" w:cs="Arial" w:eastAsia="Arial" w:hAnsi="Arial"/>
                <w:sz w:val="17"/>
                <w:szCs w:val="17"/>
                <w:color w:val="auto"/>
              </w:rPr>
              <w:t>Accelerated filer</w:t>
            </w:r>
          </w:p>
        </w:tc>
        <w:tc>
          <w:tcPr>
            <w:tcW w:w="102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29"/>
        </w:trPr>
        <w:tc>
          <w:tcPr>
            <w:tcW w:w="2540" w:type="dxa"/>
            <w:vAlign w:val="bottom"/>
          </w:tcPr>
          <w:p>
            <w:pPr>
              <w:spacing w:after="0"/>
              <w:rPr>
                <w:sz w:val="20"/>
                <w:szCs w:val="20"/>
                <w:color w:val="auto"/>
              </w:rPr>
            </w:pPr>
            <w:r>
              <w:rPr>
                <w:rFonts w:ascii="Arial" w:cs="Arial" w:eastAsia="Arial" w:hAnsi="Arial"/>
                <w:sz w:val="17"/>
                <w:szCs w:val="17"/>
                <w:color w:val="auto"/>
              </w:rPr>
              <w:t>Non-accelerated filer</w:t>
            </w:r>
          </w:p>
        </w:tc>
        <w:tc>
          <w:tcPr>
            <w:tcW w:w="190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740"/>
              <w:spacing w:after="0"/>
              <w:rPr>
                <w:sz w:val="20"/>
                <w:szCs w:val="20"/>
                <w:color w:val="auto"/>
              </w:rPr>
            </w:pPr>
            <w:r>
              <w:rPr>
                <w:rFonts w:ascii="Arial" w:cs="Arial" w:eastAsia="Arial" w:hAnsi="Arial"/>
                <w:sz w:val="17"/>
                <w:szCs w:val="17"/>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60" w:type="dxa"/>
            <w:vAlign w:val="bottom"/>
          </w:tcPr>
          <w:p>
            <w:pPr>
              <w:ind w:left="740"/>
              <w:spacing w:after="0"/>
              <w:rPr>
                <w:sz w:val="20"/>
                <w:szCs w:val="20"/>
                <w:color w:val="auto"/>
              </w:rPr>
            </w:pPr>
            <w:r>
              <w:rPr>
                <w:rFonts w:ascii="Arial" w:cs="Arial" w:eastAsia="Arial" w:hAnsi="Arial"/>
                <w:sz w:val="17"/>
                <w:szCs w:val="17"/>
                <w:color w:val="auto"/>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1"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3" w:lineRule="exact"/>
        <w:rPr>
          <w:sz w:val="24"/>
          <w:szCs w:val="24"/>
          <w:color w:val="auto"/>
        </w:rPr>
      </w:pPr>
    </w:p>
    <w:p>
      <w:pPr>
        <w:ind w:right="216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r>
        <w:rPr>
          <w:rFonts w:ascii="Arial" w:cs="Arial" w:eastAsia="Arial" w:hAnsi="Arial"/>
          <w:sz w:val="15"/>
          <w:szCs w:val="15"/>
          <w:color w:val="auto"/>
        </w:rPr>
        <w:t xml:space="preserve"> The number of shares outstanding of the issuer’s common stock, par value $0.01 per share, as of November 4, 2021 was 42,595,068.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106045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71755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1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Page</w:t>
            </w:r>
          </w:p>
        </w:tc>
      </w:tr>
      <w:tr>
        <w:trPr>
          <w:trHeight w:val="162"/>
        </w:trPr>
        <w:tc>
          <w:tcPr>
            <w:tcW w:w="1200" w:type="dxa"/>
            <w:vAlign w:val="bottom"/>
          </w:tcPr>
          <w:p>
            <w:pPr>
              <w:spacing w:after="0" w:line="142" w:lineRule="exact"/>
              <w:rPr>
                <w:sz w:val="20"/>
                <w:szCs w:val="20"/>
                <w:color w:val="auto"/>
              </w:rPr>
            </w:pPr>
            <w:r>
              <w:rPr>
                <w:rFonts w:ascii="Arial" w:cs="Arial" w:eastAsia="Arial" w:hAnsi="Arial"/>
                <w:sz w:val="16"/>
                <w:szCs w:val="16"/>
                <w:b w:val="1"/>
                <w:bCs w:val="1"/>
                <w:color w:val="auto"/>
              </w:rPr>
              <w:t>Part I.</w:t>
            </w:r>
          </w:p>
        </w:tc>
        <w:tc>
          <w:tcPr>
            <w:tcW w:w="2360" w:type="dxa"/>
            <w:vAlign w:val="bottom"/>
            <w:gridSpan w:val="17"/>
          </w:tcPr>
          <w:p>
            <w:pPr>
              <w:spacing w:after="0" w:line="142" w:lineRule="exact"/>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FINANCIAL INFORMATION</w:t>
              </w:r>
            </w:hyperlink>
          </w:p>
        </w:tc>
        <w:tc>
          <w:tcPr>
            <w:tcW w:w="6560" w:type="dxa"/>
            <w:vAlign w:val="bottom"/>
            <w:gridSpan w:val="15"/>
          </w:tcPr>
          <w:p>
            <w:pPr>
              <w:spacing w:after="0"/>
              <w:rPr>
                <w:sz w:val="14"/>
                <w:szCs w:val="14"/>
                <w:color w:val="auto"/>
              </w:rPr>
            </w:pPr>
          </w:p>
        </w:tc>
        <w:tc>
          <w:tcPr>
            <w:tcW w:w="600" w:type="dxa"/>
            <w:vAlign w:val="bottom"/>
            <w:gridSpan w:val="2"/>
          </w:tcPr>
          <w:p>
            <w:pPr>
              <w:jc w:val="center"/>
              <w:ind w:left="435"/>
              <w:spacing w:after="0" w:line="142" w:lineRule="exact"/>
              <w:rPr>
                <w:rFonts w:ascii="Arial" w:cs="Arial" w:eastAsia="Arial" w:hAnsi="Arial"/>
                <w:sz w:val="16"/>
                <w:szCs w:val="16"/>
                <w:color w:val="0000FF"/>
                <w:w w:val="89"/>
              </w:rPr>
            </w:pPr>
            <w:hyperlink w:anchor="page2">
              <w:r>
                <w:rPr>
                  <w:rFonts w:ascii="Arial" w:cs="Arial" w:eastAsia="Arial" w:hAnsi="Arial"/>
                  <w:sz w:val="16"/>
                  <w:szCs w:val="16"/>
                  <w:color w:val="0000FF"/>
                  <w:w w:val="89"/>
                </w:rPr>
                <w:t>1</w:t>
              </w:r>
            </w:hyperlink>
          </w:p>
        </w:tc>
        <w:tc>
          <w:tcPr>
            <w:tcW w:w="500" w:type="dxa"/>
            <w:vAlign w:val="bottom"/>
          </w:tcPr>
          <w:p>
            <w:pPr>
              <w:spacing w:after="0"/>
              <w:rPr>
                <w:sz w:val="14"/>
                <w:szCs w:val="14"/>
                <w:color w:val="auto"/>
              </w:rPr>
            </w:pPr>
          </w:p>
        </w:tc>
      </w:tr>
      <w:tr>
        <w:trPr>
          <w:trHeight w:val="27"/>
        </w:trPr>
        <w:tc>
          <w:tcPr>
            <w:tcW w:w="120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gridSpan w:val="2"/>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r>
      <w:tr>
        <w:trPr>
          <w:trHeight w:val="203"/>
        </w:trPr>
        <w:tc>
          <w:tcPr>
            <w:tcW w:w="1200" w:type="dxa"/>
            <w:vAlign w:val="bottom"/>
          </w:tcPr>
          <w:p>
            <w:pPr>
              <w:ind w:left="200"/>
              <w:spacing w:after="0"/>
              <w:rPr>
                <w:sz w:val="20"/>
                <w:szCs w:val="20"/>
                <w:color w:val="auto"/>
              </w:rPr>
            </w:pPr>
            <w:r>
              <w:rPr>
                <w:rFonts w:ascii="Arial" w:cs="Arial" w:eastAsia="Arial" w:hAnsi="Arial"/>
                <w:sz w:val="17"/>
                <w:szCs w:val="17"/>
                <w:color w:val="auto"/>
              </w:rPr>
              <w:t>Item 1.</w:t>
            </w:r>
          </w:p>
        </w:tc>
        <w:tc>
          <w:tcPr>
            <w:tcW w:w="200" w:type="dxa"/>
            <w:vAlign w:val="bottom"/>
          </w:tcPr>
          <w:p>
            <w:pPr>
              <w:spacing w:after="0"/>
              <w:rPr>
                <w:sz w:val="17"/>
                <w:szCs w:val="17"/>
                <w:color w:val="auto"/>
              </w:rPr>
            </w:pPr>
          </w:p>
        </w:tc>
        <w:tc>
          <w:tcPr>
            <w:tcW w:w="2160" w:type="dxa"/>
            <w:vAlign w:val="bottom"/>
            <w:gridSpan w:val="16"/>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Financial Statements</w:t>
              </w:r>
            </w:hyperlink>
          </w:p>
        </w:tc>
        <w:tc>
          <w:tcPr>
            <w:tcW w:w="6560" w:type="dxa"/>
            <w:vAlign w:val="bottom"/>
            <w:gridSpan w:val="15"/>
          </w:tcPr>
          <w:p>
            <w:pPr>
              <w:spacing w:after="0"/>
              <w:rPr>
                <w:sz w:val="17"/>
                <w:szCs w:val="17"/>
                <w:color w:val="auto"/>
              </w:rPr>
            </w:pPr>
          </w:p>
        </w:tc>
        <w:tc>
          <w:tcPr>
            <w:tcW w:w="600" w:type="dxa"/>
            <w:vAlign w:val="bottom"/>
            <w:gridSpan w:val="2"/>
          </w:tcPr>
          <w:p>
            <w:pPr>
              <w:jc w:val="center"/>
              <w:ind w:left="435"/>
              <w:spacing w:after="0"/>
              <w:rPr>
                <w:rFonts w:ascii="Arial" w:cs="Arial" w:eastAsia="Arial" w:hAnsi="Arial"/>
                <w:sz w:val="17"/>
                <w:szCs w:val="17"/>
                <w:color w:val="0000FF"/>
                <w:w w:val="84"/>
              </w:rPr>
            </w:pPr>
            <w:hyperlink w:anchor="page3">
              <w:r>
                <w:rPr>
                  <w:rFonts w:ascii="Arial" w:cs="Arial" w:eastAsia="Arial" w:hAnsi="Arial"/>
                  <w:sz w:val="17"/>
                  <w:szCs w:val="17"/>
                  <w:color w:val="0000FF"/>
                  <w:w w:val="84"/>
                </w:rPr>
                <w:t>1</w:t>
              </w:r>
            </w:hyperlink>
          </w:p>
        </w:tc>
        <w:tc>
          <w:tcPr>
            <w:tcW w:w="5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22"/>
          </w:tcPr>
          <w:p>
            <w:pPr>
              <w:spacing w:after="0"/>
              <w:rPr>
                <w:rFonts w:ascii="Arial" w:cs="Arial" w:eastAsia="Arial" w:hAnsi="Arial"/>
                <w:sz w:val="17"/>
                <w:szCs w:val="17"/>
                <w:color w:val="0000FF"/>
                <w:w w:val="90"/>
              </w:rPr>
            </w:pPr>
            <w:hyperlink w:anchor="page3">
              <w:r>
                <w:rPr>
                  <w:rFonts w:ascii="Arial" w:cs="Arial" w:eastAsia="Arial" w:hAnsi="Arial"/>
                  <w:sz w:val="17"/>
                  <w:szCs w:val="17"/>
                  <w:color w:val="0000FF"/>
                  <w:w w:val="90"/>
                </w:rPr>
                <w:t>Interim Consolidated Statements of Income</w:t>
              </w:r>
            </w:hyperlink>
          </w:p>
        </w:tc>
        <w:tc>
          <w:tcPr>
            <w:tcW w:w="5500" w:type="dxa"/>
            <w:vAlign w:val="bottom"/>
            <w:gridSpan w:val="8"/>
          </w:tcPr>
          <w:p>
            <w:pPr>
              <w:spacing w:after="0"/>
              <w:rPr>
                <w:sz w:val="17"/>
                <w:szCs w:val="17"/>
                <w:color w:val="auto"/>
              </w:rPr>
            </w:pPr>
          </w:p>
        </w:tc>
        <w:tc>
          <w:tcPr>
            <w:tcW w:w="600" w:type="dxa"/>
            <w:vAlign w:val="bottom"/>
            <w:gridSpan w:val="2"/>
          </w:tcPr>
          <w:p>
            <w:pPr>
              <w:jc w:val="center"/>
              <w:ind w:left="435"/>
              <w:spacing w:after="0"/>
              <w:rPr>
                <w:rFonts w:ascii="Arial" w:cs="Arial" w:eastAsia="Arial" w:hAnsi="Arial"/>
                <w:sz w:val="17"/>
                <w:szCs w:val="17"/>
                <w:color w:val="0000FF"/>
                <w:w w:val="84"/>
              </w:rPr>
            </w:pPr>
            <w:hyperlink w:anchor="page3">
              <w:r>
                <w:rPr>
                  <w:rFonts w:ascii="Arial" w:cs="Arial" w:eastAsia="Arial" w:hAnsi="Arial"/>
                  <w:sz w:val="17"/>
                  <w:szCs w:val="17"/>
                  <w:color w:val="0000FF"/>
                  <w:w w:val="84"/>
                </w:rPr>
                <w:t>1</w:t>
              </w:r>
            </w:hyperlink>
          </w:p>
        </w:tc>
        <w:tc>
          <w:tcPr>
            <w:tcW w:w="5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00" w:type="dxa"/>
            <w:vAlign w:val="bottom"/>
            <w:gridSpan w:val="27"/>
          </w:tcPr>
          <w:p>
            <w:pPr>
              <w:spacing w:after="0"/>
              <w:rPr>
                <w:rFonts w:ascii="Arial" w:cs="Arial" w:eastAsia="Arial" w:hAnsi="Arial"/>
                <w:sz w:val="17"/>
                <w:szCs w:val="17"/>
                <w:color w:val="0000FF"/>
                <w:w w:val="90"/>
              </w:rPr>
            </w:pPr>
            <w:hyperlink w:anchor="page3">
              <w:r>
                <w:rPr>
                  <w:rFonts w:ascii="Arial" w:cs="Arial" w:eastAsia="Arial" w:hAnsi="Arial"/>
                  <w:sz w:val="17"/>
                  <w:szCs w:val="17"/>
                  <w:color w:val="0000FF"/>
                  <w:w w:val="90"/>
                </w:rPr>
                <w:t>Interim Consolidated Statements of Comprehensive Income</w:t>
              </w:r>
            </w:hyperlink>
          </w:p>
        </w:tc>
        <w:tc>
          <w:tcPr>
            <w:tcW w:w="4380" w:type="dxa"/>
            <w:vAlign w:val="bottom"/>
            <w:gridSpan w:val="3"/>
          </w:tcPr>
          <w:p>
            <w:pPr>
              <w:spacing w:after="0"/>
              <w:rPr>
                <w:sz w:val="17"/>
                <w:szCs w:val="17"/>
                <w:color w:val="auto"/>
              </w:rPr>
            </w:pPr>
          </w:p>
        </w:tc>
        <w:tc>
          <w:tcPr>
            <w:tcW w:w="600" w:type="dxa"/>
            <w:vAlign w:val="bottom"/>
            <w:gridSpan w:val="2"/>
          </w:tcPr>
          <w:p>
            <w:pPr>
              <w:jc w:val="center"/>
              <w:ind w:left="435"/>
              <w:spacing w:after="0"/>
              <w:rPr>
                <w:rFonts w:ascii="Arial" w:cs="Arial" w:eastAsia="Arial" w:hAnsi="Arial"/>
                <w:sz w:val="17"/>
                <w:szCs w:val="17"/>
                <w:color w:val="0000FF"/>
                <w:w w:val="84"/>
              </w:rPr>
            </w:pPr>
            <w:hyperlink w:anchor="page3">
              <w:r>
                <w:rPr>
                  <w:rFonts w:ascii="Arial" w:cs="Arial" w:eastAsia="Arial" w:hAnsi="Arial"/>
                  <w:sz w:val="17"/>
                  <w:szCs w:val="17"/>
                  <w:color w:val="0000FF"/>
                  <w:w w:val="84"/>
                </w:rPr>
                <w:t>2</w:t>
              </w:r>
            </w:hyperlink>
          </w:p>
        </w:tc>
        <w:tc>
          <w:tcPr>
            <w:tcW w:w="5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00" w:type="dxa"/>
            <w:vAlign w:val="bottom"/>
            <w:gridSpan w:val="27"/>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Interim Consolidated Balance Sheets</w:t>
              </w:r>
            </w:hyperlink>
          </w:p>
        </w:tc>
        <w:tc>
          <w:tcPr>
            <w:tcW w:w="4380" w:type="dxa"/>
            <w:vAlign w:val="bottom"/>
            <w:gridSpan w:val="3"/>
          </w:tcPr>
          <w:p>
            <w:pPr>
              <w:spacing w:after="0"/>
              <w:rPr>
                <w:sz w:val="17"/>
                <w:szCs w:val="17"/>
                <w:color w:val="auto"/>
              </w:rPr>
            </w:pPr>
          </w:p>
        </w:tc>
        <w:tc>
          <w:tcPr>
            <w:tcW w:w="600" w:type="dxa"/>
            <w:vAlign w:val="bottom"/>
            <w:gridSpan w:val="2"/>
          </w:tcPr>
          <w:p>
            <w:pPr>
              <w:jc w:val="center"/>
              <w:ind w:left="435"/>
              <w:spacing w:after="0"/>
              <w:rPr>
                <w:rFonts w:ascii="Arial" w:cs="Arial" w:eastAsia="Arial" w:hAnsi="Arial"/>
                <w:sz w:val="17"/>
                <w:szCs w:val="17"/>
                <w:color w:val="0000FF"/>
                <w:w w:val="84"/>
              </w:rPr>
            </w:pPr>
            <w:hyperlink w:anchor="page4">
              <w:r>
                <w:rPr>
                  <w:rFonts w:ascii="Arial" w:cs="Arial" w:eastAsia="Arial" w:hAnsi="Arial"/>
                  <w:sz w:val="17"/>
                  <w:szCs w:val="17"/>
                  <w:color w:val="0000FF"/>
                  <w:w w:val="84"/>
                </w:rPr>
                <w:t>3</w:t>
              </w:r>
            </w:hyperlink>
          </w:p>
        </w:tc>
        <w:tc>
          <w:tcPr>
            <w:tcW w:w="5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80" w:type="dxa"/>
            <w:vAlign w:val="bottom"/>
            <w:gridSpan w:val="30"/>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Interim Consolidated Statements of Cash Flows</w:t>
              </w:r>
            </w:hyperlink>
          </w:p>
        </w:tc>
        <w:tc>
          <w:tcPr>
            <w:tcW w:w="600" w:type="dxa"/>
            <w:vAlign w:val="bottom"/>
            <w:gridSpan w:val="2"/>
          </w:tcPr>
          <w:p>
            <w:pPr>
              <w:jc w:val="center"/>
              <w:ind w:left="435"/>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4</w:t>
              </w:r>
            </w:hyperlink>
          </w:p>
        </w:tc>
        <w:tc>
          <w:tcPr>
            <w:tcW w:w="5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gridSpan w:val="26"/>
          </w:tcPr>
          <w:p>
            <w:pPr>
              <w:spacing w:after="0"/>
              <w:rPr>
                <w:rFonts w:ascii="Arial" w:cs="Arial" w:eastAsia="Arial" w:hAnsi="Arial"/>
                <w:sz w:val="17"/>
                <w:szCs w:val="17"/>
                <w:color w:val="0000FF"/>
                <w:w w:val="90"/>
              </w:rPr>
            </w:pPr>
            <w:hyperlink w:anchor="page7">
              <w:r>
                <w:rPr>
                  <w:rFonts w:ascii="Arial" w:cs="Arial" w:eastAsia="Arial" w:hAnsi="Arial"/>
                  <w:sz w:val="17"/>
                  <w:szCs w:val="17"/>
                  <w:color w:val="0000FF"/>
                  <w:w w:val="90"/>
                </w:rPr>
                <w:t>Interim Consolidated Statements of Shareholders’ Equity</w:t>
              </w:r>
            </w:hyperlink>
          </w:p>
        </w:tc>
        <w:tc>
          <w:tcPr>
            <w:tcW w:w="4560" w:type="dxa"/>
            <w:vAlign w:val="bottom"/>
            <w:gridSpan w:val="4"/>
          </w:tcPr>
          <w:p>
            <w:pPr>
              <w:spacing w:after="0"/>
              <w:rPr>
                <w:sz w:val="17"/>
                <w:szCs w:val="17"/>
                <w:color w:val="auto"/>
              </w:rPr>
            </w:pPr>
          </w:p>
        </w:tc>
        <w:tc>
          <w:tcPr>
            <w:tcW w:w="600" w:type="dxa"/>
            <w:vAlign w:val="bottom"/>
            <w:gridSpan w:val="2"/>
          </w:tcPr>
          <w:p>
            <w:pPr>
              <w:jc w:val="center"/>
              <w:ind w:left="435"/>
              <w:spacing w:after="0"/>
              <w:rPr>
                <w:rFonts w:ascii="Arial" w:cs="Arial" w:eastAsia="Arial" w:hAnsi="Arial"/>
                <w:sz w:val="17"/>
                <w:szCs w:val="17"/>
                <w:color w:val="0000FF"/>
                <w:w w:val="84"/>
              </w:rPr>
            </w:pPr>
            <w:hyperlink w:anchor="page7">
              <w:r>
                <w:rPr>
                  <w:rFonts w:ascii="Arial" w:cs="Arial" w:eastAsia="Arial" w:hAnsi="Arial"/>
                  <w:sz w:val="17"/>
                  <w:szCs w:val="17"/>
                  <w:color w:val="0000FF"/>
                  <w:w w:val="84"/>
                </w:rPr>
                <w:t>6</w:t>
              </w:r>
            </w:hyperlink>
          </w:p>
        </w:tc>
        <w:tc>
          <w:tcPr>
            <w:tcW w:w="5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40" w:type="dxa"/>
            <w:vAlign w:val="bottom"/>
            <w:gridSpan w:val="25"/>
          </w:tcPr>
          <w:p>
            <w:pPr>
              <w:spacing w:after="0"/>
              <w:rPr>
                <w:rFonts w:ascii="Arial" w:cs="Arial" w:eastAsia="Arial" w:hAnsi="Arial"/>
                <w:sz w:val="17"/>
                <w:szCs w:val="17"/>
                <w:color w:val="0000FF"/>
                <w:w w:val="90"/>
              </w:rPr>
            </w:pPr>
            <w:hyperlink w:anchor="page9">
              <w:r>
                <w:rPr>
                  <w:rFonts w:ascii="Arial" w:cs="Arial" w:eastAsia="Arial" w:hAnsi="Arial"/>
                  <w:sz w:val="17"/>
                  <w:szCs w:val="17"/>
                  <w:color w:val="0000FF"/>
                  <w:w w:val="90"/>
                </w:rPr>
                <w:t>Notes to Interim Consolidated Financial Statements</w:t>
              </w:r>
            </w:hyperlink>
          </w:p>
        </w:tc>
        <w:tc>
          <w:tcPr>
            <w:tcW w:w="5180" w:type="dxa"/>
            <w:vAlign w:val="bottom"/>
            <w:gridSpan w:val="6"/>
          </w:tcPr>
          <w:p>
            <w:pPr>
              <w:spacing w:after="0"/>
              <w:rPr>
                <w:sz w:val="17"/>
                <w:szCs w:val="17"/>
                <w:color w:val="auto"/>
              </w:rPr>
            </w:pPr>
          </w:p>
        </w:tc>
        <w:tc>
          <w:tcPr>
            <w:tcW w:w="600" w:type="dxa"/>
            <w:vAlign w:val="bottom"/>
            <w:gridSpan w:val="2"/>
          </w:tcPr>
          <w:p>
            <w:pPr>
              <w:jc w:val="center"/>
              <w:ind w:left="435"/>
              <w:spacing w:after="0"/>
              <w:rPr>
                <w:rFonts w:ascii="Arial" w:cs="Arial" w:eastAsia="Arial" w:hAnsi="Arial"/>
                <w:sz w:val="17"/>
                <w:szCs w:val="17"/>
                <w:color w:val="0000FF"/>
                <w:w w:val="84"/>
              </w:rPr>
            </w:pPr>
            <w:hyperlink w:anchor="page9">
              <w:r>
                <w:rPr>
                  <w:rFonts w:ascii="Arial" w:cs="Arial" w:eastAsia="Arial" w:hAnsi="Arial"/>
                  <w:sz w:val="17"/>
                  <w:szCs w:val="17"/>
                  <w:color w:val="0000FF"/>
                  <w:w w:val="84"/>
                </w:rPr>
                <w:t>8</w:t>
              </w:r>
            </w:hyperlink>
          </w:p>
        </w:tc>
        <w:tc>
          <w:tcPr>
            <w:tcW w:w="5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2"/>
          </w:tcPr>
          <w:p>
            <w:pPr>
              <w:ind w:left="240"/>
              <w:spacing w:after="0"/>
              <w:rPr>
                <w:rFonts w:ascii="Arial" w:cs="Arial" w:eastAsia="Arial" w:hAnsi="Arial"/>
                <w:sz w:val="17"/>
                <w:szCs w:val="17"/>
                <w:color w:val="0000FF"/>
                <w:w w:val="84"/>
              </w:rPr>
            </w:pPr>
            <w:hyperlink w:anchor="page10">
              <w:r>
                <w:rPr>
                  <w:rFonts w:ascii="Arial" w:cs="Arial" w:eastAsia="Arial" w:hAnsi="Arial"/>
                  <w:sz w:val="17"/>
                  <w:szCs w:val="17"/>
                  <w:color w:val="0000FF"/>
                  <w:w w:val="84"/>
                </w:rPr>
                <w:t>1.</w:t>
              </w:r>
            </w:hyperlink>
          </w:p>
        </w:tc>
        <w:tc>
          <w:tcPr>
            <w:tcW w:w="3160" w:type="dxa"/>
            <w:vAlign w:val="bottom"/>
            <w:gridSpan w:val="23"/>
          </w:tcPr>
          <w:p>
            <w:pPr>
              <w:ind w:left="40"/>
              <w:spacing w:after="0"/>
              <w:rPr>
                <w:rFonts w:ascii="Arial" w:cs="Arial" w:eastAsia="Arial" w:hAnsi="Arial"/>
                <w:sz w:val="17"/>
                <w:szCs w:val="17"/>
                <w:color w:val="0000FF"/>
              </w:rPr>
            </w:pPr>
            <w:hyperlink w:anchor="page10">
              <w:r>
                <w:rPr>
                  <w:rFonts w:ascii="Arial" w:cs="Arial" w:eastAsia="Arial" w:hAnsi="Arial"/>
                  <w:sz w:val="17"/>
                  <w:szCs w:val="17"/>
                  <w:color w:val="0000FF"/>
                </w:rPr>
                <w:t>Basis of Presentation</w:t>
              </w:r>
            </w:hyperlink>
          </w:p>
        </w:tc>
        <w:tc>
          <w:tcPr>
            <w:tcW w:w="5180" w:type="dxa"/>
            <w:vAlign w:val="bottom"/>
            <w:gridSpan w:val="6"/>
          </w:tcPr>
          <w:p>
            <w:pPr>
              <w:spacing w:after="0"/>
              <w:rPr>
                <w:sz w:val="17"/>
                <w:szCs w:val="17"/>
                <w:color w:val="auto"/>
              </w:rPr>
            </w:pPr>
          </w:p>
        </w:tc>
        <w:tc>
          <w:tcPr>
            <w:tcW w:w="600" w:type="dxa"/>
            <w:vAlign w:val="bottom"/>
            <w:gridSpan w:val="2"/>
          </w:tcPr>
          <w:p>
            <w:pPr>
              <w:jc w:val="center"/>
              <w:ind w:left="435"/>
              <w:spacing w:after="0"/>
              <w:rPr>
                <w:rFonts w:ascii="Arial" w:cs="Arial" w:eastAsia="Arial" w:hAnsi="Arial"/>
                <w:sz w:val="17"/>
                <w:szCs w:val="17"/>
                <w:color w:val="0000FF"/>
                <w:w w:val="84"/>
              </w:rPr>
            </w:pPr>
            <w:hyperlink w:anchor="page10">
              <w:r>
                <w:rPr>
                  <w:rFonts w:ascii="Arial" w:cs="Arial" w:eastAsia="Arial" w:hAnsi="Arial"/>
                  <w:sz w:val="17"/>
                  <w:szCs w:val="17"/>
                  <w:color w:val="0000FF"/>
                  <w:w w:val="84"/>
                </w:rPr>
                <w:t>8</w:t>
              </w:r>
            </w:hyperlink>
          </w:p>
        </w:tc>
        <w:tc>
          <w:tcPr>
            <w:tcW w:w="5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580" w:type="dxa"/>
            <w:vAlign w:val="bottom"/>
            <w:gridSpan w:val="3"/>
          </w:tcPr>
          <w:p>
            <w:pPr>
              <w:ind w:left="440"/>
              <w:spacing w:after="0"/>
              <w:rPr>
                <w:rFonts w:ascii="Arial" w:cs="Arial" w:eastAsia="Arial" w:hAnsi="Arial"/>
                <w:sz w:val="17"/>
                <w:szCs w:val="17"/>
                <w:color w:val="0000FF"/>
                <w:w w:val="84"/>
              </w:rPr>
            </w:pPr>
            <w:hyperlink w:anchor="page11">
              <w:r>
                <w:rPr>
                  <w:rFonts w:ascii="Arial" w:cs="Arial" w:eastAsia="Arial" w:hAnsi="Arial"/>
                  <w:sz w:val="17"/>
                  <w:szCs w:val="17"/>
                  <w:color w:val="0000FF"/>
                  <w:w w:val="84"/>
                </w:rPr>
                <w:t>2.</w:t>
              </w:r>
            </w:hyperlink>
          </w:p>
        </w:tc>
        <w:tc>
          <w:tcPr>
            <w:tcW w:w="8340" w:type="dxa"/>
            <w:vAlign w:val="bottom"/>
            <w:gridSpan w:val="29"/>
          </w:tcPr>
          <w:p>
            <w:pPr>
              <w:ind w:left="40"/>
              <w:spacing w:after="0"/>
              <w:rPr>
                <w:rFonts w:ascii="Arial" w:cs="Arial" w:eastAsia="Arial" w:hAnsi="Arial"/>
                <w:sz w:val="17"/>
                <w:szCs w:val="17"/>
                <w:color w:val="0000FF"/>
              </w:rPr>
            </w:pPr>
            <w:hyperlink w:anchor="page11">
              <w:r>
                <w:rPr>
                  <w:rFonts w:ascii="Arial" w:cs="Arial" w:eastAsia="Arial" w:hAnsi="Arial"/>
                  <w:sz w:val="17"/>
                  <w:szCs w:val="17"/>
                  <w:color w:val="0000FF"/>
                </w:rPr>
                <w:t>Significant Accounting Policies and Recent Accounting Standards</w:t>
              </w:r>
            </w:hyperlink>
          </w:p>
        </w:tc>
        <w:tc>
          <w:tcPr>
            <w:tcW w:w="600" w:type="dxa"/>
            <w:vAlign w:val="bottom"/>
            <w:gridSpan w:val="2"/>
          </w:tcPr>
          <w:p>
            <w:pPr>
              <w:jc w:val="center"/>
              <w:ind w:left="435"/>
              <w:spacing w:after="0"/>
              <w:rPr>
                <w:rFonts w:ascii="Arial" w:cs="Arial" w:eastAsia="Arial" w:hAnsi="Arial"/>
                <w:sz w:val="17"/>
                <w:szCs w:val="17"/>
                <w:color w:val="0000FF"/>
                <w:w w:val="84"/>
              </w:rPr>
            </w:pPr>
            <w:hyperlink w:anchor="page11">
              <w:r>
                <w:rPr>
                  <w:rFonts w:ascii="Arial" w:cs="Arial" w:eastAsia="Arial" w:hAnsi="Arial"/>
                  <w:sz w:val="17"/>
                  <w:szCs w:val="17"/>
                  <w:color w:val="0000FF"/>
                  <w:w w:val="84"/>
                </w:rPr>
                <w:t>9</w:t>
              </w:r>
            </w:hyperlink>
          </w:p>
        </w:tc>
        <w:tc>
          <w:tcPr>
            <w:tcW w:w="5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580" w:type="dxa"/>
            <w:vAlign w:val="bottom"/>
            <w:gridSpan w:val="3"/>
          </w:tcPr>
          <w:p>
            <w:pPr>
              <w:ind w:left="440"/>
              <w:spacing w:after="0"/>
              <w:rPr>
                <w:rFonts w:ascii="Arial" w:cs="Arial" w:eastAsia="Arial" w:hAnsi="Arial"/>
                <w:sz w:val="17"/>
                <w:szCs w:val="17"/>
                <w:color w:val="0000FF"/>
                <w:w w:val="84"/>
              </w:rPr>
            </w:pPr>
            <w:hyperlink w:anchor="page11">
              <w:r>
                <w:rPr>
                  <w:rFonts w:ascii="Arial" w:cs="Arial" w:eastAsia="Arial" w:hAnsi="Arial"/>
                  <w:sz w:val="17"/>
                  <w:szCs w:val="17"/>
                  <w:color w:val="0000FF"/>
                  <w:w w:val="84"/>
                </w:rPr>
                <w:t>3.</w:t>
              </w:r>
            </w:hyperlink>
          </w:p>
        </w:tc>
        <w:tc>
          <w:tcPr>
            <w:tcW w:w="8340" w:type="dxa"/>
            <w:vAlign w:val="bottom"/>
            <w:gridSpan w:val="29"/>
          </w:tcPr>
          <w:p>
            <w:pPr>
              <w:ind w:left="40"/>
              <w:spacing w:after="0"/>
              <w:rPr>
                <w:rFonts w:ascii="Arial" w:cs="Arial" w:eastAsia="Arial" w:hAnsi="Arial"/>
                <w:sz w:val="17"/>
                <w:szCs w:val="17"/>
                <w:color w:val="0000FF"/>
              </w:rPr>
            </w:pPr>
            <w:hyperlink w:anchor="page11">
              <w:r>
                <w:rPr>
                  <w:rFonts w:ascii="Arial" w:cs="Arial" w:eastAsia="Arial" w:hAnsi="Arial"/>
                  <w:sz w:val="17"/>
                  <w:szCs w:val="17"/>
                  <w:color w:val="0000FF"/>
                </w:rPr>
                <w:t>Acquisitions and Dispositions</w:t>
              </w:r>
            </w:hyperlink>
          </w:p>
        </w:tc>
        <w:tc>
          <w:tcPr>
            <w:tcW w:w="1100" w:type="dxa"/>
            <w:vAlign w:val="bottom"/>
            <w:gridSpan w:val="3"/>
          </w:tcPr>
          <w:p>
            <w:pPr>
              <w:jc w:val="center"/>
              <w:spacing w:after="0"/>
              <w:rPr>
                <w:rFonts w:ascii="Arial" w:cs="Arial" w:eastAsia="Arial" w:hAnsi="Arial"/>
                <w:sz w:val="17"/>
                <w:szCs w:val="17"/>
                <w:color w:val="0000FF"/>
                <w:w w:val="94"/>
              </w:rPr>
            </w:pPr>
            <w:hyperlink w:anchor="page11">
              <w:r>
                <w:rPr>
                  <w:rFonts w:ascii="Arial" w:cs="Arial" w:eastAsia="Arial" w:hAnsi="Arial"/>
                  <w:sz w:val="17"/>
                  <w:szCs w:val="17"/>
                  <w:color w:val="0000FF"/>
                  <w:w w:val="94"/>
                </w:rPr>
                <w:t>10</w:t>
              </w:r>
            </w:hyperlink>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580" w:type="dxa"/>
            <w:vAlign w:val="bottom"/>
            <w:gridSpan w:val="3"/>
          </w:tcPr>
          <w:p>
            <w:pPr>
              <w:ind w:left="440"/>
              <w:spacing w:after="0"/>
              <w:rPr>
                <w:rFonts w:ascii="Arial" w:cs="Arial" w:eastAsia="Arial" w:hAnsi="Arial"/>
                <w:sz w:val="17"/>
                <w:szCs w:val="17"/>
                <w:color w:val="0000FF"/>
                <w:w w:val="84"/>
              </w:rPr>
            </w:pPr>
            <w:hyperlink w:anchor="page14">
              <w:r>
                <w:rPr>
                  <w:rFonts w:ascii="Arial" w:cs="Arial" w:eastAsia="Arial" w:hAnsi="Arial"/>
                  <w:sz w:val="17"/>
                  <w:szCs w:val="17"/>
                  <w:color w:val="0000FF"/>
                  <w:w w:val="84"/>
                </w:rPr>
                <w:t>4.</w:t>
              </w:r>
            </w:hyperlink>
          </w:p>
        </w:tc>
        <w:tc>
          <w:tcPr>
            <w:tcW w:w="8340" w:type="dxa"/>
            <w:vAlign w:val="bottom"/>
            <w:gridSpan w:val="29"/>
          </w:tcPr>
          <w:p>
            <w:pPr>
              <w:ind w:left="40"/>
              <w:spacing w:after="0"/>
              <w:rPr>
                <w:rFonts w:ascii="Arial" w:cs="Arial" w:eastAsia="Arial" w:hAnsi="Arial"/>
                <w:sz w:val="17"/>
                <w:szCs w:val="17"/>
                <w:color w:val="0000FF"/>
              </w:rPr>
            </w:pPr>
            <w:hyperlink w:anchor="page14">
              <w:r>
                <w:rPr>
                  <w:rFonts w:ascii="Arial" w:cs="Arial" w:eastAsia="Arial" w:hAnsi="Arial"/>
                  <w:sz w:val="17"/>
                  <w:szCs w:val="17"/>
                  <w:color w:val="0000FF"/>
                </w:rPr>
                <w:t>Revenue and Receivables</w:t>
              </w:r>
            </w:hyperlink>
          </w:p>
        </w:tc>
        <w:tc>
          <w:tcPr>
            <w:tcW w:w="1100" w:type="dxa"/>
            <w:vAlign w:val="bottom"/>
            <w:gridSpan w:val="3"/>
          </w:tcPr>
          <w:p>
            <w:pPr>
              <w:jc w:val="center"/>
              <w:spacing w:after="0"/>
              <w:rPr>
                <w:rFonts w:ascii="Arial" w:cs="Arial" w:eastAsia="Arial" w:hAnsi="Arial"/>
                <w:sz w:val="17"/>
                <w:szCs w:val="17"/>
                <w:color w:val="0000FF"/>
                <w:w w:val="94"/>
              </w:rPr>
            </w:pPr>
            <w:hyperlink w:anchor="page14">
              <w:r>
                <w:rPr>
                  <w:rFonts w:ascii="Arial" w:cs="Arial" w:eastAsia="Arial" w:hAnsi="Arial"/>
                  <w:sz w:val="17"/>
                  <w:szCs w:val="17"/>
                  <w:color w:val="0000FF"/>
                  <w:w w:val="94"/>
                </w:rPr>
                <w:t>12</w:t>
              </w:r>
            </w:hyperlink>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580" w:type="dxa"/>
            <w:vAlign w:val="bottom"/>
            <w:gridSpan w:val="3"/>
          </w:tcPr>
          <w:p>
            <w:pPr>
              <w:ind w:left="440"/>
              <w:spacing w:after="0"/>
              <w:rPr>
                <w:rFonts w:ascii="Arial" w:cs="Arial" w:eastAsia="Arial" w:hAnsi="Arial"/>
                <w:sz w:val="17"/>
                <w:szCs w:val="17"/>
                <w:color w:val="0000FF"/>
                <w:w w:val="84"/>
              </w:rPr>
            </w:pPr>
            <w:hyperlink w:anchor="page17">
              <w:r>
                <w:rPr>
                  <w:rFonts w:ascii="Arial" w:cs="Arial" w:eastAsia="Arial" w:hAnsi="Arial"/>
                  <w:sz w:val="17"/>
                  <w:szCs w:val="17"/>
                  <w:color w:val="0000FF"/>
                  <w:w w:val="84"/>
                </w:rPr>
                <w:t>5.</w:t>
              </w:r>
            </w:hyperlink>
          </w:p>
        </w:tc>
        <w:tc>
          <w:tcPr>
            <w:tcW w:w="8340" w:type="dxa"/>
            <w:vAlign w:val="bottom"/>
            <w:gridSpan w:val="29"/>
          </w:tcPr>
          <w:p>
            <w:pPr>
              <w:ind w:left="40"/>
              <w:spacing w:after="0"/>
              <w:rPr>
                <w:rFonts w:ascii="Arial" w:cs="Arial" w:eastAsia="Arial" w:hAnsi="Arial"/>
                <w:sz w:val="17"/>
                <w:szCs w:val="17"/>
                <w:color w:val="0000FF"/>
              </w:rPr>
            </w:pPr>
            <w:hyperlink w:anchor="page17">
              <w:r>
                <w:rPr>
                  <w:rFonts w:ascii="Arial" w:cs="Arial" w:eastAsia="Arial" w:hAnsi="Arial"/>
                  <w:sz w:val="17"/>
                  <w:szCs w:val="17"/>
                  <w:color w:val="0000FF"/>
                </w:rPr>
                <w:t>Income Taxes</w:t>
              </w:r>
            </w:hyperlink>
          </w:p>
        </w:tc>
        <w:tc>
          <w:tcPr>
            <w:tcW w:w="1100" w:type="dxa"/>
            <w:vAlign w:val="bottom"/>
            <w:gridSpan w:val="3"/>
          </w:tcPr>
          <w:p>
            <w:pPr>
              <w:jc w:val="center"/>
              <w:spacing w:after="0"/>
              <w:rPr>
                <w:rFonts w:ascii="Arial" w:cs="Arial" w:eastAsia="Arial" w:hAnsi="Arial"/>
                <w:sz w:val="17"/>
                <w:szCs w:val="17"/>
                <w:color w:val="0000FF"/>
                <w:w w:val="94"/>
              </w:rPr>
            </w:pPr>
            <w:hyperlink w:anchor="page17">
              <w:r>
                <w:rPr>
                  <w:rFonts w:ascii="Arial" w:cs="Arial" w:eastAsia="Arial" w:hAnsi="Arial"/>
                  <w:sz w:val="17"/>
                  <w:szCs w:val="17"/>
                  <w:color w:val="0000FF"/>
                  <w:w w:val="94"/>
                </w:rPr>
                <w:t>16</w:t>
              </w:r>
            </w:hyperlink>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580" w:type="dxa"/>
            <w:vAlign w:val="bottom"/>
            <w:gridSpan w:val="3"/>
          </w:tcPr>
          <w:p>
            <w:pPr>
              <w:ind w:left="440"/>
              <w:spacing w:after="0"/>
              <w:rPr>
                <w:rFonts w:ascii="Arial" w:cs="Arial" w:eastAsia="Arial" w:hAnsi="Arial"/>
                <w:sz w:val="17"/>
                <w:szCs w:val="17"/>
                <w:color w:val="0000FF"/>
                <w:w w:val="84"/>
              </w:rPr>
            </w:pPr>
            <w:hyperlink w:anchor="page18">
              <w:r>
                <w:rPr>
                  <w:rFonts w:ascii="Arial" w:cs="Arial" w:eastAsia="Arial" w:hAnsi="Arial"/>
                  <w:sz w:val="17"/>
                  <w:szCs w:val="17"/>
                  <w:color w:val="0000FF"/>
                  <w:w w:val="84"/>
                </w:rPr>
                <w:t>6.</w:t>
              </w:r>
            </w:hyperlink>
          </w:p>
        </w:tc>
        <w:tc>
          <w:tcPr>
            <w:tcW w:w="8340" w:type="dxa"/>
            <w:vAlign w:val="bottom"/>
            <w:gridSpan w:val="29"/>
          </w:tcPr>
          <w:p>
            <w:pPr>
              <w:ind w:left="40"/>
              <w:spacing w:after="0"/>
              <w:rPr>
                <w:rFonts w:ascii="Arial" w:cs="Arial" w:eastAsia="Arial" w:hAnsi="Arial"/>
                <w:sz w:val="17"/>
                <w:szCs w:val="17"/>
                <w:color w:val="0000FF"/>
              </w:rPr>
            </w:pPr>
            <w:hyperlink w:anchor="page18">
              <w:r>
                <w:rPr>
                  <w:rFonts w:ascii="Arial" w:cs="Arial" w:eastAsia="Arial" w:hAnsi="Arial"/>
                  <w:sz w:val="17"/>
                  <w:szCs w:val="17"/>
                  <w:color w:val="0000FF"/>
                </w:rPr>
                <w:t>Vacation Ownership Notes Receivable</w:t>
              </w:r>
            </w:hyperlink>
          </w:p>
        </w:tc>
        <w:tc>
          <w:tcPr>
            <w:tcW w:w="1100" w:type="dxa"/>
            <w:vAlign w:val="bottom"/>
            <w:gridSpan w:val="3"/>
          </w:tcPr>
          <w:p>
            <w:pPr>
              <w:jc w:val="center"/>
              <w:spacing w:after="0"/>
              <w:rPr>
                <w:rFonts w:ascii="Arial" w:cs="Arial" w:eastAsia="Arial" w:hAnsi="Arial"/>
                <w:sz w:val="17"/>
                <w:szCs w:val="17"/>
                <w:color w:val="0000FF"/>
                <w:w w:val="94"/>
              </w:rPr>
            </w:pPr>
            <w:hyperlink w:anchor="page18">
              <w:r>
                <w:rPr>
                  <w:rFonts w:ascii="Arial" w:cs="Arial" w:eastAsia="Arial" w:hAnsi="Arial"/>
                  <w:sz w:val="17"/>
                  <w:szCs w:val="17"/>
                  <w:color w:val="0000FF"/>
                  <w:w w:val="94"/>
                </w:rPr>
                <w:t>17</w:t>
              </w:r>
            </w:hyperlink>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580" w:type="dxa"/>
            <w:vAlign w:val="bottom"/>
            <w:gridSpan w:val="3"/>
          </w:tcPr>
          <w:p>
            <w:pPr>
              <w:ind w:left="440"/>
              <w:spacing w:after="0"/>
              <w:rPr>
                <w:rFonts w:ascii="Arial" w:cs="Arial" w:eastAsia="Arial" w:hAnsi="Arial"/>
                <w:sz w:val="17"/>
                <w:szCs w:val="17"/>
                <w:color w:val="0000FF"/>
                <w:w w:val="84"/>
              </w:rPr>
            </w:pPr>
            <w:hyperlink w:anchor="page25">
              <w:r>
                <w:rPr>
                  <w:rFonts w:ascii="Arial" w:cs="Arial" w:eastAsia="Arial" w:hAnsi="Arial"/>
                  <w:sz w:val="17"/>
                  <w:szCs w:val="17"/>
                  <w:color w:val="0000FF"/>
                  <w:w w:val="84"/>
                </w:rPr>
                <w:t>7.</w:t>
              </w:r>
            </w:hyperlink>
          </w:p>
        </w:tc>
        <w:tc>
          <w:tcPr>
            <w:tcW w:w="8340" w:type="dxa"/>
            <w:vAlign w:val="bottom"/>
            <w:gridSpan w:val="29"/>
          </w:tcPr>
          <w:p>
            <w:pPr>
              <w:ind w:left="40"/>
              <w:spacing w:after="0"/>
              <w:rPr>
                <w:rFonts w:ascii="Arial" w:cs="Arial" w:eastAsia="Arial" w:hAnsi="Arial"/>
                <w:sz w:val="17"/>
                <w:szCs w:val="17"/>
                <w:color w:val="0000FF"/>
              </w:rPr>
            </w:pPr>
            <w:hyperlink w:anchor="page25">
              <w:r>
                <w:rPr>
                  <w:rFonts w:ascii="Arial" w:cs="Arial" w:eastAsia="Arial" w:hAnsi="Arial"/>
                  <w:sz w:val="17"/>
                  <w:szCs w:val="17"/>
                  <w:color w:val="0000FF"/>
                </w:rPr>
                <w:t>Financial Instruments</w:t>
              </w:r>
            </w:hyperlink>
          </w:p>
        </w:tc>
        <w:tc>
          <w:tcPr>
            <w:tcW w:w="1100" w:type="dxa"/>
            <w:vAlign w:val="bottom"/>
            <w:gridSpan w:val="3"/>
          </w:tcPr>
          <w:p>
            <w:pPr>
              <w:jc w:val="center"/>
              <w:spacing w:after="0"/>
              <w:rPr>
                <w:rFonts w:ascii="Arial" w:cs="Arial" w:eastAsia="Arial" w:hAnsi="Arial"/>
                <w:sz w:val="17"/>
                <w:szCs w:val="17"/>
                <w:color w:val="0000FF"/>
                <w:w w:val="94"/>
              </w:rPr>
            </w:pPr>
            <w:hyperlink w:anchor="page25">
              <w:r>
                <w:rPr>
                  <w:rFonts w:ascii="Arial" w:cs="Arial" w:eastAsia="Arial" w:hAnsi="Arial"/>
                  <w:sz w:val="17"/>
                  <w:szCs w:val="17"/>
                  <w:color w:val="0000FF"/>
                  <w:w w:val="94"/>
                </w:rPr>
                <w:t>24</w:t>
              </w:r>
            </w:hyperlink>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580" w:type="dxa"/>
            <w:vAlign w:val="bottom"/>
            <w:gridSpan w:val="3"/>
          </w:tcPr>
          <w:p>
            <w:pPr>
              <w:ind w:left="440"/>
              <w:spacing w:after="0"/>
              <w:rPr>
                <w:rFonts w:ascii="Arial" w:cs="Arial" w:eastAsia="Arial" w:hAnsi="Arial"/>
                <w:sz w:val="17"/>
                <w:szCs w:val="17"/>
                <w:color w:val="0000FF"/>
                <w:w w:val="84"/>
              </w:rPr>
            </w:pPr>
            <w:hyperlink w:anchor="page27">
              <w:r>
                <w:rPr>
                  <w:rFonts w:ascii="Arial" w:cs="Arial" w:eastAsia="Arial" w:hAnsi="Arial"/>
                  <w:sz w:val="17"/>
                  <w:szCs w:val="17"/>
                  <w:color w:val="0000FF"/>
                  <w:w w:val="84"/>
                </w:rPr>
                <w:t>8.</w:t>
              </w:r>
            </w:hyperlink>
          </w:p>
        </w:tc>
        <w:tc>
          <w:tcPr>
            <w:tcW w:w="8340" w:type="dxa"/>
            <w:vAlign w:val="bottom"/>
            <w:gridSpan w:val="29"/>
          </w:tcPr>
          <w:p>
            <w:pPr>
              <w:ind w:left="40"/>
              <w:spacing w:after="0"/>
              <w:rPr>
                <w:rFonts w:ascii="Arial" w:cs="Arial" w:eastAsia="Arial" w:hAnsi="Arial"/>
                <w:sz w:val="17"/>
                <w:szCs w:val="17"/>
                <w:color w:val="0000FF"/>
              </w:rPr>
            </w:pPr>
            <w:hyperlink w:anchor="page27">
              <w:r>
                <w:rPr>
                  <w:rFonts w:ascii="Arial" w:cs="Arial" w:eastAsia="Arial" w:hAnsi="Arial"/>
                  <w:sz w:val="17"/>
                  <w:szCs w:val="17"/>
                  <w:color w:val="0000FF"/>
                </w:rPr>
                <w:t>Earnings Per Share</w:t>
              </w:r>
            </w:hyperlink>
          </w:p>
        </w:tc>
        <w:tc>
          <w:tcPr>
            <w:tcW w:w="1100" w:type="dxa"/>
            <w:vAlign w:val="bottom"/>
            <w:gridSpan w:val="3"/>
          </w:tcPr>
          <w:p>
            <w:pPr>
              <w:jc w:val="center"/>
              <w:spacing w:after="0"/>
              <w:rPr>
                <w:rFonts w:ascii="Arial" w:cs="Arial" w:eastAsia="Arial" w:hAnsi="Arial"/>
                <w:sz w:val="17"/>
                <w:szCs w:val="17"/>
                <w:color w:val="0000FF"/>
                <w:w w:val="94"/>
              </w:rPr>
            </w:pPr>
            <w:hyperlink w:anchor="page27">
              <w:r>
                <w:rPr>
                  <w:rFonts w:ascii="Arial" w:cs="Arial" w:eastAsia="Arial" w:hAnsi="Arial"/>
                  <w:sz w:val="17"/>
                  <w:szCs w:val="17"/>
                  <w:color w:val="0000FF"/>
                  <w:w w:val="94"/>
                </w:rPr>
                <w:t>26</w:t>
              </w:r>
            </w:hyperlink>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580" w:type="dxa"/>
            <w:vAlign w:val="bottom"/>
            <w:gridSpan w:val="3"/>
          </w:tcPr>
          <w:p>
            <w:pPr>
              <w:ind w:left="440"/>
              <w:spacing w:after="0"/>
              <w:rPr>
                <w:rFonts w:ascii="Arial" w:cs="Arial" w:eastAsia="Arial" w:hAnsi="Arial"/>
                <w:sz w:val="17"/>
                <w:szCs w:val="17"/>
                <w:color w:val="0000FF"/>
                <w:w w:val="84"/>
              </w:rPr>
            </w:pPr>
            <w:hyperlink w:anchor="page29">
              <w:r>
                <w:rPr>
                  <w:rFonts w:ascii="Arial" w:cs="Arial" w:eastAsia="Arial" w:hAnsi="Arial"/>
                  <w:sz w:val="17"/>
                  <w:szCs w:val="17"/>
                  <w:color w:val="0000FF"/>
                  <w:w w:val="84"/>
                </w:rPr>
                <w:t>9.</w:t>
              </w:r>
            </w:hyperlink>
          </w:p>
        </w:tc>
        <w:tc>
          <w:tcPr>
            <w:tcW w:w="8340" w:type="dxa"/>
            <w:vAlign w:val="bottom"/>
            <w:gridSpan w:val="29"/>
          </w:tcPr>
          <w:p>
            <w:pPr>
              <w:ind w:left="40"/>
              <w:spacing w:after="0"/>
              <w:rPr>
                <w:rFonts w:ascii="Arial" w:cs="Arial" w:eastAsia="Arial" w:hAnsi="Arial"/>
                <w:sz w:val="17"/>
                <w:szCs w:val="17"/>
                <w:color w:val="0000FF"/>
              </w:rPr>
            </w:pPr>
            <w:hyperlink w:anchor="page29">
              <w:r>
                <w:rPr>
                  <w:rFonts w:ascii="Arial" w:cs="Arial" w:eastAsia="Arial" w:hAnsi="Arial"/>
                  <w:sz w:val="17"/>
                  <w:szCs w:val="17"/>
                  <w:color w:val="0000FF"/>
                </w:rPr>
                <w:t>Inventory</w:t>
              </w:r>
            </w:hyperlink>
          </w:p>
        </w:tc>
        <w:tc>
          <w:tcPr>
            <w:tcW w:w="1100" w:type="dxa"/>
            <w:vAlign w:val="bottom"/>
            <w:gridSpan w:val="3"/>
          </w:tcPr>
          <w:p>
            <w:pPr>
              <w:jc w:val="center"/>
              <w:spacing w:after="0"/>
              <w:rPr>
                <w:rFonts w:ascii="Arial" w:cs="Arial" w:eastAsia="Arial" w:hAnsi="Arial"/>
                <w:sz w:val="17"/>
                <w:szCs w:val="17"/>
                <w:color w:val="0000FF"/>
                <w:w w:val="94"/>
              </w:rPr>
            </w:pPr>
            <w:hyperlink w:anchor="page29">
              <w:r>
                <w:rPr>
                  <w:rFonts w:ascii="Arial" w:cs="Arial" w:eastAsia="Arial" w:hAnsi="Arial"/>
                  <w:sz w:val="17"/>
                  <w:szCs w:val="17"/>
                  <w:color w:val="0000FF"/>
                  <w:w w:val="94"/>
                </w:rPr>
                <w:t>27</w:t>
              </w:r>
            </w:hyperlink>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Borders>
              <w:bottom w:val="single" w:sz="8" w:color="0000FF"/>
            </w:tcBorders>
            <w:gridSpan w:val="17"/>
          </w:tcPr>
          <w:p>
            <w:pPr>
              <w:spacing w:after="0"/>
              <w:rPr>
                <w:rFonts w:ascii="Arial" w:cs="Arial" w:eastAsia="Arial" w:hAnsi="Arial"/>
                <w:sz w:val="17"/>
                <w:szCs w:val="17"/>
                <w:color w:val="0000FF"/>
                <w:w w:val="92"/>
              </w:rPr>
            </w:pPr>
            <w:hyperlink w:anchor="page29">
              <w:r>
                <w:rPr>
                  <w:rFonts w:ascii="Arial" w:cs="Arial" w:eastAsia="Arial" w:hAnsi="Arial"/>
                  <w:sz w:val="17"/>
                  <w:szCs w:val="17"/>
                  <w:color w:val="0000FF"/>
                  <w:w w:val="92"/>
                </w:rPr>
                <w:t>10. Goodwill and Intangibles</w:t>
              </w:r>
            </w:hyperlink>
          </w:p>
        </w:tc>
        <w:tc>
          <w:tcPr>
            <w:tcW w:w="648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9">
              <w:r>
                <w:rPr>
                  <w:rFonts w:ascii="Arial" w:cs="Arial" w:eastAsia="Arial" w:hAnsi="Arial"/>
                  <w:sz w:val="15"/>
                  <w:szCs w:val="15"/>
                  <w:color w:val="0000FF"/>
                  <w:w w:val="71"/>
                </w:rPr>
                <w:t>27</w:t>
              </w:r>
            </w:hyperlink>
          </w:p>
        </w:tc>
        <w:tc>
          <w:tcPr>
            <w:tcW w:w="5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80" w:type="dxa"/>
            <w:vAlign w:val="bottom"/>
            <w:gridSpan w:val="30"/>
          </w:tcPr>
          <w:p>
            <w:pPr>
              <w:spacing w:after="0"/>
              <w:rPr>
                <w:rFonts w:ascii="Arial" w:cs="Arial" w:eastAsia="Arial" w:hAnsi="Arial"/>
                <w:sz w:val="17"/>
                <w:szCs w:val="17"/>
                <w:color w:val="0000FF"/>
              </w:rPr>
            </w:pPr>
            <w:hyperlink w:anchor="page30">
              <w:r>
                <w:rPr>
                  <w:rFonts w:ascii="Arial" w:cs="Arial" w:eastAsia="Arial" w:hAnsi="Arial"/>
                  <w:sz w:val="17"/>
                  <w:szCs w:val="17"/>
                  <w:color w:val="0000FF"/>
                </w:rPr>
                <w:t>11. Contingencies and Commitments</w:t>
              </w:r>
            </w:hyperlink>
          </w:p>
        </w:tc>
        <w:tc>
          <w:tcPr>
            <w:tcW w:w="1100" w:type="dxa"/>
            <w:vAlign w:val="bottom"/>
            <w:gridSpan w:val="3"/>
          </w:tcPr>
          <w:p>
            <w:pPr>
              <w:jc w:val="center"/>
              <w:spacing w:after="0"/>
              <w:rPr>
                <w:rFonts w:ascii="Arial" w:cs="Arial" w:eastAsia="Arial" w:hAnsi="Arial"/>
                <w:sz w:val="17"/>
                <w:szCs w:val="17"/>
                <w:color w:val="0000FF"/>
                <w:w w:val="94"/>
              </w:rPr>
            </w:pPr>
            <w:hyperlink w:anchor="page30">
              <w:r>
                <w:rPr>
                  <w:rFonts w:ascii="Arial" w:cs="Arial" w:eastAsia="Arial" w:hAnsi="Arial"/>
                  <w:sz w:val="17"/>
                  <w:szCs w:val="17"/>
                  <w:color w:val="0000FF"/>
                  <w:w w:val="94"/>
                </w:rPr>
                <w:t>28</w:t>
              </w:r>
            </w:hyperlink>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9"/>
          </w:tcPr>
          <w:p>
            <w:pPr>
              <w:spacing w:after="0"/>
              <w:rPr>
                <w:rFonts w:ascii="Arial" w:cs="Arial" w:eastAsia="Arial" w:hAnsi="Arial"/>
                <w:sz w:val="17"/>
                <w:szCs w:val="17"/>
                <w:color w:val="0000FF"/>
                <w:w w:val="90"/>
              </w:rPr>
            </w:pPr>
            <w:hyperlink w:anchor="page32">
              <w:r>
                <w:rPr>
                  <w:rFonts w:ascii="Arial" w:cs="Arial" w:eastAsia="Arial" w:hAnsi="Arial"/>
                  <w:sz w:val="17"/>
                  <w:szCs w:val="17"/>
                  <w:color w:val="0000FF"/>
                  <w:w w:val="90"/>
                </w:rPr>
                <w:t>12. Securitized Debt</w:t>
              </w:r>
            </w:hyperlink>
          </w:p>
        </w:tc>
        <w:tc>
          <w:tcPr>
            <w:tcW w:w="1120" w:type="dxa"/>
            <w:vAlign w:val="bottom"/>
            <w:tcBorders>
              <w:top w:val="single" w:sz="8" w:color="0000FF"/>
            </w:tcBorders>
            <w:gridSpan w:val="11"/>
          </w:tcPr>
          <w:p>
            <w:pPr>
              <w:spacing w:after="0"/>
              <w:rPr>
                <w:sz w:val="17"/>
                <w:szCs w:val="17"/>
                <w:color w:val="auto"/>
              </w:rPr>
            </w:pPr>
          </w:p>
        </w:tc>
        <w:tc>
          <w:tcPr>
            <w:tcW w:w="596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32">
              <w:r>
                <w:rPr>
                  <w:rFonts w:ascii="Arial" w:cs="Arial" w:eastAsia="Arial" w:hAnsi="Arial"/>
                  <w:sz w:val="15"/>
                  <w:szCs w:val="15"/>
                  <w:color w:val="0000FF"/>
                  <w:w w:val="71"/>
                </w:rPr>
                <w:t>30</w:t>
              </w:r>
            </w:hyperlink>
          </w:p>
        </w:tc>
        <w:tc>
          <w:tcPr>
            <w:tcW w:w="5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80" w:type="dxa"/>
            <w:vAlign w:val="bottom"/>
            <w:gridSpan w:val="30"/>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13. Debt</w:t>
              </w:r>
            </w:hyperlink>
          </w:p>
        </w:tc>
        <w:tc>
          <w:tcPr>
            <w:tcW w:w="1100" w:type="dxa"/>
            <w:vAlign w:val="bottom"/>
            <w:gridSpan w:val="3"/>
          </w:tcPr>
          <w:p>
            <w:pPr>
              <w:jc w:val="center"/>
              <w:spacing w:after="0"/>
              <w:rPr>
                <w:rFonts w:ascii="Arial" w:cs="Arial" w:eastAsia="Arial" w:hAnsi="Arial"/>
                <w:sz w:val="17"/>
                <w:szCs w:val="17"/>
                <w:color w:val="0000FF"/>
                <w:w w:val="94"/>
              </w:rPr>
            </w:pPr>
            <w:hyperlink w:anchor="page33">
              <w:r>
                <w:rPr>
                  <w:rFonts w:ascii="Arial" w:cs="Arial" w:eastAsia="Arial" w:hAnsi="Arial"/>
                  <w:sz w:val="17"/>
                  <w:szCs w:val="17"/>
                  <w:color w:val="0000FF"/>
                  <w:w w:val="94"/>
                </w:rPr>
                <w:t>32</w:t>
              </w:r>
            </w:hyperlink>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80" w:type="dxa"/>
            <w:vAlign w:val="bottom"/>
            <w:gridSpan w:val="30"/>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14. Shareholders’ Equity</w:t>
              </w:r>
            </w:hyperlink>
          </w:p>
        </w:tc>
        <w:tc>
          <w:tcPr>
            <w:tcW w:w="1100" w:type="dxa"/>
            <w:vAlign w:val="bottom"/>
            <w:gridSpan w:val="3"/>
          </w:tcPr>
          <w:p>
            <w:pPr>
              <w:jc w:val="center"/>
              <w:spacing w:after="0"/>
              <w:rPr>
                <w:rFonts w:ascii="Arial" w:cs="Arial" w:eastAsia="Arial" w:hAnsi="Arial"/>
                <w:sz w:val="17"/>
                <w:szCs w:val="17"/>
                <w:color w:val="0000FF"/>
                <w:w w:val="94"/>
              </w:rPr>
            </w:pPr>
            <w:hyperlink w:anchor="page39">
              <w:r>
                <w:rPr>
                  <w:rFonts w:ascii="Arial" w:cs="Arial" w:eastAsia="Arial" w:hAnsi="Arial"/>
                  <w:sz w:val="17"/>
                  <w:szCs w:val="17"/>
                  <w:color w:val="0000FF"/>
                  <w:w w:val="94"/>
                </w:rPr>
                <w:t>37</w:t>
              </w:r>
            </w:hyperlink>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80" w:type="dxa"/>
            <w:vAlign w:val="bottom"/>
            <w:gridSpan w:val="30"/>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15. Share-Based Compensation</w:t>
              </w:r>
            </w:hyperlink>
          </w:p>
        </w:tc>
        <w:tc>
          <w:tcPr>
            <w:tcW w:w="1100" w:type="dxa"/>
            <w:vAlign w:val="bottom"/>
            <w:gridSpan w:val="3"/>
          </w:tcPr>
          <w:p>
            <w:pPr>
              <w:jc w:val="center"/>
              <w:spacing w:after="0"/>
              <w:rPr>
                <w:rFonts w:ascii="Arial" w:cs="Arial" w:eastAsia="Arial" w:hAnsi="Arial"/>
                <w:sz w:val="17"/>
                <w:szCs w:val="17"/>
                <w:color w:val="0000FF"/>
                <w:w w:val="94"/>
              </w:rPr>
            </w:pPr>
            <w:hyperlink w:anchor="page40">
              <w:r>
                <w:rPr>
                  <w:rFonts w:ascii="Arial" w:cs="Arial" w:eastAsia="Arial" w:hAnsi="Arial"/>
                  <w:sz w:val="17"/>
                  <w:szCs w:val="17"/>
                  <w:color w:val="0000FF"/>
                  <w:w w:val="94"/>
                </w:rPr>
                <w:t>38</w:t>
              </w:r>
            </w:hyperlink>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tcBorders>
              <w:top w:val="single" w:sz="8" w:color="0000FF"/>
            </w:tcBorders>
            <w:gridSpan w:val="18"/>
          </w:tcPr>
          <w:p>
            <w:pPr>
              <w:spacing w:after="0"/>
              <w:rPr>
                <w:rFonts w:ascii="Arial" w:cs="Arial" w:eastAsia="Arial" w:hAnsi="Arial"/>
                <w:sz w:val="17"/>
                <w:szCs w:val="17"/>
                <w:color w:val="0000FF"/>
                <w:w w:val="99"/>
              </w:rPr>
            </w:pPr>
            <w:hyperlink w:anchor="page41">
              <w:r>
                <w:rPr>
                  <w:rFonts w:ascii="Arial" w:cs="Arial" w:eastAsia="Arial" w:hAnsi="Arial"/>
                  <w:sz w:val="17"/>
                  <w:szCs w:val="17"/>
                  <w:color w:val="0000FF"/>
                  <w:w w:val="99"/>
                </w:rPr>
                <w:t>16. Variable Interest Entities</w:t>
              </w:r>
            </w:hyperlink>
          </w:p>
        </w:tc>
        <w:tc>
          <w:tcPr>
            <w:tcW w:w="634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41">
              <w:r>
                <w:rPr>
                  <w:rFonts w:ascii="Arial" w:cs="Arial" w:eastAsia="Arial" w:hAnsi="Arial"/>
                  <w:sz w:val="15"/>
                  <w:szCs w:val="15"/>
                  <w:color w:val="0000FF"/>
                  <w:w w:val="71"/>
                </w:rPr>
                <w:t>39</w:t>
              </w:r>
            </w:hyperlink>
          </w:p>
        </w:tc>
        <w:tc>
          <w:tcPr>
            <w:tcW w:w="5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Borders>
              <w:top w:val="single" w:sz="8" w:color="0000FF"/>
              <w:bottom w:val="single" w:sz="8" w:color="0000FF"/>
            </w:tcBorders>
            <w:gridSpan w:val="12"/>
          </w:tcPr>
          <w:p>
            <w:pPr>
              <w:spacing w:after="0"/>
              <w:rPr>
                <w:rFonts w:ascii="Arial" w:cs="Arial" w:eastAsia="Arial" w:hAnsi="Arial"/>
                <w:sz w:val="17"/>
                <w:szCs w:val="17"/>
                <w:color w:val="0000FF"/>
                <w:w w:val="88"/>
              </w:rPr>
            </w:pPr>
            <w:hyperlink w:anchor="page43">
              <w:r>
                <w:rPr>
                  <w:rFonts w:ascii="Arial" w:cs="Arial" w:eastAsia="Arial" w:hAnsi="Arial"/>
                  <w:sz w:val="17"/>
                  <w:szCs w:val="17"/>
                  <w:color w:val="0000FF"/>
                  <w:w w:val="88"/>
                </w:rPr>
                <w:t>17. Business Segments</w:t>
              </w:r>
            </w:hyperlink>
          </w:p>
        </w:tc>
        <w:tc>
          <w:tcPr>
            <w:tcW w:w="320" w:type="dxa"/>
            <w:vAlign w:val="bottom"/>
            <w:tcBorders>
              <w:top w:val="single" w:sz="8" w:color="0000FF"/>
            </w:tcBorders>
            <w:gridSpan w:val="4"/>
          </w:tcPr>
          <w:p>
            <w:pPr>
              <w:spacing w:after="0"/>
              <w:rPr>
                <w:sz w:val="17"/>
                <w:szCs w:val="17"/>
                <w:color w:val="auto"/>
              </w:rPr>
            </w:pPr>
          </w:p>
        </w:tc>
        <w:tc>
          <w:tcPr>
            <w:tcW w:w="654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43">
              <w:r>
                <w:rPr>
                  <w:rFonts w:ascii="Arial" w:cs="Arial" w:eastAsia="Arial" w:hAnsi="Arial"/>
                  <w:sz w:val="15"/>
                  <w:szCs w:val="15"/>
                  <w:color w:val="0000FF"/>
                  <w:w w:val="71"/>
                </w:rPr>
                <w:t>41</w:t>
              </w:r>
            </w:hyperlink>
          </w:p>
        </w:tc>
        <w:tc>
          <w:tcPr>
            <w:tcW w:w="500" w:type="dxa"/>
            <w:vAlign w:val="bottom"/>
          </w:tcPr>
          <w:p>
            <w:pPr>
              <w:spacing w:after="0"/>
              <w:rPr>
                <w:sz w:val="17"/>
                <w:szCs w:val="17"/>
                <w:color w:val="auto"/>
              </w:rPr>
            </w:pPr>
          </w:p>
        </w:tc>
      </w:tr>
      <w:tr>
        <w:trPr>
          <w:trHeight w:val="196"/>
        </w:trPr>
        <w:tc>
          <w:tcPr>
            <w:tcW w:w="1200" w:type="dxa"/>
            <w:vAlign w:val="bottom"/>
          </w:tcPr>
          <w:p>
            <w:pPr>
              <w:ind w:left="200"/>
              <w:spacing w:after="0"/>
              <w:rPr>
                <w:sz w:val="20"/>
                <w:szCs w:val="20"/>
                <w:color w:val="auto"/>
              </w:rPr>
            </w:pPr>
            <w:r>
              <w:rPr>
                <w:rFonts w:ascii="Arial" w:cs="Arial" w:eastAsia="Arial" w:hAnsi="Arial"/>
                <w:sz w:val="17"/>
                <w:szCs w:val="17"/>
                <w:color w:val="auto"/>
              </w:rPr>
              <w:t>Item 2.</w:t>
            </w:r>
          </w:p>
        </w:tc>
        <w:tc>
          <w:tcPr>
            <w:tcW w:w="200" w:type="dxa"/>
            <w:vAlign w:val="bottom"/>
          </w:tcPr>
          <w:p>
            <w:pPr>
              <w:spacing w:after="0"/>
              <w:rPr>
                <w:sz w:val="17"/>
                <w:szCs w:val="17"/>
                <w:color w:val="auto"/>
              </w:rPr>
            </w:pPr>
          </w:p>
        </w:tc>
        <w:tc>
          <w:tcPr>
            <w:tcW w:w="8720" w:type="dxa"/>
            <w:vAlign w:val="bottom"/>
            <w:gridSpan w:val="31"/>
          </w:tcPr>
          <w:p>
            <w:pPr>
              <w:spacing w:after="0"/>
              <w:rPr>
                <w:rFonts w:ascii="Arial" w:cs="Arial" w:eastAsia="Arial" w:hAnsi="Arial"/>
                <w:sz w:val="17"/>
                <w:szCs w:val="17"/>
                <w:color w:val="0000FF"/>
              </w:rPr>
            </w:pPr>
            <w:hyperlink w:anchor="page44">
              <w:r>
                <w:rPr>
                  <w:rFonts w:ascii="Arial" w:cs="Arial" w:eastAsia="Arial" w:hAnsi="Arial"/>
                  <w:sz w:val="17"/>
                  <w:szCs w:val="17"/>
                  <w:color w:val="0000FF"/>
                </w:rPr>
                <w:t>Management’s Discussion and Analysis of Financial Condition and Results of Operations</w:t>
              </w:r>
            </w:hyperlink>
          </w:p>
        </w:tc>
        <w:tc>
          <w:tcPr>
            <w:tcW w:w="1100" w:type="dxa"/>
            <w:vAlign w:val="bottom"/>
            <w:gridSpan w:val="3"/>
          </w:tcPr>
          <w:p>
            <w:pPr>
              <w:jc w:val="center"/>
              <w:spacing w:after="0"/>
              <w:rPr>
                <w:rFonts w:ascii="Arial" w:cs="Arial" w:eastAsia="Arial" w:hAnsi="Arial"/>
                <w:sz w:val="17"/>
                <w:szCs w:val="17"/>
                <w:color w:val="0000FF"/>
                <w:w w:val="94"/>
              </w:rPr>
            </w:pPr>
            <w:hyperlink w:anchor="page44">
              <w:r>
                <w:rPr>
                  <w:rFonts w:ascii="Arial" w:cs="Arial" w:eastAsia="Arial" w:hAnsi="Arial"/>
                  <w:sz w:val="17"/>
                  <w:szCs w:val="17"/>
                  <w:color w:val="0000FF"/>
                  <w:w w:val="94"/>
                </w:rPr>
                <w:t>43</w:t>
              </w:r>
            </w:hyperlink>
          </w:p>
        </w:tc>
      </w:tr>
      <w:tr>
        <w:trPr>
          <w:trHeight w:val="196"/>
        </w:trPr>
        <w:tc>
          <w:tcPr>
            <w:tcW w:w="1200" w:type="dxa"/>
            <w:vAlign w:val="bottom"/>
          </w:tcPr>
          <w:p>
            <w:pPr>
              <w:ind w:left="200"/>
              <w:spacing w:after="0"/>
              <w:rPr>
                <w:sz w:val="20"/>
                <w:szCs w:val="20"/>
                <w:color w:val="auto"/>
              </w:rPr>
            </w:pPr>
            <w:r>
              <w:rPr>
                <w:rFonts w:ascii="Arial" w:cs="Arial" w:eastAsia="Arial" w:hAnsi="Arial"/>
                <w:sz w:val="17"/>
                <w:szCs w:val="17"/>
                <w:color w:val="auto"/>
              </w:rPr>
              <w:t>Item 3.</w:t>
            </w:r>
          </w:p>
        </w:tc>
        <w:tc>
          <w:tcPr>
            <w:tcW w:w="200" w:type="dxa"/>
            <w:vAlign w:val="bottom"/>
          </w:tcPr>
          <w:p>
            <w:pPr>
              <w:spacing w:after="0"/>
              <w:rPr>
                <w:sz w:val="17"/>
                <w:szCs w:val="17"/>
                <w:color w:val="auto"/>
              </w:rPr>
            </w:pPr>
          </w:p>
        </w:tc>
        <w:tc>
          <w:tcPr>
            <w:tcW w:w="4160" w:type="dxa"/>
            <w:vAlign w:val="bottom"/>
            <w:tcBorders>
              <w:top w:val="single" w:sz="8" w:color="0000FF"/>
              <w:bottom w:val="single" w:sz="8" w:color="0000FF"/>
            </w:tcBorders>
            <w:gridSpan w:val="27"/>
          </w:tcPr>
          <w:p>
            <w:pPr>
              <w:spacing w:after="0"/>
              <w:rPr>
                <w:rFonts w:ascii="Arial" w:cs="Arial" w:eastAsia="Arial" w:hAnsi="Arial"/>
                <w:sz w:val="17"/>
                <w:szCs w:val="17"/>
                <w:color w:val="0000FF"/>
                <w:w w:val="92"/>
              </w:rPr>
            </w:pPr>
            <w:hyperlink w:anchor="page79">
              <w:r>
                <w:rPr>
                  <w:rFonts w:ascii="Arial" w:cs="Arial" w:eastAsia="Arial" w:hAnsi="Arial"/>
                  <w:sz w:val="17"/>
                  <w:szCs w:val="17"/>
                  <w:color w:val="0000FF"/>
                  <w:w w:val="92"/>
                </w:rPr>
                <w:t>Quantitative and Qualitative Disclosures About Market Risk</w:t>
              </w:r>
            </w:hyperlink>
          </w:p>
        </w:tc>
        <w:tc>
          <w:tcPr>
            <w:tcW w:w="1960" w:type="dxa"/>
            <w:vAlign w:val="bottom"/>
            <w:tcBorders>
              <w:top w:val="single" w:sz="8" w:color="0000FF"/>
            </w:tcBorders>
            <w:gridSpan w:val="3"/>
          </w:tcPr>
          <w:p>
            <w:pPr>
              <w:spacing w:after="0"/>
              <w:rPr>
                <w:sz w:val="17"/>
                <w:szCs w:val="17"/>
                <w:color w:val="auto"/>
              </w:rPr>
            </w:pPr>
          </w:p>
        </w:tc>
        <w:tc>
          <w:tcPr>
            <w:tcW w:w="2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79">
              <w:r>
                <w:rPr>
                  <w:rFonts w:ascii="Arial" w:cs="Arial" w:eastAsia="Arial" w:hAnsi="Arial"/>
                  <w:sz w:val="15"/>
                  <w:szCs w:val="15"/>
                  <w:color w:val="0000FF"/>
                  <w:w w:val="71"/>
                </w:rPr>
                <w:t>78</w:t>
              </w:r>
            </w:hyperlink>
          </w:p>
        </w:tc>
        <w:tc>
          <w:tcPr>
            <w:tcW w:w="500" w:type="dxa"/>
            <w:vAlign w:val="bottom"/>
          </w:tcPr>
          <w:p>
            <w:pPr>
              <w:spacing w:after="0"/>
              <w:rPr>
                <w:sz w:val="17"/>
                <w:szCs w:val="17"/>
                <w:color w:val="auto"/>
              </w:rPr>
            </w:pPr>
          </w:p>
        </w:tc>
      </w:tr>
      <w:tr>
        <w:trPr>
          <w:trHeight w:val="196"/>
        </w:trPr>
        <w:tc>
          <w:tcPr>
            <w:tcW w:w="1200" w:type="dxa"/>
            <w:vAlign w:val="bottom"/>
          </w:tcPr>
          <w:p>
            <w:pPr>
              <w:ind w:left="200"/>
              <w:spacing w:after="0"/>
              <w:rPr>
                <w:sz w:val="20"/>
                <w:szCs w:val="20"/>
                <w:color w:val="auto"/>
              </w:rPr>
            </w:pPr>
            <w:r>
              <w:rPr>
                <w:rFonts w:ascii="Arial" w:cs="Arial" w:eastAsia="Arial" w:hAnsi="Arial"/>
                <w:sz w:val="17"/>
                <w:szCs w:val="17"/>
                <w:color w:val="auto"/>
              </w:rPr>
              <w:t>Item 4.</w:t>
            </w:r>
          </w:p>
        </w:tc>
        <w:tc>
          <w:tcPr>
            <w:tcW w:w="200" w:type="dxa"/>
            <w:vAlign w:val="bottom"/>
          </w:tcPr>
          <w:p>
            <w:pPr>
              <w:spacing w:after="0"/>
              <w:rPr>
                <w:sz w:val="17"/>
                <w:szCs w:val="17"/>
                <w:color w:val="auto"/>
              </w:rPr>
            </w:pPr>
          </w:p>
        </w:tc>
        <w:tc>
          <w:tcPr>
            <w:tcW w:w="1680" w:type="dxa"/>
            <w:vAlign w:val="bottom"/>
            <w:tcBorders>
              <w:bottom w:val="single" w:sz="8" w:color="0000FF"/>
            </w:tcBorders>
            <w:gridSpan w:val="11"/>
          </w:tcPr>
          <w:p>
            <w:pPr>
              <w:spacing w:after="0"/>
              <w:rPr>
                <w:rFonts w:ascii="Arial" w:cs="Arial" w:eastAsia="Arial" w:hAnsi="Arial"/>
                <w:sz w:val="17"/>
                <w:szCs w:val="17"/>
                <w:color w:val="0000FF"/>
                <w:w w:val="88"/>
              </w:rPr>
            </w:pPr>
            <w:hyperlink w:anchor="page80">
              <w:r>
                <w:rPr>
                  <w:rFonts w:ascii="Arial" w:cs="Arial" w:eastAsia="Arial" w:hAnsi="Arial"/>
                  <w:sz w:val="17"/>
                  <w:szCs w:val="17"/>
                  <w:color w:val="0000FF"/>
                  <w:w w:val="88"/>
                </w:rPr>
                <w:t>Controls and Procedures</w:t>
              </w:r>
            </w:hyperlink>
          </w:p>
        </w:tc>
        <w:tc>
          <w:tcPr>
            <w:tcW w:w="7040" w:type="dxa"/>
            <w:vAlign w:val="bottom"/>
            <w:gridSpan w:val="20"/>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80">
              <w:r>
                <w:rPr>
                  <w:rFonts w:ascii="Arial" w:cs="Arial" w:eastAsia="Arial" w:hAnsi="Arial"/>
                  <w:sz w:val="15"/>
                  <w:szCs w:val="15"/>
                  <w:color w:val="0000FF"/>
                  <w:w w:val="71"/>
                </w:rPr>
                <w:t>78</w:t>
              </w:r>
            </w:hyperlink>
          </w:p>
        </w:tc>
        <w:tc>
          <w:tcPr>
            <w:tcW w:w="500" w:type="dxa"/>
            <w:vAlign w:val="bottom"/>
          </w:tcPr>
          <w:p>
            <w:pPr>
              <w:spacing w:after="0"/>
              <w:rPr>
                <w:sz w:val="17"/>
                <w:szCs w:val="17"/>
                <w:color w:val="auto"/>
              </w:rPr>
            </w:pPr>
          </w:p>
        </w:tc>
      </w:tr>
      <w:tr>
        <w:trPr>
          <w:trHeight w:val="196"/>
        </w:trPr>
        <w:tc>
          <w:tcPr>
            <w:tcW w:w="120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1940" w:type="dxa"/>
            <w:vAlign w:val="bottom"/>
            <w:tcBorders>
              <w:bottom w:val="single" w:sz="8" w:color="0000FF"/>
            </w:tcBorders>
            <w:gridSpan w:val="13"/>
          </w:tcPr>
          <w:p>
            <w:pPr>
              <w:spacing w:after="0"/>
              <w:rPr>
                <w:rFonts w:ascii="Arial" w:cs="Arial" w:eastAsia="Arial" w:hAnsi="Arial"/>
                <w:sz w:val="17"/>
                <w:szCs w:val="17"/>
                <w:b w:val="1"/>
                <w:bCs w:val="1"/>
                <w:color w:val="0000FF"/>
              </w:rPr>
            </w:pPr>
            <w:hyperlink w:anchor="page80">
              <w:r>
                <w:rPr>
                  <w:rFonts w:ascii="Arial" w:cs="Arial" w:eastAsia="Arial" w:hAnsi="Arial"/>
                  <w:sz w:val="17"/>
                  <w:szCs w:val="17"/>
                  <w:b w:val="1"/>
                  <w:bCs w:val="1"/>
                  <w:color w:val="0000FF"/>
                </w:rPr>
                <w:t>OTHER INFORMATION</w:t>
              </w:r>
            </w:hyperlink>
          </w:p>
        </w:tc>
        <w:tc>
          <w:tcPr>
            <w:tcW w:w="698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80">
              <w:r>
                <w:rPr>
                  <w:rFonts w:ascii="Arial" w:cs="Arial" w:eastAsia="Arial" w:hAnsi="Arial"/>
                  <w:sz w:val="15"/>
                  <w:szCs w:val="15"/>
                  <w:color w:val="0000FF"/>
                  <w:w w:val="71"/>
                </w:rPr>
                <w:t>79</w:t>
              </w:r>
            </w:hyperlink>
          </w:p>
        </w:tc>
        <w:tc>
          <w:tcPr>
            <w:tcW w:w="500" w:type="dxa"/>
            <w:vAlign w:val="bottom"/>
          </w:tcPr>
          <w:p>
            <w:pPr>
              <w:spacing w:after="0"/>
              <w:rPr>
                <w:sz w:val="17"/>
                <w:szCs w:val="17"/>
                <w:color w:val="auto"/>
              </w:rPr>
            </w:pPr>
          </w:p>
        </w:tc>
      </w:tr>
      <w:tr>
        <w:trPr>
          <w:trHeight w:val="196"/>
        </w:trPr>
        <w:tc>
          <w:tcPr>
            <w:tcW w:w="1200" w:type="dxa"/>
            <w:vAlign w:val="bottom"/>
          </w:tcPr>
          <w:p>
            <w:pPr>
              <w:ind w:left="200"/>
              <w:spacing w:after="0"/>
              <w:rPr>
                <w:sz w:val="20"/>
                <w:szCs w:val="20"/>
                <w:color w:val="auto"/>
              </w:rPr>
            </w:pPr>
            <w:r>
              <w:rPr>
                <w:rFonts w:ascii="Arial" w:cs="Arial" w:eastAsia="Arial" w:hAnsi="Arial"/>
                <w:sz w:val="17"/>
                <w:szCs w:val="17"/>
                <w:color w:val="auto"/>
              </w:rPr>
              <w:t>Item 1.</w:t>
            </w:r>
          </w:p>
        </w:tc>
        <w:tc>
          <w:tcPr>
            <w:tcW w:w="200" w:type="dxa"/>
            <w:vAlign w:val="bottom"/>
          </w:tcPr>
          <w:p>
            <w:pPr>
              <w:spacing w:after="0"/>
              <w:rPr>
                <w:sz w:val="17"/>
                <w:szCs w:val="17"/>
                <w:color w:val="auto"/>
              </w:rPr>
            </w:pPr>
          </w:p>
        </w:tc>
        <w:tc>
          <w:tcPr>
            <w:tcW w:w="8720" w:type="dxa"/>
            <w:vAlign w:val="bottom"/>
            <w:gridSpan w:val="31"/>
          </w:tcPr>
          <w:p>
            <w:pPr>
              <w:spacing w:after="0"/>
              <w:rPr>
                <w:rFonts w:ascii="Arial" w:cs="Arial" w:eastAsia="Arial" w:hAnsi="Arial"/>
                <w:sz w:val="17"/>
                <w:szCs w:val="17"/>
                <w:color w:val="0000FF"/>
              </w:rPr>
            </w:pPr>
            <w:hyperlink w:anchor="page81">
              <w:r>
                <w:rPr>
                  <w:rFonts w:ascii="Arial" w:cs="Arial" w:eastAsia="Arial" w:hAnsi="Arial"/>
                  <w:sz w:val="17"/>
                  <w:szCs w:val="17"/>
                  <w:color w:val="0000FF"/>
                </w:rPr>
                <w:t>Legal Proceedings</w:t>
              </w:r>
            </w:hyperlink>
          </w:p>
        </w:tc>
        <w:tc>
          <w:tcPr>
            <w:tcW w:w="1100" w:type="dxa"/>
            <w:vAlign w:val="bottom"/>
            <w:gridSpan w:val="3"/>
          </w:tcPr>
          <w:p>
            <w:pPr>
              <w:jc w:val="center"/>
              <w:spacing w:after="0"/>
              <w:rPr>
                <w:rFonts w:ascii="Arial" w:cs="Arial" w:eastAsia="Arial" w:hAnsi="Arial"/>
                <w:sz w:val="17"/>
                <w:szCs w:val="17"/>
                <w:color w:val="0000FF"/>
                <w:w w:val="94"/>
              </w:rPr>
            </w:pPr>
            <w:hyperlink w:anchor="page81">
              <w:r>
                <w:rPr>
                  <w:rFonts w:ascii="Arial" w:cs="Arial" w:eastAsia="Arial" w:hAnsi="Arial"/>
                  <w:sz w:val="17"/>
                  <w:szCs w:val="17"/>
                  <w:color w:val="0000FF"/>
                  <w:w w:val="94"/>
                </w:rPr>
                <w:t>79</w:t>
              </w:r>
            </w:hyperlink>
          </w:p>
        </w:tc>
      </w:tr>
      <w:tr>
        <w:trPr>
          <w:trHeight w:val="196"/>
        </w:trPr>
        <w:tc>
          <w:tcPr>
            <w:tcW w:w="1200" w:type="dxa"/>
            <w:vAlign w:val="bottom"/>
          </w:tcPr>
          <w:p>
            <w:pPr>
              <w:ind w:left="200"/>
              <w:spacing w:after="0"/>
              <w:rPr>
                <w:sz w:val="20"/>
                <w:szCs w:val="20"/>
                <w:color w:val="auto"/>
              </w:rPr>
            </w:pPr>
            <w:r>
              <w:rPr>
                <w:rFonts w:ascii="Arial" w:cs="Arial" w:eastAsia="Arial" w:hAnsi="Arial"/>
                <w:sz w:val="17"/>
                <w:szCs w:val="17"/>
                <w:color w:val="auto"/>
              </w:rPr>
              <w:t>Item 1A.</w:t>
            </w:r>
          </w:p>
        </w:tc>
        <w:tc>
          <w:tcPr>
            <w:tcW w:w="200" w:type="dxa"/>
            <w:vAlign w:val="bottom"/>
          </w:tcPr>
          <w:p>
            <w:pPr>
              <w:spacing w:after="0"/>
              <w:rPr>
                <w:sz w:val="17"/>
                <w:szCs w:val="17"/>
                <w:color w:val="auto"/>
              </w:rPr>
            </w:pPr>
          </w:p>
        </w:tc>
        <w:tc>
          <w:tcPr>
            <w:tcW w:w="860" w:type="dxa"/>
            <w:vAlign w:val="bottom"/>
            <w:tcBorders>
              <w:top w:val="single" w:sz="8" w:color="0000FF"/>
              <w:bottom w:val="single" w:sz="8" w:color="0000FF"/>
            </w:tcBorders>
            <w:gridSpan w:val="6"/>
          </w:tcPr>
          <w:p>
            <w:pPr>
              <w:spacing w:after="0"/>
              <w:rPr>
                <w:rFonts w:ascii="Arial" w:cs="Arial" w:eastAsia="Arial" w:hAnsi="Arial"/>
                <w:sz w:val="17"/>
                <w:szCs w:val="17"/>
                <w:color w:val="0000FF"/>
                <w:w w:val="88"/>
              </w:rPr>
            </w:pPr>
            <w:hyperlink w:anchor="page81">
              <w:r>
                <w:rPr>
                  <w:rFonts w:ascii="Arial" w:cs="Arial" w:eastAsia="Arial" w:hAnsi="Arial"/>
                  <w:sz w:val="17"/>
                  <w:szCs w:val="17"/>
                  <w:color w:val="0000FF"/>
                  <w:w w:val="88"/>
                </w:rPr>
                <w:t>Risk Factors</w:t>
              </w:r>
            </w:hyperlink>
          </w:p>
        </w:tc>
        <w:tc>
          <w:tcPr>
            <w:tcW w:w="400" w:type="dxa"/>
            <w:vAlign w:val="bottom"/>
            <w:tcBorders>
              <w:top w:val="single" w:sz="8" w:color="0000FF"/>
            </w:tcBorders>
            <w:gridSpan w:val="2"/>
          </w:tcPr>
          <w:p>
            <w:pPr>
              <w:spacing w:after="0"/>
              <w:rPr>
                <w:sz w:val="17"/>
                <w:szCs w:val="17"/>
                <w:color w:val="auto"/>
              </w:rPr>
            </w:pPr>
          </w:p>
        </w:tc>
        <w:tc>
          <w:tcPr>
            <w:tcW w:w="7460" w:type="dxa"/>
            <w:vAlign w:val="bottom"/>
            <w:gridSpan w:val="23"/>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81">
              <w:r>
                <w:rPr>
                  <w:rFonts w:ascii="Arial" w:cs="Arial" w:eastAsia="Arial" w:hAnsi="Arial"/>
                  <w:sz w:val="15"/>
                  <w:szCs w:val="15"/>
                  <w:color w:val="0000FF"/>
                  <w:w w:val="71"/>
                </w:rPr>
                <w:t>79</w:t>
              </w:r>
            </w:hyperlink>
          </w:p>
        </w:tc>
        <w:tc>
          <w:tcPr>
            <w:tcW w:w="500" w:type="dxa"/>
            <w:vAlign w:val="bottom"/>
          </w:tcPr>
          <w:p>
            <w:pPr>
              <w:spacing w:after="0"/>
              <w:rPr>
                <w:sz w:val="17"/>
                <w:szCs w:val="17"/>
                <w:color w:val="auto"/>
              </w:rPr>
            </w:pPr>
          </w:p>
        </w:tc>
      </w:tr>
      <w:tr>
        <w:trPr>
          <w:trHeight w:val="196"/>
        </w:trPr>
        <w:tc>
          <w:tcPr>
            <w:tcW w:w="1200" w:type="dxa"/>
            <w:vAlign w:val="bottom"/>
          </w:tcPr>
          <w:p>
            <w:pPr>
              <w:ind w:left="200"/>
              <w:spacing w:after="0"/>
              <w:rPr>
                <w:sz w:val="20"/>
                <w:szCs w:val="20"/>
                <w:color w:val="auto"/>
              </w:rPr>
            </w:pPr>
            <w:r>
              <w:rPr>
                <w:rFonts w:ascii="Arial" w:cs="Arial" w:eastAsia="Arial" w:hAnsi="Arial"/>
                <w:sz w:val="17"/>
                <w:szCs w:val="17"/>
                <w:color w:val="auto"/>
              </w:rPr>
              <w:t>Item 2.</w:t>
            </w:r>
          </w:p>
        </w:tc>
        <w:tc>
          <w:tcPr>
            <w:tcW w:w="200" w:type="dxa"/>
            <w:vAlign w:val="bottom"/>
          </w:tcPr>
          <w:p>
            <w:pPr>
              <w:spacing w:after="0"/>
              <w:rPr>
                <w:sz w:val="17"/>
                <w:szCs w:val="17"/>
                <w:color w:val="auto"/>
              </w:rPr>
            </w:pPr>
          </w:p>
        </w:tc>
        <w:tc>
          <w:tcPr>
            <w:tcW w:w="8720" w:type="dxa"/>
            <w:vAlign w:val="bottom"/>
            <w:gridSpan w:val="31"/>
          </w:tcPr>
          <w:p>
            <w:pPr>
              <w:spacing w:after="0"/>
              <w:rPr>
                <w:rFonts w:ascii="Arial" w:cs="Arial" w:eastAsia="Arial" w:hAnsi="Arial"/>
                <w:sz w:val="17"/>
                <w:szCs w:val="17"/>
                <w:color w:val="0000FF"/>
              </w:rPr>
            </w:pPr>
            <w:hyperlink w:anchor="page81">
              <w:r>
                <w:rPr>
                  <w:rFonts w:ascii="Arial" w:cs="Arial" w:eastAsia="Arial" w:hAnsi="Arial"/>
                  <w:sz w:val="17"/>
                  <w:szCs w:val="17"/>
                  <w:color w:val="0000FF"/>
                </w:rPr>
                <w:t>Unregistered Sales of Equity Securities and Use of Proceeds</w:t>
              </w:r>
            </w:hyperlink>
          </w:p>
        </w:tc>
        <w:tc>
          <w:tcPr>
            <w:tcW w:w="1100" w:type="dxa"/>
            <w:vAlign w:val="bottom"/>
            <w:gridSpan w:val="3"/>
          </w:tcPr>
          <w:p>
            <w:pPr>
              <w:jc w:val="center"/>
              <w:spacing w:after="0"/>
              <w:rPr>
                <w:rFonts w:ascii="Arial" w:cs="Arial" w:eastAsia="Arial" w:hAnsi="Arial"/>
                <w:sz w:val="17"/>
                <w:szCs w:val="17"/>
                <w:color w:val="0000FF"/>
                <w:w w:val="94"/>
              </w:rPr>
            </w:pPr>
            <w:hyperlink w:anchor="page81">
              <w:r>
                <w:rPr>
                  <w:rFonts w:ascii="Arial" w:cs="Arial" w:eastAsia="Arial" w:hAnsi="Arial"/>
                  <w:sz w:val="17"/>
                  <w:szCs w:val="17"/>
                  <w:color w:val="0000FF"/>
                  <w:w w:val="94"/>
                </w:rPr>
                <w:t>79</w:t>
              </w:r>
            </w:hyperlink>
          </w:p>
        </w:tc>
      </w:tr>
      <w:tr>
        <w:trPr>
          <w:trHeight w:val="196"/>
        </w:trPr>
        <w:tc>
          <w:tcPr>
            <w:tcW w:w="1200" w:type="dxa"/>
            <w:vAlign w:val="bottom"/>
          </w:tcPr>
          <w:p>
            <w:pPr>
              <w:ind w:left="200"/>
              <w:spacing w:after="0"/>
              <w:rPr>
                <w:sz w:val="20"/>
                <w:szCs w:val="20"/>
                <w:color w:val="auto"/>
              </w:rPr>
            </w:pPr>
            <w:r>
              <w:rPr>
                <w:rFonts w:ascii="Arial" w:cs="Arial" w:eastAsia="Arial" w:hAnsi="Arial"/>
                <w:sz w:val="17"/>
                <w:szCs w:val="17"/>
                <w:color w:val="auto"/>
              </w:rPr>
              <w:t>Item 6.</w:t>
            </w:r>
          </w:p>
        </w:tc>
        <w:tc>
          <w:tcPr>
            <w:tcW w:w="200" w:type="dxa"/>
            <w:vAlign w:val="bottom"/>
          </w:tcPr>
          <w:p>
            <w:pPr>
              <w:spacing w:after="0"/>
              <w:rPr>
                <w:sz w:val="17"/>
                <w:szCs w:val="17"/>
                <w:color w:val="auto"/>
              </w:rPr>
            </w:pPr>
          </w:p>
        </w:tc>
        <w:tc>
          <w:tcPr>
            <w:tcW w:w="4120" w:type="dxa"/>
            <w:vAlign w:val="bottom"/>
            <w:tcBorders>
              <w:top w:val="single" w:sz="8" w:color="0000FF"/>
            </w:tcBorders>
            <w:gridSpan w:val="26"/>
          </w:tcPr>
          <w:p>
            <w:pPr>
              <w:spacing w:after="0"/>
              <w:rPr>
                <w:rFonts w:ascii="Arial" w:cs="Arial" w:eastAsia="Arial" w:hAnsi="Arial"/>
                <w:sz w:val="17"/>
                <w:szCs w:val="17"/>
                <w:color w:val="0000FF"/>
              </w:rPr>
            </w:pPr>
            <w:hyperlink w:anchor="page81">
              <w:r>
                <w:rPr>
                  <w:rFonts w:ascii="Arial" w:cs="Arial" w:eastAsia="Arial" w:hAnsi="Arial"/>
                  <w:sz w:val="17"/>
                  <w:szCs w:val="17"/>
                  <w:color w:val="0000FF"/>
                </w:rPr>
                <w:t>Exhibits</w:t>
              </w:r>
            </w:hyperlink>
          </w:p>
        </w:tc>
        <w:tc>
          <w:tcPr>
            <w:tcW w:w="460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81">
              <w:r>
                <w:rPr>
                  <w:rFonts w:ascii="Arial" w:cs="Arial" w:eastAsia="Arial" w:hAnsi="Arial"/>
                  <w:sz w:val="15"/>
                  <w:szCs w:val="15"/>
                  <w:color w:val="0000FF"/>
                  <w:w w:val="71"/>
                </w:rPr>
                <w:t>80</w:t>
              </w:r>
            </w:hyperlink>
          </w:p>
        </w:tc>
        <w:tc>
          <w:tcPr>
            <w:tcW w:w="5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80" w:type="dxa"/>
            <w:vAlign w:val="bottom"/>
            <w:gridSpan w:val="26"/>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40" w:type="dxa"/>
            <w:vAlign w:val="bottom"/>
            <w:tcBorders>
              <w:bottom w:val="single" w:sz="8" w:color="0000FF"/>
            </w:tcBorders>
            <w:gridSpan w:val="6"/>
          </w:tcPr>
          <w:p>
            <w:pPr>
              <w:spacing w:after="0"/>
              <w:rPr>
                <w:rFonts w:ascii="Arial" w:cs="Arial" w:eastAsia="Arial" w:hAnsi="Arial"/>
                <w:sz w:val="17"/>
                <w:szCs w:val="17"/>
                <w:color w:val="0000FF"/>
                <w:w w:val="92"/>
              </w:rPr>
            </w:pPr>
            <w:hyperlink w:anchor="page83">
              <w:r>
                <w:rPr>
                  <w:rFonts w:ascii="Arial" w:cs="Arial" w:eastAsia="Arial" w:hAnsi="Arial"/>
                  <w:sz w:val="17"/>
                  <w:szCs w:val="17"/>
                  <w:color w:val="0000FF"/>
                  <w:w w:val="92"/>
                </w:rPr>
                <w:t>SIGNATURES</w:t>
              </w:r>
            </w:hyperlink>
          </w:p>
        </w:tc>
        <w:tc>
          <w:tcPr>
            <w:tcW w:w="7880" w:type="dxa"/>
            <w:vAlign w:val="bottom"/>
            <w:gridSpan w:val="26"/>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83">
              <w:r>
                <w:rPr>
                  <w:rFonts w:ascii="Arial" w:cs="Arial" w:eastAsia="Arial" w:hAnsi="Arial"/>
                  <w:sz w:val="15"/>
                  <w:szCs w:val="15"/>
                  <w:color w:val="0000FF"/>
                  <w:w w:val="71"/>
                </w:rPr>
                <w:t>82</w:t>
              </w:r>
            </w:hyperlink>
          </w:p>
        </w:tc>
        <w:tc>
          <w:tcPr>
            <w:tcW w:w="500" w:type="dxa"/>
            <w:vAlign w:val="bottom"/>
          </w:tcPr>
          <w:p>
            <w:pPr>
              <w:spacing w:after="0"/>
              <w:rPr>
                <w:sz w:val="17"/>
                <w:szCs w:val="17"/>
                <w:color w:val="auto"/>
              </w:rPr>
            </w:pPr>
          </w:p>
        </w:tc>
      </w:tr>
    </w:tbl>
    <w:p>
      <w:pPr>
        <w:spacing w:after="0" w:line="229"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service marks and trade names cited in this report are the property of their respective owners, including those of other companies and organizations. Solely for convenience, trademarks, trade names and service marks referred to in this report may appear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w:t>
      </w:r>
      <w:r>
        <w:rPr>
          <w:rFonts w:ascii="Arial" w:cs="Arial" w:eastAsia="Arial" w:hAnsi="Arial"/>
          <w:sz w:val="9"/>
          <w:szCs w:val="9"/>
          <w:color w:val="auto"/>
        </w:rPr>
        <w:t>TM</w:t>
      </w:r>
      <w:r>
        <w:rPr>
          <w:rFonts w:ascii="Arial" w:cs="Arial" w:eastAsia="Arial" w:hAnsi="Arial"/>
          <w:sz w:val="18"/>
          <w:szCs w:val="18"/>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9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Capitalized terms used and not specifically defined herein have the same meanings given those terms in our Annual Report on Form 10-K for the year ended December 31, 2020 (the “2020 Annual Report”). When discussing our properties or markets, we refer to the United States, Mexico, Central America and the Caribbean as “North America.”</w:t>
      </w:r>
    </w:p>
    <w:p>
      <w:pPr>
        <w:spacing w:after="0" w:line="76"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COVID-19 pandemic has caused significant disruptions in international and U.S. economies and markets, and has also had an unprecedented impact on the travel and hospitality industries, as well as the Company. We discuss the impacts of the COVID-19 pandemic and its potential future implications throughout this report; however, the COVID-19 pandemic is evolving and its potential impact on our business in the future remains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64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9"/>
        </w:trPr>
        <w:tc>
          <w:tcPr>
            <w:tcW w:w="5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91"/>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91"/>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09"/>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Marketing and sales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Litigation charges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Royalty fee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Losses and other expense, net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5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INCOME (LOSS) BEFORE INCOME TAXES AND</w:t>
            </w: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55"/>
        </w:trPr>
        <w:tc>
          <w:tcPr>
            <w:tcW w:w="55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 (LOSS) ATTRIBUTABLE TO COMMON</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8"/>
        </w:trPr>
        <w:tc>
          <w:tcPr>
            <w:tcW w:w="55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16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5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EARNINGS (LOSS) PER SHARE ATTRIBUTABLE TO COMMON</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SHAREHOLDERS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CASH DIVIDENDS DECLARED PER SHARE</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373"/>
        </w:trPr>
        <w:tc>
          <w:tcPr>
            <w:tcW w:w="8460" w:type="dxa"/>
            <w:vAlign w:val="bottom"/>
            <w:gridSpan w:val="7"/>
          </w:tcPr>
          <w:p>
            <w:pPr>
              <w:jc w:val="center"/>
              <w:ind w:left="2690"/>
              <w:spacing w:after="0"/>
              <w:rPr>
                <w:sz w:val="20"/>
                <w:szCs w:val="20"/>
                <w:color w:val="auto"/>
              </w:rPr>
            </w:pPr>
            <w:r>
              <w:rPr>
                <w:rFonts w:ascii="Arial" w:cs="Arial" w:eastAsia="Arial" w:hAnsi="Arial"/>
                <w:sz w:val="18"/>
                <w:szCs w:val="18"/>
                <w:b w:val="1"/>
                <w:bCs w:val="1"/>
                <w:color w:val="auto"/>
                <w:w w:val="89"/>
              </w:rPr>
              <w:t>See Notes to Interim Consolidated Financial Statements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560" w:type="dxa"/>
            <w:vAlign w:val="bottom"/>
          </w:tcPr>
          <w:p>
            <w:pPr>
              <w:spacing w:after="0"/>
              <w:rPr>
                <w:sz w:val="24"/>
                <w:szCs w:val="24"/>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640" w:type="dxa"/>
            <w:vAlign w:val="bottom"/>
            <w:gridSpan w:val="4"/>
          </w:tcPr>
          <w:p>
            <w:pPr>
              <w:jc w:val="right"/>
              <w:ind w:right="61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5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92"/>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92"/>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instrument adjustment, net of tax</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 GAIN, NET OF TAX</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w w:val="98"/>
              </w:rPr>
              <w:t>Other comprehensive income attributable to noncontrolling interests</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5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COMPREHENSIVE INCOME ATTRIBUTABLE TO</w:t>
            </w: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5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COMPREHENSIVE INCOME (LOSS) ATTRIBUTABLE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COMMON SHAREHOLDERS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and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Unaudited</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2021</w:t>
            </w:r>
          </w:p>
        </w:tc>
        <w:tc>
          <w:tcPr>
            <w:tcW w:w="18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Arial" w:cs="Arial" w:eastAsia="Arial" w:hAnsi="Arial"/>
                <w:sz w:val="16"/>
                <w:szCs w:val="16"/>
                <w:b w:val="1"/>
                <w:bCs w:val="1"/>
                <w:color w:val="auto"/>
                <w:w w:val="95"/>
              </w:rPr>
              <w:t>December 31, 2020</w:t>
            </w:r>
          </w:p>
        </w:tc>
        <w:tc>
          <w:tcPr>
            <w:tcW w:w="0" w:type="dxa"/>
            <w:vAlign w:val="bottom"/>
          </w:tcPr>
          <w:p>
            <w:pPr>
              <w:spacing w:after="0"/>
              <w:rPr>
                <w:sz w:val="1"/>
                <w:szCs w:val="1"/>
                <w:color w:val="auto"/>
              </w:rPr>
            </w:pPr>
          </w:p>
        </w:tc>
      </w:tr>
      <w:tr>
        <w:trPr>
          <w:trHeight w:val="212"/>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(including $69 and $68 from VIEs, respectively)</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Accounts receivable, net (including $10 and $11 from VIEs, respectively)</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Vacation ownership notes receivable, net (including $1,486 and $1,493 from VIEs, respectively)</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(including $70 and $54 from VIEs, respectively)</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deposits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Accrued liabilities (including $2 and $1 from VIEs, respectively)</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Payroll and benefits liability</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Securitized debt, net (including $1,611 and $1,604 from VIEs, respectively)</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net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Contingencies and Commitments (Note 11)</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w w:val="99"/>
              </w:rPr>
              <w:t>Preferred stock — $0.01 par value; 2,000,000 shares authorized; none issued or outstanding</w:t>
            </w:r>
          </w:p>
        </w:tc>
        <w:tc>
          <w:tcPr>
            <w:tcW w:w="18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Common stock — $0.01 par value; 100,000,000 shares authorized; 75,491,621 and 75,279,061 shares</w:t>
            </w:r>
          </w:p>
        </w:tc>
        <w:tc>
          <w:tcPr>
            <w:tcW w:w="1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respectively</w:t>
            </w:r>
          </w:p>
        </w:tc>
        <w:tc>
          <w:tcPr>
            <w:tcW w:w="18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Treasury stock — at cost; 32,776,162 and 34,184,813 shares, respectively</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7400" w:type="dxa"/>
            <w:vAlign w:val="bottom"/>
          </w:tcPr>
          <w:p>
            <w:pPr>
              <w:ind w:left="480"/>
              <w:spacing w:after="0"/>
              <w:rPr>
                <w:sz w:val="20"/>
                <w:szCs w:val="20"/>
                <w:color w:val="auto"/>
              </w:rPr>
            </w:pPr>
            <w:r>
              <w:rPr>
                <w:rFonts w:ascii="Arial" w:cs="Arial" w:eastAsia="Arial" w:hAnsi="Arial"/>
                <w:sz w:val="18"/>
                <w:szCs w:val="18"/>
                <w:b w:val="1"/>
                <w:bCs w:val="1"/>
                <w:color w:val="auto"/>
              </w:rPr>
              <w:t>TOTAL MVW SHAREHOLDERS' EQUITY</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EQUITY</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6"/>
                <w:szCs w:val="16"/>
                <w:b w:val="1"/>
                <w:bCs w:val="1"/>
                <w:color w:val="auto"/>
              </w:rPr>
              <w:t>Nine Months Ended</w:t>
            </w:r>
          </w:p>
        </w:tc>
        <w:tc>
          <w:tcPr>
            <w:tcW w:w="660" w:type="dxa"/>
            <w:vAlign w:val="bottom"/>
            <w:tcBorders>
              <w:bottom w:val="single" w:sz="8" w:color="auto"/>
            </w:tcBorders>
          </w:tcPr>
          <w:p>
            <w:pPr>
              <w:spacing w:after="0"/>
              <w:rPr>
                <w:sz w:val="18"/>
                <w:szCs w:val="18"/>
                <w:color w:val="auto"/>
              </w:rPr>
            </w:pPr>
          </w:p>
        </w:tc>
      </w:tr>
      <w:tr>
        <w:trPr>
          <w:trHeight w:val="210"/>
        </w:trPr>
        <w:tc>
          <w:tcPr>
            <w:tcW w:w="8060" w:type="dxa"/>
            <w:vAlign w:val="bottom"/>
          </w:tcPr>
          <w:p>
            <w:pPr>
              <w:spacing w:after="0"/>
              <w:rPr>
                <w:sz w:val="18"/>
                <w:szCs w:val="18"/>
                <w:color w:val="auto"/>
              </w:rPr>
            </w:pP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30, 2020</w:t>
            </w:r>
          </w:p>
        </w:tc>
      </w:tr>
      <w:tr>
        <w:trPr>
          <w:trHeight w:val="212"/>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Net loss</w:t>
            </w:r>
          </w:p>
        </w:tc>
        <w:tc>
          <w:tcPr>
            <w:tcW w:w="500" w:type="dxa"/>
            <w:vAlign w:val="bottom"/>
          </w:tcPr>
          <w:p>
            <w:pPr>
              <w:jc w:val="right"/>
              <w:ind w:right="31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Adjustments to reconcile net loss to net cash, cash equivalents and restricted cash used by operating activities: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Depreciation and amortization of intangibles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discount and issuance costs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Vacation ownership notes receivable reserve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Impairment charges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Net change in assets and liabilities:</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Vacation ownership notes receivable originations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Vacation ownership notes receivable collections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Accounts payable, advance deposits and accrued liabilities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Payroll and benefit liabilities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compensation liability</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Other liabilities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Deconsolidation of certain Consolidated Property Owners' Associations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tcPr>
          <w:p>
            <w:pPr>
              <w:ind w:left="26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0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cash equivalents and restricted cash provided by operating activities</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Acquisition of a business, net of cash and restricted cash acquired</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Purchase of company owned life insurance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Dispositions, net</w:t>
            </w: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060" w:type="dxa"/>
            <w:vAlign w:val="bottom"/>
          </w:tcPr>
          <w:p>
            <w:pPr>
              <w:ind w:left="680"/>
              <w:spacing w:after="0"/>
              <w:rPr>
                <w:sz w:val="20"/>
                <w:szCs w:val="20"/>
                <w:color w:val="auto"/>
              </w:rPr>
            </w:pPr>
            <w:r>
              <w:rPr>
                <w:rFonts w:ascii="Arial" w:cs="Arial" w:eastAsia="Arial" w:hAnsi="Arial"/>
                <w:sz w:val="18"/>
                <w:szCs w:val="18"/>
                <w:color w:val="auto"/>
              </w:rPr>
              <w:t>Net cash, cash equivalents and restricted cash used in investing activities</w:t>
            </w:r>
          </w:p>
        </w:tc>
        <w:tc>
          <w:tcPr>
            <w:tcW w:w="5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 (CONTINUED)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Borders>
              <w:bottom w:val="single" w:sz="8" w:color="auto"/>
            </w:tcBorders>
          </w:tcPr>
          <w:p>
            <w:pPr>
              <w:spacing w:after="0"/>
              <w:rPr>
                <w:sz w:val="18"/>
                <w:szCs w:val="18"/>
                <w:color w:val="auto"/>
              </w:rPr>
            </w:pPr>
          </w:p>
        </w:tc>
      </w:tr>
      <w:tr>
        <w:trPr>
          <w:trHeight w:val="210"/>
        </w:trPr>
        <w:tc>
          <w:tcPr>
            <w:tcW w:w="8060" w:type="dxa"/>
            <w:vAlign w:val="bottom"/>
          </w:tcPr>
          <w:p>
            <w:pPr>
              <w:spacing w:after="0"/>
              <w:rPr>
                <w:sz w:val="18"/>
                <w:szCs w:val="18"/>
                <w:color w:val="auto"/>
              </w:rPr>
            </w:pP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30, 2020</w:t>
            </w:r>
          </w:p>
        </w:tc>
      </w:tr>
      <w:tr>
        <w:trPr>
          <w:trHeight w:val="212"/>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Borrowings from securitization transactions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debt related to securitization transactions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Proceeds from debt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1,166</w:t>
            </w: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of debt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Purchase of convertible note hedges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warrants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Finance lease payment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debt issuance costs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Repurchase of common stock</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dividends</w:t>
            </w: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cash equivalents and restricted cash (used in) provided by financing activities</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8060" w:type="dxa"/>
            <w:vAlign w:val="bottom"/>
          </w:tcPr>
          <w:p>
            <w:pPr>
              <w:ind w:left="220"/>
              <w:spacing w:after="0"/>
              <w:rPr>
                <w:sz w:val="20"/>
                <w:szCs w:val="20"/>
                <w:color w:val="auto"/>
              </w:rPr>
            </w:pPr>
            <w:r>
              <w:rPr>
                <w:rFonts w:ascii="Arial" w:cs="Arial" w:eastAsia="Arial" w:hAnsi="Arial"/>
                <w:sz w:val="18"/>
                <w:szCs w:val="18"/>
                <w:color w:val="auto"/>
              </w:rPr>
              <w:t>Effect of changes in exchange rates on cash, cash equivalents and restricted cash</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Non-cash issuance of treasury stock in connection with Welk Acquisition</w:t>
            </w:r>
          </w:p>
        </w:tc>
        <w:tc>
          <w:tcPr>
            <w:tcW w:w="500" w:type="dxa"/>
            <w:vAlign w:val="bottom"/>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transfer from property and equipment to inventory</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Non-cash transfer from inventory to property and equipment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issuance of treasury stock for employee stock purchase plan</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Dividends payable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paid, net of amounts capitalized</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Income tax refunds, net of income taxes paid</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SHAREHOLDERS’ EQUITY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Total MVW</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0" w:type="dxa"/>
            <w:vAlign w:val="bottom"/>
            <w:vMerge w:val="continue"/>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1"/>
                <w:szCs w:val="11"/>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8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980" w:type="dxa"/>
            <w:vAlign w:val="bottom"/>
            <w:gridSpan w:val="3"/>
            <w:vMerge w:val="continue"/>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6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Stock</w:t>
            </w: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Shareholders'</w:t>
            </w:r>
          </w:p>
        </w:tc>
        <w:tc>
          <w:tcPr>
            <w:tcW w:w="10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(Loss) Gain</w:t>
            </w: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6"/>
                <w:szCs w:val="16"/>
                <w:color w:val="auto"/>
              </w:rPr>
            </w:pPr>
          </w:p>
        </w:tc>
        <w:tc>
          <w:tcPr>
            <w:tcW w:w="640" w:type="dxa"/>
            <w:vAlign w:val="bottom"/>
          </w:tcPr>
          <w:p>
            <w:pPr>
              <w:jc w:val="right"/>
              <w:ind w:righ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33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2,682</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20" w:type="dxa"/>
            <w:vAlign w:val="bottom"/>
          </w:tcPr>
          <w:p>
            <w:pPr>
              <w:ind w:left="320"/>
              <w:spacing w:after="0"/>
              <w:rPr>
                <w:sz w:val="20"/>
                <w:szCs w:val="20"/>
                <w:color w:val="auto"/>
              </w:rPr>
            </w:pPr>
            <w:r>
              <w:rPr>
                <w:rFonts w:ascii="Arial" w:cs="Arial" w:eastAsia="Arial" w:hAnsi="Arial"/>
                <w:sz w:val="16"/>
                <w:szCs w:val="16"/>
                <w:color w:val="auto"/>
              </w:rPr>
              <w:t>Net (loss) income</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20" w:type="dxa"/>
            <w:vAlign w:val="bottom"/>
          </w:tcPr>
          <w:p>
            <w:pPr>
              <w:ind w:left="320"/>
              <w:spacing w:after="0"/>
              <w:rPr>
                <w:sz w:val="20"/>
                <w:szCs w:val="20"/>
                <w:color w:val="auto"/>
              </w:rPr>
            </w:pPr>
            <w:r>
              <w:rPr>
                <w:rFonts w:ascii="Arial" w:cs="Arial" w:eastAsia="Arial" w:hAnsi="Arial"/>
                <w:sz w:val="16"/>
                <w:szCs w:val="16"/>
                <w:color w:val="auto"/>
              </w:rPr>
              <w:t>Derivative instrument adjustment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Share-based compensation plans</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6"/>
        </w:trPr>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320" w:type="dxa"/>
            <w:vAlign w:val="bottom"/>
          </w:tcPr>
          <w:p>
            <w:pPr>
              <w:ind w:left="320"/>
              <w:spacing w:after="0" w:line="166" w:lineRule="exact"/>
              <w:rPr>
                <w:sz w:val="20"/>
                <w:szCs w:val="20"/>
                <w:color w:val="auto"/>
              </w:rPr>
            </w:pPr>
            <w:r>
              <w:rPr>
                <w:rFonts w:ascii="Arial" w:cs="Arial" w:eastAsia="Arial" w:hAnsi="Arial"/>
                <w:sz w:val="16"/>
                <w:szCs w:val="16"/>
                <w:color w:val="auto"/>
                <w:w w:val="98"/>
              </w:rPr>
              <w:t>Equity component of convertible notes, net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9"/>
        </w:trPr>
        <w:tc>
          <w:tcPr>
            <w:tcW w:w="620" w:type="dxa"/>
            <w:vAlign w:val="bottom"/>
            <w:vMerge w:val="continue"/>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6"/>
                <w:szCs w:val="16"/>
                <w:color w:val="auto"/>
              </w:rPr>
              <w:t>of issuance costs</w:t>
            </w: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 of convertible note hedges</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20" w:type="dxa"/>
            <w:vAlign w:val="bottom"/>
          </w:tcPr>
          <w:p>
            <w:pPr>
              <w:ind w:left="320"/>
              <w:spacing w:after="0"/>
              <w:rPr>
                <w:sz w:val="20"/>
                <w:szCs w:val="20"/>
                <w:color w:val="auto"/>
              </w:rPr>
            </w:pPr>
            <w:r>
              <w:rPr>
                <w:rFonts w:ascii="Arial" w:cs="Arial" w:eastAsia="Arial" w:hAnsi="Arial"/>
                <w:sz w:val="16"/>
                <w:szCs w:val="16"/>
                <w:color w:val="auto"/>
              </w:rPr>
              <w:t>Issuance of warrants</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69"/>
        </w:trPr>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20"/>
              <w:spacing w:after="0" w:line="169" w:lineRule="exact"/>
              <w:rPr>
                <w:sz w:val="20"/>
                <w:szCs w:val="20"/>
                <w:color w:val="auto"/>
              </w:rPr>
            </w:pPr>
            <w:r>
              <w:rPr>
                <w:rFonts w:ascii="Arial" w:cs="Arial" w:eastAsia="Arial" w:hAnsi="Arial"/>
                <w:sz w:val="16"/>
                <w:szCs w:val="16"/>
                <w:color w:val="auto"/>
              </w:rPr>
              <w:t>Deconsolidation of certain Consolidated</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2"/>
        </w:trPr>
        <w:tc>
          <w:tcPr>
            <w:tcW w:w="620" w:type="dxa"/>
            <w:vAlign w:val="bottom"/>
            <w:vMerge w:val="continue"/>
            <w:shd w:val="clear" w:color="auto" w:fill="CCEEFF"/>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Property Owners' Associations</w:t>
            </w: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3320" w:type="dxa"/>
            <w:vAlign w:val="bottom"/>
          </w:tcPr>
          <w:p>
            <w:pPr>
              <w:ind w:left="100"/>
              <w:spacing w:after="0"/>
              <w:rPr>
                <w:sz w:val="20"/>
                <w:szCs w:val="20"/>
                <w:color w:val="auto"/>
              </w:rPr>
            </w:pPr>
            <w:r>
              <w:rPr>
                <w:rFonts w:ascii="Arial" w:cs="Arial" w:eastAsia="Arial" w:hAnsi="Arial"/>
                <w:sz w:val="16"/>
                <w:szCs w:val="16"/>
                <w:b w:val="1"/>
                <w:bCs w:val="1"/>
                <w:color w:val="auto"/>
              </w:rPr>
              <w:t>BALANCE AT MARCH 31, 2021</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2,738</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20" w:type="dxa"/>
            <w:vAlign w:val="bottom"/>
          </w:tcPr>
          <w:p>
            <w:pPr>
              <w:ind w:left="320"/>
              <w:spacing w:after="0"/>
              <w:rPr>
                <w:sz w:val="20"/>
                <w:szCs w:val="20"/>
                <w:color w:val="auto"/>
              </w:rPr>
            </w:pPr>
            <w:r>
              <w:rPr>
                <w:rFonts w:ascii="Arial" w:cs="Arial" w:eastAsia="Arial" w:hAnsi="Arial"/>
                <w:sz w:val="16"/>
                <w:szCs w:val="16"/>
                <w:color w:val="auto"/>
              </w:rPr>
              <w:t>Welk Acquisition</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20" w:type="dxa"/>
            <w:vAlign w:val="bottom"/>
          </w:tcPr>
          <w:p>
            <w:pPr>
              <w:ind w:left="320"/>
              <w:spacing w:after="0"/>
              <w:rPr>
                <w:sz w:val="20"/>
                <w:szCs w:val="20"/>
                <w:color w:val="auto"/>
              </w:rPr>
            </w:pPr>
            <w:r>
              <w:rPr>
                <w:rFonts w:ascii="Arial" w:cs="Arial" w:eastAsia="Arial" w:hAnsi="Arial"/>
                <w:sz w:val="16"/>
                <w:szCs w:val="16"/>
                <w:color w:val="auto"/>
              </w:rPr>
              <w:t>Derivative instrument adjustment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Share-based compensation plans</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6"/>
        </w:trPr>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320" w:type="dxa"/>
            <w:vAlign w:val="bottom"/>
          </w:tcPr>
          <w:p>
            <w:pPr>
              <w:ind w:left="320"/>
              <w:spacing w:after="0" w:line="166" w:lineRule="exact"/>
              <w:rPr>
                <w:sz w:val="20"/>
                <w:szCs w:val="20"/>
                <w:color w:val="auto"/>
              </w:rPr>
            </w:pPr>
            <w:r>
              <w:rPr>
                <w:rFonts w:ascii="Arial" w:cs="Arial" w:eastAsia="Arial" w:hAnsi="Arial"/>
                <w:sz w:val="16"/>
                <w:szCs w:val="16"/>
                <w:color w:val="auto"/>
              </w:rPr>
              <w:t>Deconsolidation of certain Consolidated</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620" w:type="dxa"/>
            <w:vAlign w:val="bottom"/>
            <w:vMerge w:val="continue"/>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6"/>
                <w:szCs w:val="16"/>
                <w:color w:val="auto"/>
              </w:rPr>
              <w:t>Property Owners' Associations</w:t>
            </w: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Employee stock plan issuance</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3320" w:type="dxa"/>
            <w:vAlign w:val="bottom"/>
          </w:tcPr>
          <w:p>
            <w:pPr>
              <w:ind w:left="100"/>
              <w:spacing w:after="0"/>
              <w:rPr>
                <w:sz w:val="20"/>
                <w:szCs w:val="20"/>
                <w:color w:val="auto"/>
              </w:rPr>
            </w:pPr>
            <w:r>
              <w:rPr>
                <w:rFonts w:ascii="Arial" w:cs="Arial" w:eastAsia="Arial" w:hAnsi="Arial"/>
                <w:sz w:val="16"/>
                <w:szCs w:val="16"/>
                <w:b w:val="1"/>
                <w:bCs w:val="1"/>
                <w:color w:val="auto"/>
              </w:rPr>
              <w:t>BALANCE AT JUNE 30, 2021</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4,047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2,982</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3,012</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20" w:type="dxa"/>
            <w:vAlign w:val="bottom"/>
          </w:tcPr>
          <w:p>
            <w:pPr>
              <w:ind w:left="32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Derivative instrument adjustment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20" w:type="dxa"/>
            <w:vAlign w:val="bottom"/>
          </w:tcPr>
          <w:p>
            <w:pPr>
              <w:ind w:left="320"/>
              <w:spacing w:after="0"/>
              <w:rPr>
                <w:sz w:val="20"/>
                <w:szCs w:val="20"/>
                <w:color w:val="auto"/>
              </w:rPr>
            </w:pPr>
            <w:r>
              <w:rPr>
                <w:rFonts w:ascii="Arial" w:cs="Arial" w:eastAsia="Arial" w:hAnsi="Arial"/>
                <w:sz w:val="16"/>
                <w:szCs w:val="16"/>
                <w:color w:val="auto"/>
              </w:rPr>
              <w:t>Share-based compensation plans</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Repurchase of common stock</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20" w:type="dxa"/>
            <w:vAlign w:val="bottom"/>
          </w:tcPr>
          <w:p>
            <w:pPr>
              <w:ind w:left="320"/>
              <w:spacing w:after="0"/>
              <w:rPr>
                <w:sz w:val="20"/>
                <w:szCs w:val="20"/>
                <w:color w:val="auto"/>
              </w:rPr>
            </w:pPr>
            <w:r>
              <w:rPr>
                <w:rFonts w:ascii="Arial" w:cs="Arial" w:eastAsia="Arial" w:hAnsi="Arial"/>
                <w:sz w:val="16"/>
                <w:szCs w:val="16"/>
                <w:color w:val="auto"/>
              </w:rPr>
              <w:t>Dividends</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Employee stock plan issuance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3320" w:type="dxa"/>
            <w:vAlign w:val="bottom"/>
          </w:tcPr>
          <w:p>
            <w:pPr>
              <w:ind w:left="100"/>
              <w:spacing w:after="0"/>
              <w:rPr>
                <w:sz w:val="20"/>
                <w:szCs w:val="20"/>
                <w:color w:val="auto"/>
              </w:rPr>
            </w:pPr>
            <w:r>
              <w:rPr>
                <w:rFonts w:ascii="Arial" w:cs="Arial" w:eastAsia="Arial" w:hAnsi="Arial"/>
                <w:sz w:val="16"/>
                <w:szCs w:val="16"/>
                <w:b w:val="1"/>
                <w:bCs w:val="1"/>
                <w:color w:val="auto"/>
              </w:rPr>
              <w:t>BALANCE AT SEPTEMBER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4,056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2,973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3,004</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SHAREHOLDERS’ EQUITY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Total MVW</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0" w:type="dxa"/>
            <w:vAlign w:val="bottom"/>
            <w:vMerge w:val="continue"/>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Treasury</w:t>
            </w:r>
          </w:p>
        </w:tc>
        <w:tc>
          <w:tcPr>
            <w:tcW w:w="8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980" w:type="dxa"/>
            <w:vAlign w:val="bottom"/>
            <w:gridSpan w:val="3"/>
            <w:vMerge w:val="continue"/>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6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Stock</w:t>
            </w:r>
          </w:p>
        </w:tc>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Shareholders'</w:t>
            </w:r>
          </w:p>
        </w:tc>
        <w:tc>
          <w:tcPr>
            <w:tcW w:w="10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(Loss) Gain</w:t>
            </w: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6"/>
                <w:szCs w:val="16"/>
                <w:color w:val="auto"/>
              </w:rPr>
            </w:pPr>
          </w:p>
        </w:tc>
        <w:tc>
          <w:tcPr>
            <w:tcW w:w="640" w:type="dxa"/>
            <w:vAlign w:val="bottom"/>
          </w:tcPr>
          <w:p>
            <w:pPr>
              <w:jc w:val="right"/>
              <w:ind w:righ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33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20" w:type="dxa"/>
            <w:vAlign w:val="bottom"/>
          </w:tcPr>
          <w:p>
            <w:pPr>
              <w:ind w:left="320"/>
              <w:spacing w:after="0"/>
              <w:rPr>
                <w:sz w:val="20"/>
                <w:szCs w:val="20"/>
                <w:color w:val="auto"/>
              </w:rPr>
            </w:pPr>
            <w:r>
              <w:rPr>
                <w:rFonts w:ascii="Arial" w:cs="Arial" w:eastAsia="Arial" w:hAnsi="Arial"/>
                <w:sz w:val="16"/>
                <w:szCs w:val="16"/>
                <w:color w:val="auto"/>
              </w:rPr>
              <w:t>Net (loss) income</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20" w:type="dxa"/>
            <w:vAlign w:val="bottom"/>
          </w:tcPr>
          <w:p>
            <w:pPr>
              <w:ind w:left="320"/>
              <w:spacing w:after="0"/>
              <w:rPr>
                <w:sz w:val="20"/>
                <w:szCs w:val="20"/>
                <w:color w:val="auto"/>
              </w:rPr>
            </w:pPr>
            <w:r>
              <w:rPr>
                <w:rFonts w:ascii="Arial" w:cs="Arial" w:eastAsia="Arial" w:hAnsi="Arial"/>
                <w:sz w:val="16"/>
                <w:szCs w:val="16"/>
                <w:color w:val="auto"/>
              </w:rPr>
              <w:t>Derivative instrument adjustment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Share-based compensation plans</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20" w:type="dxa"/>
            <w:vAlign w:val="bottom"/>
          </w:tcPr>
          <w:p>
            <w:pPr>
              <w:ind w:left="320"/>
              <w:spacing w:after="0"/>
              <w:rPr>
                <w:sz w:val="20"/>
                <w:szCs w:val="20"/>
                <w:color w:val="auto"/>
              </w:rPr>
            </w:pPr>
            <w:r>
              <w:rPr>
                <w:rFonts w:ascii="Arial" w:cs="Arial" w:eastAsia="Arial" w:hAnsi="Arial"/>
                <w:sz w:val="16"/>
                <w:szCs w:val="16"/>
                <w:color w:val="auto"/>
              </w:rPr>
              <w:t>Repurchase of common stock</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Dividends</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6"/>
        </w:trPr>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3320" w:type="dxa"/>
            <w:vAlign w:val="bottom"/>
          </w:tcPr>
          <w:p>
            <w:pPr>
              <w:ind w:left="100"/>
              <w:spacing w:after="0"/>
              <w:rPr>
                <w:sz w:val="20"/>
                <w:szCs w:val="20"/>
                <w:color w:val="auto"/>
              </w:rPr>
            </w:pPr>
            <w:r>
              <w:rPr>
                <w:rFonts w:ascii="Arial" w:cs="Arial" w:eastAsia="Arial" w:hAnsi="Arial"/>
                <w:sz w:val="16"/>
                <w:szCs w:val="16"/>
                <w:b w:val="1"/>
                <w:bCs w:val="1"/>
                <w:color w:val="auto"/>
              </w:rPr>
              <w:t>BALANCE AT MARCH 31, 2020</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(1,335)</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3,729</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(loss) income</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Derivative instrument adjustment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20" w:type="dxa"/>
            <w:vAlign w:val="bottom"/>
          </w:tcPr>
          <w:p>
            <w:pPr>
              <w:ind w:left="340"/>
              <w:spacing w:after="0"/>
              <w:rPr>
                <w:sz w:val="20"/>
                <w:szCs w:val="20"/>
                <w:color w:val="auto"/>
              </w:rPr>
            </w:pPr>
            <w:r>
              <w:rPr>
                <w:rFonts w:ascii="Arial" w:cs="Arial" w:eastAsia="Arial" w:hAnsi="Arial"/>
                <w:sz w:val="16"/>
                <w:szCs w:val="16"/>
                <w:color w:val="auto"/>
              </w:rPr>
              <w:t>Share-based compensation plans</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Employee stock plan issuance</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3320" w:type="dxa"/>
            <w:vAlign w:val="bottom"/>
          </w:tcPr>
          <w:p>
            <w:pPr>
              <w:ind w:left="100"/>
              <w:spacing w:after="0"/>
              <w:rPr>
                <w:sz w:val="20"/>
                <w:szCs w:val="20"/>
                <w:color w:val="auto"/>
              </w:rPr>
            </w:pPr>
            <w:r>
              <w:rPr>
                <w:rFonts w:ascii="Arial" w:cs="Arial" w:eastAsia="Arial" w:hAnsi="Arial"/>
                <w:sz w:val="16"/>
                <w:szCs w:val="16"/>
                <w:b w:val="1"/>
                <w:bCs w:val="1"/>
                <w:color w:val="auto"/>
              </w:rPr>
              <w:t>BALANCE AT JUNE 30, 2020</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(1,334)</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3,736</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(loss) income</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Derivative instrument adjustment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3320" w:type="dxa"/>
            <w:vAlign w:val="bottom"/>
          </w:tcPr>
          <w:p>
            <w:pPr>
              <w:ind w:left="340"/>
              <w:spacing w:after="0"/>
              <w:rPr>
                <w:sz w:val="20"/>
                <w:szCs w:val="20"/>
                <w:color w:val="auto"/>
              </w:rPr>
            </w:pPr>
            <w:r>
              <w:rPr>
                <w:rFonts w:ascii="Arial" w:cs="Arial" w:eastAsia="Arial" w:hAnsi="Arial"/>
                <w:sz w:val="16"/>
                <w:szCs w:val="16"/>
                <w:color w:val="auto"/>
              </w:rPr>
              <w:t>Share-based compensation plans</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8"/>
        </w:trPr>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3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SEPTEMBER 30,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2,683</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bottom w:val="single" w:sz="8" w:color="auto"/>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88" w:lineRule="exact"/>
        <w:rPr>
          <w:sz w:val="20"/>
          <w:szCs w:val="20"/>
          <w:color w:val="auto"/>
        </w:rPr>
      </w:pPr>
    </w:p>
    <w:p>
      <w:pPr>
        <w:ind w:left="420" w:hanging="394"/>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1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 Capitalized terms used and not specifically defined herein have the same meanings given those terms in our Annual Report on Form 10-K for the fiscal year ended December 31, 2020 (the “2020 Annual Report”). We use certain other terms that are defined within these Financial Statements.</w:t>
      </w:r>
    </w:p>
    <w:p>
      <w:pPr>
        <w:spacing w:after="0" w:line="5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(“VIEs”) for which Marriott Vacations Worldwide is the primary beneficiary in accordance with consolidation accounting guidance. References in these Financial Statements to net income (loss) attributable to common shareholders and MVW shareholders’ equity do not include noncontrolling interests, which represent the outside ownership of our consolidated non-wholly owned entities and are reported separately. Intercompany accounts and transactions between consolidated companies have been eliminated in consolidation.</w:t>
      </w:r>
    </w:p>
    <w:p>
      <w:pPr>
        <w:spacing w:after="0" w:line="70"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Pursuant to a change in control of certain consolidated property owners’ associations, we recorded a non-cash loss of $1 million in Losses and other expense, net on our Income Statement for the nine months ended September 30, 2021, and deconsolidated $88 million of assets, inclusive of $87 million of restricted cash, and $83 million of liabilities, for a decrease in Noncontrolling interests of $6 million during the first three quarters of 2021. See our Interim Consolidated Statements of Shareholders’ Equity for further information. We continue to act as manager for these property owners’ associations pursuant to existing management contracts and retain membership interests via our ownership of vacation ownership interests.</w:t>
      </w:r>
    </w:p>
    <w:p>
      <w:pPr>
        <w:spacing w:after="0" w:line="5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accounting for acquired vacation ownership notes receivable, vacation ownership notes receivable reserves, income taxes, and loss contingencies. The uncertainty created by the COVID-19 pandemic, and the ongoing efforts to mitigate it, has made it more challenging to make these estimates. Accordingly, ultimate results could differ from our estimates, and such differences may be material.</w:t>
      </w:r>
    </w:p>
    <w:p>
      <w:pPr>
        <w:spacing w:after="0" w:line="5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the impact of the COVID-19 pandemic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2020 Annual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Welk</w:t>
      </w:r>
    </w:p>
    <w:p>
      <w:pPr>
        <w:spacing w:after="0" w:line="117"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On April 1, 2021, we completed the acquisition of Welk Hospitality Group, Inc. (“Welk”) through a series of transactions (the “Welk Acquisition”), after which Welk became our indirect wholly-owned subsidiary. The Financial Statements in this report include Welk’s results of operations for the second and third quarters of 2021 and reflect the financial position of our combined company at September 30, 2021. We refer to Welk’s business and brands that we acquired as “Legacy-Welk.” See Footnote 3 “Acquisitions and Dispositions” for more information on the Welk Acquisition.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reclassified certain prior year amounts to conform to our current year presentation.</w:t>
      </w:r>
    </w:p>
    <w:p>
      <w:pPr>
        <w:spacing w:after="0" w:line="262" w:lineRule="exact"/>
        <w:rPr>
          <w:sz w:val="20"/>
          <w:szCs w:val="20"/>
          <w:color w:val="auto"/>
        </w:rPr>
      </w:pPr>
    </w:p>
    <w:p>
      <w:pPr>
        <w:ind w:left="420" w:hanging="394"/>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AND RECENT ACCOUNTING STANDARDS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Accounting Standards Update 2019-12 –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w:t>
      </w:r>
    </w:p>
    <w:p>
      <w:pPr>
        <w:spacing w:after="0" w:line="117"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In the first quarter of 2021, we adopted ASU 2019-12, which amends and simplifies existing guidance in an effort to reduce the complexity of accounting for income taxes while maintaining or enhancing the helpfulness of information provided to financial statement users. Our adoption of ASU 2019-12 did not have a material impact on our Financial Statements or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Accounting Standards Update 2020-04 –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(“ASU 2020-04”)</w:t>
      </w:r>
    </w:p>
    <w:p>
      <w:pPr>
        <w:spacing w:after="0" w:line="6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March 2020, the FASB issued ASU 2020-04, as amended, which provides optional expedients and exceptions to existing guidance on contract modifications and hedge accounting in an effort to ease the financial reporting burdens related to the expected market transition from the LIBOR and other interbank offered rates to alternative reference rates. This update can be adopted no later than December 1, 2022, with early adoption permitted. We expect to adopt ASU 2020-04 in fiscal year 2022 and continue to evaluate the impact that adoption of this update will have on our Financial Statements and disclosures.</w:t>
      </w:r>
    </w:p>
    <w:p>
      <w:pPr>
        <w:spacing w:after="0" w:line="188"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Accounting Standards Update 2020-06 – “</w:t>
      </w:r>
      <w:r>
        <w:rPr>
          <w:rFonts w:ascii="Arial" w:cs="Arial" w:eastAsia="Arial" w:hAnsi="Arial"/>
          <w:sz w:val="16"/>
          <w:szCs w:val="16"/>
          <w:i w:val="1"/>
          <w:iCs w:val="1"/>
          <w:color w:val="auto"/>
        </w:rPr>
        <w:t>Debt — Debt With Conversion and Other Options (Subtopic 470-20) and 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Accounting for Convertible Instruments and Contracts in an Entity’s Own Equity” </w:t>
      </w:r>
      <w:r>
        <w:rPr>
          <w:rFonts w:ascii="Arial" w:cs="Arial" w:eastAsia="Arial" w:hAnsi="Arial"/>
          <w:sz w:val="16"/>
          <w:szCs w:val="16"/>
          <w:color w:val="auto"/>
        </w:rPr>
        <w:t>(“ASU 2020-06”)</w:t>
      </w:r>
    </w:p>
    <w:p>
      <w:pPr>
        <w:spacing w:after="0" w:line="1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August 2020, the FASB issued ASU 2020-06, which amends and simplifies existing guidance in an effort to reduce the complexity of accounting for convertible instruments and to provide financial statement users with more meaningful information. ASU 2020-06 is effective for fiscal years beginning after December 15, 2021, including interim periods therein, with early adoption permitted for fiscal years beginning after December 15, 2020. This update may be applied retrospectively or on a modified retrospective basis with the cumulative effect recognized as an adjustment to the opening balance of retained earnings on the date of adoption. We expect to adopt ASU 2020-06 on January 1, 2022 using the modified retrospective method. Any transactions that may be settled prior to adoption will not be impacted by the update. The impacts of the adoption for any remaining instruments will be recorded in its cumulative effect in the opening balance of retained earnings and the conversion feature related to our convertible notes will be reclassified from equity to liabilities. In addition, we will eliminate the related equity adjustment associated with the deferred tax liability. Upon adoption, we will also be required to calculate the impact of the convertible notes on diluted earnings per share under the “if-converted” method. Under the “if-converted” method, diluted earnings per share would generally be calculated assuming that all of our convertible notes were converted solely into shares of common stock at the beginning of the reporting period, unless the result would be anti-dilutive. The application of the “if-converted” method is expected to reduce our reported diluted earnings per share.</w:t>
      </w:r>
    </w:p>
    <w:p>
      <w:pPr>
        <w:spacing w:after="0" w:line="17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Accounting Standards Update 2021-08 - “</w:t>
      </w:r>
      <w:r>
        <w:rPr>
          <w:rFonts w:ascii="Arial" w:cs="Arial" w:eastAsia="Arial" w:hAnsi="Arial"/>
          <w:sz w:val="18"/>
          <w:szCs w:val="18"/>
          <w:i w:val="1"/>
          <w:iCs w:val="1"/>
          <w:color w:val="auto"/>
        </w:rPr>
        <w:t>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(“ASU 2021-08”)</w:t>
      </w:r>
    </w:p>
    <w:p>
      <w:pPr>
        <w:spacing w:after="0" w:line="6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In October 2021, the FASB issued ASU 2021-08, which requires application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 recognize and measure contract assets and liabilities from contracts with customers acquired in a business combination. ASU 2021-08 creates an exception to the general recognition and measurement principle in ASC 805 and will result in recognition of contract assets and contract liabilities consistent with those recorded by the acquiree immediately before the acquisition date. The guidance eliminates the complexity of determining the fair value of contract liabilities and may result in higher balances for contract liabilities acquired in a business combination, resulting in more post-combination revenue and a higher amount of goodwill being recognized by the acquirer. This update is effective for fiscal years beginning after December 15, 2022 and interim periods therein, with early adoption permitted. We expect to adopt ASU 2021-08 on a prospective basis in fiscal year 2022, and do not expect the adoption to have a material impact on our Financial Statements or disclosures.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0" w:hanging="394"/>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Welk Acquisition</w:t>
      </w:r>
    </w:p>
    <w:p>
      <w:pPr>
        <w:spacing w:after="0" w:line="11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On April 1, 2021 (the “Welk Acquisition Date”), we completed the Welk Acquisition for consideration of $405 million, including approximately 1.4 million shares of our common stock. Welk was one of the largest independent vacation ownership companies in North America. The following table presents the fair value of each type of consideration transferred at the Welk Acquisition Date at September 30, 2021.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Equivalent shares of Marriott Vacations Worldwide common stock issued</w:t>
            </w:r>
          </w:p>
        </w:tc>
        <w:tc>
          <w:tcPr>
            <w:tcW w:w="8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Marriott Vacations Worldwide common stock price per share as of Welk Acquisition Date</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174.18</w:t>
            </w:r>
          </w:p>
        </w:tc>
      </w:tr>
      <w:tr>
        <w:trPr>
          <w:trHeight w:val="223"/>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Marriott Vacations Worldwide common stock issued</w:t>
            </w:r>
          </w:p>
        </w:tc>
        <w:tc>
          <w:tcPr>
            <w:tcW w:w="8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consideration to Welk, net of cash and restricted cash acquired of $48 million</w:t>
            </w: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consideration transferred, net of cash and restricted cash acquired</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Preliminary Fair Values of Assets Acquired and Liabilities Assumed</w:t>
      </w:r>
    </w:p>
    <w:p>
      <w:pPr>
        <w:spacing w:after="0" w:line="117"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We accounted for the Welk Acquisition as a business combination, which requires us to record the assets acquired and liabilities assumed at fair value as of the Welk Acquisition Date. The amounts recorded are preliminary in nature and are subject to adjustment as additional information is obtained about the facts and circumstances that existed as of the Welk Acquisition Date. We continue to evaluate the underlying inputs and assumptions used in our valuation for all assets acquired and liabilities assumed. The values attributed to Vacation ownership notes receivable, Inventory, Property and equipment, Intangible assets, Deferred taxes and Securitized debt from VIEs are based on preliminary valuations prepared using Level 3 inputs and assumptions in accordance with ASC Topic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(“ASC 820”). The value attributed to Debt is based on Level 2 inputs in accordance with ASC 820. We are in the process of finalizing our valuations in accordance with the authoritative guidance by continuing our evaluation of the underlying inputs and assumptions that are being utilized in the valuations. Our evaluation of Welk’s historical tax positions remains ongoing. Accordingly, these preliminary estimates are subject to change during the measurement period, which is up to one year from the Welk Acquisition Date, as permitted under GAAP. Any potential adjustments could be material in relation to the values presented in the table below.</w:t>
      </w:r>
    </w:p>
    <w:p>
      <w:pPr>
        <w:spacing w:after="0" w:line="6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following table presents our preliminary estimates of the fair value of the assets that we acquired and the liabilities that we assumed in connection with the business combination as previously reported at June 30, 2021 and as adjusted at September 30, 2021. During the third quarter of 2021, we refined our valuation models related to certain acquired assets and liabilities as follows:</w:t>
      </w: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700" w:type="dxa"/>
            <w:vAlign w:val="bottom"/>
          </w:tcPr>
          <w:p>
            <w:pPr>
              <w:jc w:val="center"/>
              <w:ind w:left="415"/>
              <w:spacing w:after="0" w:line="171" w:lineRule="exact"/>
              <w:rPr>
                <w:sz w:val="20"/>
                <w:szCs w:val="20"/>
                <w:color w:val="auto"/>
              </w:rPr>
            </w:pPr>
            <w:r>
              <w:rPr>
                <w:rFonts w:ascii="Arial" w:cs="Arial" w:eastAsia="Arial" w:hAnsi="Arial"/>
                <w:sz w:val="16"/>
                <w:szCs w:val="16"/>
                <w:b w:val="1"/>
                <w:bCs w:val="1"/>
                <w:color w:val="auto"/>
                <w:w w:val="93"/>
              </w:rPr>
              <w:t>April 1, 2021</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tcPr>
          <w:p>
            <w:pPr>
              <w:jc w:val="center"/>
              <w:ind w:right="291"/>
              <w:spacing w:after="0" w:line="171" w:lineRule="exact"/>
              <w:rPr>
                <w:sz w:val="20"/>
                <w:szCs w:val="20"/>
                <w:color w:val="auto"/>
              </w:rPr>
            </w:pPr>
            <w:r>
              <w:rPr>
                <w:rFonts w:ascii="Arial" w:cs="Arial" w:eastAsia="Arial" w:hAnsi="Arial"/>
                <w:sz w:val="16"/>
                <w:szCs w:val="16"/>
                <w:b w:val="1"/>
                <w:bCs w:val="1"/>
                <w:color w:val="auto"/>
                <w:w w:val="95"/>
              </w:rPr>
              <w:t>April 1, 2021</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700" w:type="dxa"/>
            <w:vAlign w:val="bottom"/>
          </w:tcPr>
          <w:p>
            <w:pPr>
              <w:jc w:val="center"/>
              <w:ind w:left="375"/>
              <w:spacing w:after="0" w:line="162" w:lineRule="exact"/>
              <w:rPr>
                <w:sz w:val="20"/>
                <w:szCs w:val="20"/>
                <w:color w:val="auto"/>
              </w:rPr>
            </w:pPr>
            <w:r>
              <w:rPr>
                <w:rFonts w:ascii="Arial" w:cs="Arial" w:eastAsia="Arial" w:hAnsi="Arial"/>
                <w:sz w:val="16"/>
                <w:szCs w:val="16"/>
                <w:b w:val="1"/>
                <w:bCs w:val="1"/>
                <w:color w:val="auto"/>
                <w:w w:val="89"/>
              </w:rPr>
              <w:t>(as reported at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Adjustments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(as adjusted at September 30,</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700" w:type="dxa"/>
            <w:vAlign w:val="bottom"/>
            <w:tcBorders>
              <w:bottom w:val="single" w:sz="8" w:color="auto"/>
            </w:tcBorders>
          </w:tcPr>
          <w:p>
            <w:pPr>
              <w:jc w:val="center"/>
              <w:ind w:left="415"/>
              <w:spacing w:after="0"/>
              <w:rPr>
                <w:sz w:val="20"/>
                <w:szCs w:val="20"/>
                <w:color w:val="auto"/>
              </w:rPr>
            </w:pPr>
            <w:r>
              <w:rPr>
                <w:rFonts w:ascii="Arial" w:cs="Arial" w:eastAsia="Arial" w:hAnsi="Arial"/>
                <w:sz w:val="16"/>
                <w:szCs w:val="16"/>
                <w:b w:val="1"/>
                <w:bCs w:val="1"/>
                <w:color w:val="auto"/>
                <w:w w:val="91"/>
              </w:rPr>
              <w:t>June 30, 2021)</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291"/>
              <w:spacing w:after="0"/>
              <w:rPr>
                <w:sz w:val="20"/>
                <w:szCs w:val="20"/>
                <w:color w:val="auto"/>
              </w:rPr>
            </w:pPr>
            <w:r>
              <w:rPr>
                <w:rFonts w:ascii="Arial" w:cs="Arial" w:eastAsia="Arial" w:hAnsi="Arial"/>
                <w:sz w:val="16"/>
                <w:szCs w:val="16"/>
                <w:b w:val="1"/>
                <w:bCs w:val="1"/>
                <w:color w:val="auto"/>
                <w:w w:val="92"/>
              </w:rPr>
              <w:t>2021)</w:t>
            </w:r>
          </w:p>
        </w:tc>
        <w:tc>
          <w:tcPr>
            <w:tcW w:w="0" w:type="dxa"/>
            <w:vAlign w:val="bottom"/>
          </w:tcPr>
          <w:p>
            <w:pPr>
              <w:spacing w:after="0"/>
              <w:rPr>
                <w:sz w:val="1"/>
                <w:szCs w:val="1"/>
                <w:color w:val="auto"/>
              </w:rPr>
            </w:pPr>
          </w:p>
        </w:tc>
      </w:tr>
      <w:tr>
        <w:trPr>
          <w:trHeight w:val="22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net</w:t>
            </w:r>
            <w:r>
              <w:rPr>
                <w:rFonts w:ascii="Arial" w:cs="Arial" w:eastAsia="Arial" w:hAnsi="Arial"/>
                <w:sz w:val="9"/>
                <w:szCs w:val="9"/>
                <w:color w:val="auto"/>
              </w:rPr>
              <w:t>(1)</w:t>
            </w:r>
          </w:p>
        </w:tc>
        <w:tc>
          <w:tcPr>
            <w:tcW w:w="1700" w:type="dxa"/>
            <w:vAlign w:val="bottom"/>
            <w:shd w:val="clear" w:color="auto" w:fill="CCEEFF"/>
          </w:tcPr>
          <w:p>
            <w:pPr>
              <w:jc w:val="right"/>
              <w:ind w:right="151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53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Inventory</w:t>
            </w:r>
            <w:r>
              <w:rPr>
                <w:rFonts w:ascii="Arial" w:cs="Arial" w:eastAsia="Arial" w:hAnsi="Arial"/>
                <w:sz w:val="9"/>
                <w:szCs w:val="9"/>
                <w:color w:val="auto"/>
              </w:rPr>
              <w:t>(2)</w:t>
            </w:r>
          </w:p>
        </w:tc>
        <w:tc>
          <w:tcPr>
            <w:tcW w:w="1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7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Intangible assets</w:t>
            </w:r>
            <w:r>
              <w:rPr>
                <w:rFonts w:ascii="Arial" w:cs="Arial" w:eastAsia="Arial" w:hAnsi="Arial"/>
                <w:sz w:val="9"/>
                <w:szCs w:val="9"/>
                <w:color w:val="auto"/>
              </w:rPr>
              <w:t>(3)</w:t>
            </w:r>
          </w:p>
        </w:tc>
        <w:tc>
          <w:tcPr>
            <w:tcW w:w="1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7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1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7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Securitized debt</w:t>
            </w:r>
          </w:p>
        </w:tc>
        <w:tc>
          <w:tcPr>
            <w:tcW w:w="1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7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4360" w:type="dxa"/>
            <w:vAlign w:val="bottom"/>
          </w:tcPr>
          <w:p>
            <w:pPr>
              <w:ind w:left="220"/>
              <w:spacing w:after="0"/>
              <w:rPr>
                <w:sz w:val="20"/>
                <w:szCs w:val="20"/>
                <w:color w:val="auto"/>
              </w:rPr>
            </w:pPr>
            <w:r>
              <w:rPr>
                <w:rFonts w:ascii="Arial" w:cs="Arial" w:eastAsia="Arial" w:hAnsi="Arial"/>
                <w:sz w:val="18"/>
                <w:szCs w:val="18"/>
                <w:color w:val="auto"/>
              </w:rPr>
              <w:t>Net assets acquired</w:t>
            </w:r>
          </w:p>
        </w:tc>
        <w:tc>
          <w:tcPr>
            <w:tcW w:w="1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r>
              <w:rPr>
                <w:rFonts w:ascii="Arial" w:cs="Arial" w:eastAsia="Arial" w:hAnsi="Arial"/>
                <w:sz w:val="9"/>
                <w:szCs w:val="9"/>
                <w:color w:val="auto"/>
              </w:rPr>
              <w:t>(4)</w:t>
            </w:r>
          </w:p>
        </w:tc>
        <w:tc>
          <w:tcPr>
            <w:tcW w:w="17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1700" w:type="dxa"/>
            <w:vAlign w:val="bottom"/>
            <w:tcBorders>
              <w:bottom w:val="single" w:sz="8" w:color="auto"/>
            </w:tcBorders>
          </w:tcPr>
          <w:p>
            <w:pPr>
              <w:jc w:val="right"/>
              <w:ind w:right="151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ind w:right="153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280" w:hanging="652"/>
        <w:spacing w:after="0" w:line="234" w:lineRule="auto"/>
        <w:tabs>
          <w:tab w:leader="none" w:pos="64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Vacation ownership notes receivable, net have been determined to constitute purchased credit deteriorated assets under the provisions of ASC Topic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due to the impact of the COVID-19 pandemic on Welk and the greater vacation ownership industry as a whole, and have been accounted for as such.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7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287</w:t>
            </w: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9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(33)</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net</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254</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rPr>
          <w:sz w:val="20"/>
          <w:szCs w:val="20"/>
          <w:color w:val="auto"/>
        </w:rPr>
      </w:pPr>
      <w:r>
        <w:rPr>
          <w:rFonts w:ascii="Arial" w:cs="Arial" w:eastAsia="Arial" w:hAnsi="Arial"/>
          <w:sz w:val="11"/>
          <w:szCs w:val="11"/>
          <w:color w:val="auto"/>
        </w:rPr>
        <w:t>(2)</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ind w:left="20" w:right="280" w:hanging="11"/>
        <w:spacing w:after="0" w:line="277" w:lineRule="auto"/>
        <w:rPr>
          <w:sz w:val="20"/>
          <w:szCs w:val="20"/>
          <w:color w:val="auto"/>
        </w:rPr>
      </w:pPr>
      <w:r>
        <w:rPr>
          <w:rFonts w:ascii="Arial" w:cs="Arial" w:eastAsia="Arial" w:hAnsi="Arial"/>
          <w:sz w:val="18"/>
          <w:szCs w:val="18"/>
          <w:color w:val="auto"/>
        </w:rPr>
        <w:t>Inventory consists of completed unsold VOIs. We valued inventory using an income approach, which includes significant Level 3 assumptions, such as estimates of future income growth, marketing and sales costs and discount rates.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management contracts with an estimated 20 year useful life.</w:t>
      </w:r>
    </w:p>
    <w:p>
      <w:pPr>
        <w:spacing w:after="0" w:line="63" w:lineRule="exact"/>
        <w:rPr>
          <w:sz w:val="20"/>
          <w:szCs w:val="20"/>
          <w:color w:val="auto"/>
        </w:rPr>
      </w:pPr>
    </w:p>
    <w:p>
      <w:pPr>
        <w:ind w:left="20" w:right="60" w:hanging="11"/>
        <w:spacing w:after="0" w:line="277" w:lineRule="auto"/>
        <w:rPr>
          <w:sz w:val="20"/>
          <w:szCs w:val="20"/>
          <w:color w:val="auto"/>
        </w:rPr>
      </w:pPr>
      <w:r>
        <w:rPr>
          <w:rFonts w:ascii="Arial" w:cs="Arial" w:eastAsia="Arial" w:hAnsi="Arial"/>
          <w:sz w:val="18"/>
          <w:szCs w:val="18"/>
          <w:color w:val="auto"/>
        </w:rPr>
        <w:t>Goodwill is calculated as total consideration transferred, net of cash acquired, less identified net assets acquired and it represents the value that we expect to obtain from growth opportunities from our combined operations, and is not deductible for tax purposes.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Pro Forma Results of Operations</w:t>
      </w:r>
    </w:p>
    <w:p>
      <w:pPr>
        <w:spacing w:after="0" w:line="117" w:lineRule="exact"/>
        <w:rPr>
          <w:sz w:val="20"/>
          <w:szCs w:val="20"/>
          <w:color w:val="auto"/>
        </w:rPr>
      </w:pPr>
    </w:p>
    <w:p>
      <w:pPr>
        <w:sectPr>
          <w:pgSz w:w="11900" w:h="16838" w:orient="portrait"/>
          <w:cols w:equalWidth="0" w:num="2">
            <w:col w:w="140" w:space="500"/>
            <w:col w:w="10600"/>
          </w:cols>
          <w:pgMar w:left="320" w:top="233" w:right="339" w:bottom="1440" w:gutter="0" w:footer="0" w:header="0"/>
          <w:type w:val="continuous"/>
        </w:sectPr>
      </w:pPr>
    </w:p>
    <w:p>
      <w:pPr>
        <w:ind w:right="140" w:firstLine="648"/>
        <w:spacing w:after="0" w:line="273" w:lineRule="auto"/>
        <w:rPr>
          <w:sz w:val="20"/>
          <w:szCs w:val="20"/>
          <w:color w:val="auto"/>
        </w:rPr>
      </w:pPr>
      <w:r>
        <w:rPr>
          <w:rFonts w:ascii="Arial" w:cs="Arial" w:eastAsia="Arial" w:hAnsi="Arial"/>
          <w:sz w:val="17"/>
          <w:szCs w:val="17"/>
          <w:color w:val="auto"/>
        </w:rPr>
        <w:t>The following unaudited pro forma information presents the combined results of operations of Marriott Vacations Worldwide and Welk as if we had completed the Welk Acquisition on December 31, 2019, the last day of our 2019 fiscal year, but using our preliminary estimates of the fair values of assets and liabilities as of the Welk Acquisition Date. As required by GAAP, these unaudited pro forma results do not reflect any synergies from operating efficiencies. Accordingly, these unaudited pro forma results are presented for informational purposes only and are not necessarily indicative of what the actual results of operations of the combined company would have been if the Welk Acquisition had occurred at the beginning of the period presented, nor are they indicative of future results of operations.</w:t>
      </w:r>
    </w:p>
    <w:p>
      <w:pPr>
        <w:spacing w:after="0" w:line="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There were no Welk acquisition-related costs included in the unaudited pro forma results below for the nine months ended September 30, 2021, and $18 million included for the nine months ended September 30, 2020.</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4"/>
          </w:tcPr>
          <w:p>
            <w:pPr>
              <w:jc w:val="right"/>
              <w:ind w:right="143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6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240" w:type="dxa"/>
            <w:vAlign w:val="bottom"/>
          </w:tcPr>
          <w:p>
            <w:pPr>
              <w:spacing w:after="0"/>
              <w:rPr>
                <w:sz w:val="19"/>
                <w:szCs w:val="19"/>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2021</w:t>
            </w:r>
          </w:p>
        </w:tc>
        <w:tc>
          <w:tcPr>
            <w:tcW w:w="220" w:type="dxa"/>
            <w:vAlign w:val="bottom"/>
          </w:tcPr>
          <w:p>
            <w:pPr>
              <w:spacing w:after="0"/>
              <w:rPr>
                <w:sz w:val="19"/>
                <w:szCs w:val="19"/>
                <w:color w:val="auto"/>
              </w:rPr>
            </w:pPr>
          </w:p>
        </w:tc>
        <w:tc>
          <w:tcPr>
            <w:tcW w:w="200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September 30, 2020</w:t>
            </w: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175"/>
        </w:trPr>
        <w:tc>
          <w:tcPr>
            <w:tcW w:w="66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EARNINGS (LOSS) PER SHARE ATTRIBUTABLE TO COMMON</w:t>
            </w:r>
          </w:p>
        </w:tc>
        <w:tc>
          <w:tcPr>
            <w:tcW w:w="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SHAREHOLDERS</w:t>
            </w: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(6.40)</w:t>
            </w:r>
          </w:p>
        </w:tc>
      </w:tr>
    </w:tbl>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Welk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results of Welk operations included in our Income Statement for the three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Nine Months Ended September</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90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September 30, 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3"/>
              <w:spacing w:after="0"/>
              <w:rPr>
                <w:sz w:val="20"/>
                <w:szCs w:val="20"/>
                <w:color w:val="auto"/>
              </w:rPr>
            </w:pPr>
            <w:r>
              <w:rPr>
                <w:rFonts w:ascii="Arial" w:cs="Arial" w:eastAsia="Arial" w:hAnsi="Arial"/>
                <w:sz w:val="16"/>
                <w:szCs w:val="16"/>
                <w:b w:val="1"/>
                <w:bCs w:val="1"/>
                <w:color w:val="auto"/>
              </w:rPr>
              <w:t>30, 2021</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900" w:type="dxa"/>
            <w:vAlign w:val="bottom"/>
            <w:shd w:val="clear" w:color="auto" w:fill="CCEEFF"/>
          </w:tcPr>
          <w:p>
            <w:pPr>
              <w:jc w:val="right"/>
              <w:ind w:right="1715"/>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900" w:type="dxa"/>
            <w:vAlign w:val="bottom"/>
          </w:tcPr>
          <w:p>
            <w:pPr>
              <w:jc w:val="right"/>
              <w:ind w:right="1715"/>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Costa Rica</w:t>
      </w:r>
    </w:p>
    <w:p>
      <w:pPr>
        <w:spacing w:after="0" w:line="11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During the first quarter of 2021, we acquired 24 completed vacation ownership units and an operations building located at our Marriott Vacation Club at Los Suenos resort in Costa Rica for $14 million. We accounted for the transaction as an asset acquisition with the purchase price allocated to Inventory ($13 million) and Property and equipment ($1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New York</w:t>
      </w:r>
    </w:p>
    <w:p>
      <w:pPr>
        <w:spacing w:after="0" w:line="11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During the first quarter of 2021, we acquired the remaining 120 completed vacation ownership units located at our Marriott Vacation Club Pulse, New York City property for $98 million. We accounted for the transaction as an asset acquisition with the purchase price allocated to Property and equipment.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During the first quarter of 2020, we acquired 57 completed vacation ownership units, as well as office and ancillary space, located at our Marriott Vacation Club Pulse, New York City property for $89 million, of which $22 million was a prepayment for future tranches of completed vacation ownership units and $20 million was paid in December 2019. We accounted for the transaction as an asset acquisition with the purchase price allocated to Property and equipment ($67 million) and Other assets ($22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Francisco, California</w:t>
      </w:r>
    </w:p>
    <w:p>
      <w:pPr>
        <w:spacing w:after="0" w:line="11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During the first quarter of 2021, we acquired 44 completed vacation ownership units located at our Marriott Vacation Club Pulse, San Francisco property for $34 million. We accounted for the transaction as an asset acquisition with the purchase price allocated to Inventory ($29 million) and Other assets ($5 million).</w:t>
      </w:r>
    </w:p>
    <w:p>
      <w:pPr>
        <w:spacing w:after="0" w:line="7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During the first quarter of 2020, we acquired 34 completed vacation ownership units located at our Marriott Vacation Club Pulse, San Francisco property for $26 million, of which $5 million was a prepayment for future tranches of completed vacation ownership units. We accounted for the transaction as an asset acquisition with the purchase price allocated to Inventory ($18 million), Property and equipment ($3 million), and Other assets ($5 million).</w:t>
      </w:r>
    </w:p>
    <w:p>
      <w:pPr>
        <w:spacing w:after="0" w:line="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Footnote 16 “Variable Interest Entities” for information on our remaining commitment to purchase future inventory and additional information on our activities relating to the VIE involved in this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third quarter of 2020, we recorded a loss of $5 million in the Losses and other expense, net line on our Income Statement for the three and nine months ended September 30, 2020 relating to the redemption of our interest in a joint venture in our Exchange &amp; Third-Party Management segment which was consolidated under the voting interest model. We received nominal cash proceeds and a note receivable which we measured at a fair value of $1 million using Level 3 inputs.</w:t>
      </w:r>
    </w:p>
    <w:p>
      <w:pPr>
        <w:spacing w:after="0" w:line="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Additionally, during the third quarter of 2020, we disposed of excess Vacation Ownership segment land parcels in Orlando, Florida and Steamboat Springs, Colorado for combined proceeds of $15 million, as part of our strategic decision to reduce holdings in markets where we have excess supply. We recorded a combined net gain of $6 million in the Losses and other expense, net line on our Income Statement for the three and nine months ended September 30, 2020 relating to these transactions.</w:t>
      </w:r>
    </w:p>
    <w:p>
      <w:pPr>
        <w:spacing w:after="0" w:line="264" w:lineRule="exact"/>
        <w:rPr>
          <w:sz w:val="20"/>
          <w:szCs w:val="20"/>
          <w:color w:val="auto"/>
        </w:rPr>
      </w:pPr>
    </w:p>
    <w:p>
      <w:pPr>
        <w:ind w:left="420" w:hanging="394"/>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RECEIVABLES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sources of revenue by segment for the time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Three Months Ended September 30, 2021</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Vacation Ownership</w:t>
            </w:r>
          </w:p>
        </w:tc>
        <w:tc>
          <w:tcPr>
            <w:tcW w:w="160" w:type="dxa"/>
            <w:vAlign w:val="bottom"/>
          </w:tcPr>
          <w:p>
            <w:pPr>
              <w:spacing w:after="0"/>
              <w:rPr>
                <w:sz w:val="13"/>
                <w:szCs w:val="13"/>
                <w:color w:val="auto"/>
              </w:rPr>
            </w:pPr>
          </w:p>
        </w:tc>
        <w:tc>
          <w:tcPr>
            <w:tcW w:w="170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Exchange &amp; Third-</w:t>
            </w:r>
          </w:p>
        </w:tc>
        <w:tc>
          <w:tcPr>
            <w:tcW w:w="120" w:type="dxa"/>
            <w:vAlign w:val="bottom"/>
          </w:tcPr>
          <w:p>
            <w:pPr>
              <w:spacing w:after="0"/>
              <w:rPr>
                <w:sz w:val="13"/>
                <w:szCs w:val="13"/>
                <w:color w:val="auto"/>
              </w:rPr>
            </w:pPr>
          </w:p>
        </w:tc>
        <w:tc>
          <w:tcPr>
            <w:tcW w:w="1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3"/>
                <w:szCs w:val="13"/>
                <w:color w:val="auto"/>
              </w:rPr>
            </w:pPr>
          </w:p>
        </w:tc>
        <w:tc>
          <w:tcPr>
            <w:tcW w:w="1340" w:type="dxa"/>
            <w:vAlign w:val="bottom"/>
            <w:vMerge w:val="restart"/>
          </w:tcPr>
          <w:p>
            <w:pPr>
              <w:jc w:val="right"/>
              <w:ind w:right="5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Ancillary revenues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Management and exchange</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40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Three Months Ended September 30, 2020</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Vacation Ownership</w:t>
            </w:r>
          </w:p>
        </w:tc>
        <w:tc>
          <w:tcPr>
            <w:tcW w:w="160" w:type="dxa"/>
            <w:vAlign w:val="bottom"/>
          </w:tcPr>
          <w:p>
            <w:pPr>
              <w:spacing w:after="0"/>
              <w:rPr>
                <w:sz w:val="13"/>
                <w:szCs w:val="13"/>
                <w:color w:val="auto"/>
              </w:rPr>
            </w:pPr>
          </w:p>
        </w:tc>
        <w:tc>
          <w:tcPr>
            <w:tcW w:w="170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Exchange &amp; Third-</w:t>
            </w:r>
          </w:p>
        </w:tc>
        <w:tc>
          <w:tcPr>
            <w:tcW w:w="120" w:type="dxa"/>
            <w:vAlign w:val="bottom"/>
          </w:tcPr>
          <w:p>
            <w:pPr>
              <w:spacing w:after="0"/>
              <w:rPr>
                <w:sz w:val="13"/>
                <w:szCs w:val="13"/>
                <w:color w:val="auto"/>
              </w:rPr>
            </w:pPr>
          </w:p>
        </w:tc>
        <w:tc>
          <w:tcPr>
            <w:tcW w:w="1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3"/>
                <w:szCs w:val="13"/>
                <w:color w:val="auto"/>
              </w:rPr>
            </w:pPr>
          </w:p>
        </w:tc>
        <w:tc>
          <w:tcPr>
            <w:tcW w:w="1340" w:type="dxa"/>
            <w:vAlign w:val="bottom"/>
            <w:vMerge w:val="restart"/>
          </w:tcPr>
          <w:p>
            <w:pPr>
              <w:jc w:val="right"/>
              <w:ind w:right="5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Ancillary revenues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Management and exchange</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40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7"/>
        </w:trPr>
        <w:tc>
          <w:tcPr>
            <w:tcW w:w="4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Nine Months Ended September 30, 2021</w:t>
            </w: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 in millions)</w:t>
            </w:r>
          </w:p>
        </w:tc>
        <w:tc>
          <w:tcPr>
            <w:tcW w:w="120" w:type="dxa"/>
            <w:vAlign w:val="bottom"/>
          </w:tcPr>
          <w:p>
            <w:pPr>
              <w:spacing w:after="0"/>
              <w:rPr>
                <w:sz w:val="13"/>
                <w:szCs w:val="13"/>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Vacation Ownership</w:t>
            </w:r>
          </w:p>
        </w:tc>
        <w:tc>
          <w:tcPr>
            <w:tcW w:w="160" w:type="dxa"/>
            <w:vAlign w:val="bottom"/>
          </w:tcPr>
          <w:p>
            <w:pPr>
              <w:spacing w:after="0"/>
              <w:rPr>
                <w:sz w:val="13"/>
                <w:szCs w:val="13"/>
                <w:color w:val="auto"/>
              </w:rPr>
            </w:pPr>
          </w:p>
        </w:tc>
        <w:tc>
          <w:tcPr>
            <w:tcW w:w="170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Exchange &amp; Third-</w:t>
            </w:r>
          </w:p>
        </w:tc>
        <w:tc>
          <w:tcPr>
            <w:tcW w:w="120" w:type="dxa"/>
            <w:vAlign w:val="bottom"/>
          </w:tcPr>
          <w:p>
            <w:pPr>
              <w:spacing w:after="0"/>
              <w:rPr>
                <w:sz w:val="13"/>
                <w:szCs w:val="13"/>
                <w:color w:val="auto"/>
              </w:rPr>
            </w:pPr>
          </w:p>
        </w:tc>
        <w:tc>
          <w:tcPr>
            <w:tcW w:w="1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3"/>
                <w:szCs w:val="13"/>
                <w:color w:val="auto"/>
              </w:rPr>
            </w:pPr>
          </w:p>
        </w:tc>
        <w:tc>
          <w:tcPr>
            <w:tcW w:w="1340" w:type="dxa"/>
            <w:vAlign w:val="bottom"/>
            <w:vMerge w:val="restart"/>
          </w:tcPr>
          <w:p>
            <w:pPr>
              <w:jc w:val="right"/>
              <w:ind w:right="5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Ancillary revenues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Management and exchange</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40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Nine Months Ended September 30, 2020</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0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 in millions)</w:t>
            </w:r>
          </w:p>
        </w:tc>
        <w:tc>
          <w:tcPr>
            <w:tcW w:w="120" w:type="dxa"/>
            <w:vAlign w:val="bottom"/>
          </w:tcPr>
          <w:p>
            <w:pPr>
              <w:spacing w:after="0"/>
              <w:rPr>
                <w:sz w:val="13"/>
                <w:szCs w:val="13"/>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Vacation Ownership</w:t>
            </w:r>
          </w:p>
        </w:tc>
        <w:tc>
          <w:tcPr>
            <w:tcW w:w="160" w:type="dxa"/>
            <w:vAlign w:val="bottom"/>
          </w:tcPr>
          <w:p>
            <w:pPr>
              <w:spacing w:after="0"/>
              <w:rPr>
                <w:sz w:val="13"/>
                <w:szCs w:val="13"/>
                <w:color w:val="auto"/>
              </w:rPr>
            </w:pPr>
          </w:p>
        </w:tc>
        <w:tc>
          <w:tcPr>
            <w:tcW w:w="170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Exchange &amp; Third-</w:t>
            </w:r>
          </w:p>
        </w:tc>
        <w:tc>
          <w:tcPr>
            <w:tcW w:w="120" w:type="dxa"/>
            <w:vAlign w:val="bottom"/>
          </w:tcPr>
          <w:p>
            <w:pPr>
              <w:spacing w:after="0"/>
              <w:rPr>
                <w:sz w:val="13"/>
                <w:szCs w:val="13"/>
                <w:color w:val="auto"/>
              </w:rPr>
            </w:pPr>
          </w:p>
        </w:tc>
        <w:tc>
          <w:tcPr>
            <w:tcW w:w="1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3"/>
                <w:szCs w:val="13"/>
                <w:color w:val="auto"/>
              </w:rPr>
            </w:pPr>
          </w:p>
        </w:tc>
        <w:tc>
          <w:tcPr>
            <w:tcW w:w="1340" w:type="dxa"/>
            <w:vAlign w:val="bottom"/>
            <w:vMerge w:val="restart"/>
          </w:tcPr>
          <w:p>
            <w:pPr>
              <w:jc w:val="right"/>
              <w:ind w:right="5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Ancillary revenues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Management and exchange</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40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Revenue from Contracts with Customers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timing of revenue from contracts with customers by segment for the time periods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91"/>
              </w:rPr>
              <w:t>Three Months Ended September 30, 2021</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500" w:type="dxa"/>
            <w:vAlign w:val="bottom"/>
          </w:tcPr>
          <w:p>
            <w:pPr>
              <w:spacing w:after="0"/>
              <w:rPr>
                <w:sz w:val="13"/>
                <w:szCs w:val="13"/>
                <w:color w:val="auto"/>
              </w:rPr>
            </w:pPr>
          </w:p>
        </w:tc>
        <w:tc>
          <w:tcPr>
            <w:tcW w:w="17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Vacation Ownership</w:t>
            </w:r>
          </w:p>
        </w:tc>
        <w:tc>
          <w:tcPr>
            <w:tcW w:w="120" w:type="dxa"/>
            <w:vAlign w:val="bottom"/>
          </w:tcPr>
          <w:p>
            <w:pPr>
              <w:spacing w:after="0"/>
              <w:rPr>
                <w:sz w:val="13"/>
                <w:szCs w:val="13"/>
                <w:color w:val="auto"/>
              </w:rPr>
            </w:pPr>
          </w:p>
        </w:tc>
        <w:tc>
          <w:tcPr>
            <w:tcW w:w="16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17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3"/>
                <w:szCs w:val="13"/>
                <w:color w:val="auto"/>
              </w:rPr>
            </w:pPr>
          </w:p>
        </w:tc>
        <w:tc>
          <w:tcPr>
            <w:tcW w:w="1240" w:type="dxa"/>
            <w:vAlign w:val="bottom"/>
            <w:vMerge w:val="restart"/>
          </w:tcPr>
          <w:p>
            <w:pPr>
              <w:jc w:val="right"/>
              <w:ind w:right="5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7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72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58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5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Goods or services transferred at a point in time</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8"/>
        </w:trPr>
        <w:tc>
          <w:tcPr>
            <w:tcW w:w="4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580" w:type="dxa"/>
            <w:vAlign w:val="bottom"/>
            <w:tcBorders>
              <w:top w:val="single" w:sz="8" w:color="auto"/>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5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91"/>
              </w:rPr>
              <w:t>Three Months Ended September 30, 2020</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17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Vacation Ownership</w:t>
            </w:r>
          </w:p>
        </w:tc>
        <w:tc>
          <w:tcPr>
            <w:tcW w:w="120" w:type="dxa"/>
            <w:vAlign w:val="bottom"/>
          </w:tcPr>
          <w:p>
            <w:pPr>
              <w:spacing w:after="0"/>
              <w:rPr>
                <w:sz w:val="13"/>
                <w:szCs w:val="13"/>
                <w:color w:val="auto"/>
              </w:rPr>
            </w:pPr>
          </w:p>
        </w:tc>
        <w:tc>
          <w:tcPr>
            <w:tcW w:w="16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17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3"/>
                <w:szCs w:val="13"/>
                <w:color w:val="auto"/>
              </w:rPr>
            </w:pPr>
          </w:p>
        </w:tc>
        <w:tc>
          <w:tcPr>
            <w:tcW w:w="1240" w:type="dxa"/>
            <w:vAlign w:val="bottom"/>
            <w:vMerge w:val="restart"/>
          </w:tcPr>
          <w:p>
            <w:pPr>
              <w:jc w:val="right"/>
              <w:ind w:right="5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7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72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58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5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Goods or services transferred at a point in time</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8"/>
        </w:trPr>
        <w:tc>
          <w:tcPr>
            <w:tcW w:w="4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580" w:type="dxa"/>
            <w:vAlign w:val="bottom"/>
            <w:tcBorders>
              <w:top w:val="single" w:sz="8" w:color="auto"/>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5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jc w:val="center"/>
              <w:ind w:left="75"/>
              <w:spacing w:after="0"/>
              <w:rPr>
                <w:sz w:val="20"/>
                <w:szCs w:val="20"/>
                <w:color w:val="auto"/>
              </w:rPr>
            </w:pPr>
            <w:r>
              <w:rPr>
                <w:rFonts w:ascii="Arial" w:cs="Arial" w:eastAsia="Arial" w:hAnsi="Arial"/>
                <w:sz w:val="16"/>
                <w:szCs w:val="16"/>
                <w:b w:val="1"/>
                <w:bCs w:val="1"/>
                <w:color w:val="auto"/>
                <w:w w:val="91"/>
              </w:rPr>
              <w:t>Nine Months Ended September 30, 2021</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500" w:type="dxa"/>
            <w:vAlign w:val="bottom"/>
          </w:tcPr>
          <w:p>
            <w:pPr>
              <w:spacing w:after="0"/>
              <w:rPr>
                <w:sz w:val="13"/>
                <w:szCs w:val="13"/>
                <w:color w:val="auto"/>
              </w:rPr>
            </w:pPr>
          </w:p>
        </w:tc>
        <w:tc>
          <w:tcPr>
            <w:tcW w:w="17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Vacation Ownership</w:t>
            </w:r>
          </w:p>
        </w:tc>
        <w:tc>
          <w:tcPr>
            <w:tcW w:w="120" w:type="dxa"/>
            <w:vAlign w:val="bottom"/>
          </w:tcPr>
          <w:p>
            <w:pPr>
              <w:spacing w:after="0"/>
              <w:rPr>
                <w:sz w:val="13"/>
                <w:szCs w:val="13"/>
                <w:color w:val="auto"/>
              </w:rPr>
            </w:pPr>
          </w:p>
        </w:tc>
        <w:tc>
          <w:tcPr>
            <w:tcW w:w="16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17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3"/>
                <w:szCs w:val="13"/>
                <w:color w:val="auto"/>
              </w:rPr>
            </w:pPr>
          </w:p>
        </w:tc>
        <w:tc>
          <w:tcPr>
            <w:tcW w:w="1240" w:type="dxa"/>
            <w:vAlign w:val="bottom"/>
            <w:vMerge w:val="restart"/>
          </w:tcPr>
          <w:p>
            <w:pPr>
              <w:jc w:val="right"/>
              <w:ind w:right="5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7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72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58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5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Goods or services transferred at a point in time</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48"/>
        </w:trPr>
        <w:tc>
          <w:tcPr>
            <w:tcW w:w="4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580" w:type="dxa"/>
            <w:vAlign w:val="bottom"/>
            <w:tcBorders>
              <w:top w:val="single" w:sz="8" w:color="auto"/>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5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jc w:val="center"/>
              <w:ind w:left="75"/>
              <w:spacing w:after="0"/>
              <w:rPr>
                <w:sz w:val="20"/>
                <w:szCs w:val="20"/>
                <w:color w:val="auto"/>
              </w:rPr>
            </w:pPr>
            <w:r>
              <w:rPr>
                <w:rFonts w:ascii="Arial" w:cs="Arial" w:eastAsia="Arial" w:hAnsi="Arial"/>
                <w:sz w:val="16"/>
                <w:szCs w:val="16"/>
                <w:b w:val="1"/>
                <w:bCs w:val="1"/>
                <w:color w:val="auto"/>
                <w:w w:val="91"/>
              </w:rPr>
              <w:t>Nine Months Ended September 30, 2020</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500" w:type="dxa"/>
            <w:vAlign w:val="bottom"/>
          </w:tcPr>
          <w:p>
            <w:pPr>
              <w:spacing w:after="0"/>
              <w:rPr>
                <w:sz w:val="13"/>
                <w:szCs w:val="13"/>
                <w:color w:val="auto"/>
              </w:rPr>
            </w:pPr>
          </w:p>
        </w:tc>
        <w:tc>
          <w:tcPr>
            <w:tcW w:w="17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Vacation Ownership</w:t>
            </w:r>
          </w:p>
        </w:tc>
        <w:tc>
          <w:tcPr>
            <w:tcW w:w="120" w:type="dxa"/>
            <w:vAlign w:val="bottom"/>
          </w:tcPr>
          <w:p>
            <w:pPr>
              <w:spacing w:after="0"/>
              <w:rPr>
                <w:sz w:val="13"/>
                <w:szCs w:val="13"/>
                <w:color w:val="auto"/>
              </w:rPr>
            </w:pPr>
          </w:p>
        </w:tc>
        <w:tc>
          <w:tcPr>
            <w:tcW w:w="16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17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3"/>
                <w:szCs w:val="13"/>
                <w:color w:val="auto"/>
              </w:rPr>
            </w:pPr>
          </w:p>
        </w:tc>
        <w:tc>
          <w:tcPr>
            <w:tcW w:w="1240" w:type="dxa"/>
            <w:vAlign w:val="bottom"/>
            <w:vMerge w:val="restart"/>
          </w:tcPr>
          <w:p>
            <w:pPr>
              <w:jc w:val="right"/>
              <w:ind w:right="5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7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72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58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5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Goods or services transferred at a point in time</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48"/>
        </w:trPr>
        <w:tc>
          <w:tcPr>
            <w:tcW w:w="4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580" w:type="dxa"/>
            <w:vAlign w:val="bottom"/>
            <w:tcBorders>
              <w:top w:val="single" w:sz="8" w:color="auto"/>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5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Vacation Ownership Products</w:t>
      </w:r>
    </w:p>
    <w:p>
      <w:pPr>
        <w:spacing w:after="0" w:line="11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Revenues were reduced during the third quarter and first three quarters of 2021 by $1 million and $9 million, respectively, due to changes in our estimates of variable consideration for performance obligations that were satisfied in prior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from Contracts with Customers, Contract Assets &amp; Contract Liabilities</w:t>
      </w:r>
    </w:p>
    <w:p>
      <w:pPr>
        <w:spacing w:after="0" w:line="11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shows the composition of our receivables from contracts with customers and contract liabilities. We had no contract assets at either September 30, 2021 or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8"/>
                <w:szCs w:val="18"/>
                <w:color w:val="auto"/>
              </w:rPr>
            </w:pPr>
          </w:p>
        </w:tc>
        <w:tc>
          <w:tcPr>
            <w:tcW w:w="212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September 30, 2021</w:t>
            </w:r>
          </w:p>
        </w:tc>
        <w:tc>
          <w:tcPr>
            <w:tcW w:w="220" w:type="dxa"/>
            <w:vAlign w:val="bottom"/>
          </w:tcPr>
          <w:p>
            <w:pPr>
              <w:spacing w:after="0"/>
              <w:rPr>
                <w:sz w:val="18"/>
                <w:szCs w:val="18"/>
                <w:color w:val="auto"/>
              </w:rPr>
            </w:pPr>
          </w:p>
        </w:tc>
        <w:tc>
          <w:tcPr>
            <w:tcW w:w="200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At December 31, 2020</w:t>
            </w:r>
          </w:p>
        </w:tc>
      </w:tr>
      <w:tr>
        <w:trPr>
          <w:trHeight w:val="213"/>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Receivables from Contracts with Customers</w:t>
            </w:r>
          </w:p>
        </w:tc>
        <w:tc>
          <w:tcPr>
            <w:tcW w:w="22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r>
      <w:tr>
        <w:trPr>
          <w:trHeight w:val="229"/>
        </w:trPr>
        <w:tc>
          <w:tcPr>
            <w:tcW w:w="668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Vacation ownership notes receivable, net</w:t>
            </w: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r>
      <w:tr>
        <w:trPr>
          <w:trHeight w:val="223"/>
        </w:trPr>
        <w:tc>
          <w:tcPr>
            <w:tcW w:w="66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197"/>
        </w:trPr>
        <w:tc>
          <w:tcPr>
            <w:tcW w:w="6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Contract Liabilities</w:t>
            </w:r>
          </w:p>
        </w:tc>
        <w:tc>
          <w:tcPr>
            <w:tcW w:w="2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29"/>
        </w:trPr>
        <w:tc>
          <w:tcPr>
            <w:tcW w:w="6680" w:type="dxa"/>
            <w:vAlign w:val="bottom"/>
          </w:tcPr>
          <w:p>
            <w:pPr>
              <w:ind w:left="220"/>
              <w:spacing w:after="0"/>
              <w:rPr>
                <w:sz w:val="20"/>
                <w:szCs w:val="20"/>
                <w:color w:val="auto"/>
              </w:rPr>
            </w:pPr>
            <w:r>
              <w:rPr>
                <w:rFonts w:ascii="Arial" w:cs="Arial" w:eastAsia="Arial" w:hAnsi="Arial"/>
                <w:sz w:val="18"/>
                <w:szCs w:val="18"/>
                <w:color w:val="auto"/>
              </w:rPr>
              <w:t>Advance deposits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23"/>
        </w:trPr>
        <w:tc>
          <w:tcPr>
            <w:tcW w:w="66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r>
      <w:tr>
        <w:trPr>
          <w:trHeight w:val="21"/>
        </w:trPr>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Revenue recognized during the third quarter and first three quarters of 2021 that was included in our contract liabilities balance at December 31, 2020 was $133 million and $336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remaining performance obligations represent the expected transaction price allocated to our contracts that we expect to recognize</w:t>
      </w:r>
    </w:p>
    <w:p>
      <w:pPr>
        <w:spacing w:after="0" w:line="35"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as revenue in future periods when we perform under the contracts. At September 30, 2021, approximately 84 percent of this amount is expected to be recognized as revenue over the next two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Accounts receivable is comprised of amounts due from customers, primarily property owners’ associations, resort developers and members, credit card receivables, interest receivables, amounts due from taxing authorities, indemnification assets and other miscellaneous receivables. The following table shows the composition of our accounts receivable balances: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September 30, 2021</w:t>
            </w:r>
          </w:p>
        </w:tc>
        <w:tc>
          <w:tcPr>
            <w:tcW w:w="220" w:type="dxa"/>
            <w:vAlign w:val="bottom"/>
          </w:tcPr>
          <w:p>
            <w:pPr>
              <w:spacing w:after="0"/>
              <w:rPr>
                <w:sz w:val="18"/>
                <w:szCs w:val="18"/>
                <w:color w:val="auto"/>
              </w:rPr>
            </w:pPr>
          </w:p>
        </w:tc>
        <w:tc>
          <w:tcPr>
            <w:tcW w:w="200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At December 31, 2020</w:t>
            </w:r>
          </w:p>
        </w:tc>
        <w:tc>
          <w:tcPr>
            <w:tcW w:w="0" w:type="dxa"/>
            <w:vAlign w:val="bottom"/>
          </w:tcPr>
          <w:p>
            <w:pPr>
              <w:spacing w:after="0"/>
              <w:rPr>
                <w:sz w:val="1"/>
                <w:szCs w:val="1"/>
                <w:color w:val="auto"/>
              </w:rPr>
            </w:pP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from contracts with customers</w:t>
            </w:r>
          </w:p>
        </w:tc>
        <w:tc>
          <w:tcPr>
            <w:tcW w:w="2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w:t>
            </w:r>
          </w:p>
        </w:tc>
        <w:tc>
          <w:tcPr>
            <w:tcW w:w="2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Indemnification assets</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tax credit receivable</w:t>
            </w:r>
          </w:p>
        </w:tc>
        <w:tc>
          <w:tcPr>
            <w:tcW w:w="2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3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3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0" w:hanging="394"/>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Our provision for income taxes is calculated using an estimated annual effective tax rate, based upon expected annual income, less losses in certain jurisdictions, permanent items, statutory rates and planned tax strategies in the various jurisdictions in which we operate. However, discrete items related to prior year tax items are treated separately.</w:t>
      </w:r>
    </w:p>
    <w:p>
      <w:pPr>
        <w:spacing w:after="0" w:line="7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interim effective tax rate was 81.5 percent and 19.8 percent for the three months ended September 30, 2021 and September 30, 2020, respectively. The change in the effective tax rate is predominately attributable to an increase in pre-tax income and an increase in the reserve for uncertain tax benefits.</w:t>
      </w:r>
    </w:p>
    <w:p>
      <w:pPr>
        <w:spacing w:after="0" w:line="7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interim effective tax rate was 110.6 percent and 28.7 percent for the nine months ended September 30, 2021 and September 30, 2020, respectively. The change in the effective tax rate is predominately attributable to an increase in pre-tax income and an increase in the reserve for uncertain tax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Law Update</w:t>
      </w:r>
    </w:p>
    <w:p>
      <w:pPr>
        <w:spacing w:after="0" w:line="11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have considered the income tax accounting and disclosure implications of the relief provided by the Coronavirus Aid, Relief, and Economic Security Act (the “CARES Act”), enacted in March 2020, and the Consolidated Appropriations Act, 2021, enacted in December 2020. As of September 30, 2021, we evaluated the income tax provisions of the above mentioned acts and have determined there to be minimal effect on either the September 30,</w:t>
      </w:r>
    </w:p>
    <w:p>
      <w:pPr>
        <w:spacing w:after="0" w:line="2"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2021 tax rate or the computation of the estimated effective tax rate for the year ended December 31, 2021. We will continue to evaluate the income tax provisions of the above mentioned acts and monitor the developments in the jurisdictions where we have significant operations for tax law changes that could have additional income tax accounting and disclosure implications.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following table summarizes the activity related to our unrecognized tax benefits (excluding interest and penalties) during the nine months ended September 30, 2021. These unrecognized tax benefits relate to uncertain income tax positions, which would affect the effective tax rate if recognized.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Unrecognized Tax Benefits</w:t>
            </w:r>
          </w:p>
        </w:tc>
      </w:tr>
      <w:tr>
        <w:trPr>
          <w:trHeight w:val="22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220" w:type="dxa"/>
            <w:vAlign w:val="bottom"/>
          </w:tcPr>
          <w:p>
            <w:pPr>
              <w:ind w:left="220"/>
              <w:spacing w:after="0"/>
              <w:rPr>
                <w:sz w:val="20"/>
                <w:szCs w:val="20"/>
                <w:color w:val="auto"/>
              </w:rPr>
            </w:pPr>
            <w:r>
              <w:rPr>
                <w:rFonts w:ascii="Arial" w:cs="Arial" w:eastAsia="Arial" w:hAnsi="Arial"/>
                <w:sz w:val="18"/>
                <w:szCs w:val="18"/>
                <w:color w:val="auto"/>
              </w:rPr>
              <w:t>Increases related to tax positions taken during a prior period</w:t>
            </w:r>
          </w:p>
        </w:tc>
        <w:tc>
          <w:tcPr>
            <w:tcW w:w="9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9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Increases related to tax positions taken during the current period</w:t>
            </w:r>
          </w:p>
        </w:tc>
        <w:tc>
          <w:tcPr>
            <w:tcW w:w="9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Decreases as a result of a lapse of the applicable statute of limitations</w:t>
            </w: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total amount of gross interest and penalties accrued was $38 million at September 30, 2021 and $25 million at December 31, 2020. We anticipate $14 million of unrecognized tax benefits, including interest and penalties, to be indemnified pursuant to a Tax Matters Agreement dated May 11, 2016 by and among Starwood Hotels &amp; Resorts Worldwide, Inc., Vistana Signature Experiences, Inc., and Interval Leisure Group, Inc., and consequently have recorded a corresponding indemnification asset. The unrecognized tax benefits, including accrued interest and penalties, are included in Other liabilities on our Balance Sheet.</w:t>
      </w:r>
    </w:p>
    <w:p>
      <w:pPr>
        <w:spacing w:after="0" w:line="80"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Our income tax returns are subject to examination by relevant tax authorities. Certain of our returns are being audited in various jurisdictions for tax years 2007 through 2019. The amount of the unrecognized tax benefit may increase or decrease as a result of audits or audit settlements.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0" w:hanging="394"/>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OWNERSHIP NOTES RECEIVABLE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September 30, 2021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December 31, 2020</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6"/>
                <w:szCs w:val="16"/>
                <w:b w:val="1"/>
                <w:bCs w:val="1"/>
                <w:color w:val="auto"/>
                <w:w w:val="99"/>
              </w:rPr>
              <w:t>Originated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Acquired</w:t>
            </w:r>
          </w:p>
        </w:tc>
        <w:tc>
          <w:tcPr>
            <w:tcW w:w="280" w:type="dxa"/>
            <w:vAlign w:val="bottom"/>
          </w:tcPr>
          <w:p>
            <w:pPr>
              <w:spacing w:after="0"/>
              <w:rPr>
                <w:sz w:val="18"/>
                <w:szCs w:val="18"/>
                <w:color w:val="auto"/>
              </w:rPr>
            </w:pPr>
          </w:p>
        </w:tc>
        <w:tc>
          <w:tcPr>
            <w:tcW w:w="98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Arial" w:cs="Arial" w:eastAsia="Arial" w:hAnsi="Arial"/>
                <w:sz w:val="16"/>
                <w:szCs w:val="16"/>
                <w:b w:val="1"/>
                <w:bCs w:val="1"/>
                <w:color w:val="auto"/>
              </w:rPr>
              <w:t>Originated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Acquired</w:t>
            </w:r>
          </w:p>
        </w:tc>
        <w:tc>
          <w:tcPr>
            <w:tcW w:w="28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26"/>
        </w:trPr>
        <w:tc>
          <w:tcPr>
            <w:tcW w:w="31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Securitized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29"/>
        </w:trPr>
        <w:tc>
          <w:tcPr>
            <w:tcW w:w="3100" w:type="dxa"/>
            <w:vAlign w:val="bottom"/>
          </w:tcPr>
          <w:p>
            <w:pPr>
              <w:ind w:left="140"/>
              <w:spacing w:after="0"/>
              <w:rPr>
                <w:sz w:val="20"/>
                <w:szCs w:val="20"/>
                <w:color w:val="auto"/>
              </w:rPr>
            </w:pPr>
            <w:r>
              <w:rPr>
                <w:rFonts w:ascii="Arial" w:cs="Arial" w:eastAsia="Arial" w:hAnsi="Arial"/>
                <w:sz w:val="18"/>
                <w:szCs w:val="18"/>
                <w:color w:val="auto"/>
              </w:rPr>
              <w:t>Non-securitized</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10"/>
                <w:szCs w:val="10"/>
                <w:color w:val="auto"/>
              </w:rPr>
              <w:t>(1)</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3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10"/>
                <w:szCs w:val="10"/>
                <w:color w:val="auto"/>
              </w:rPr>
              <w:t>(1)</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23"/>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3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r>
      <w:tr>
        <w:trPr>
          <w:trHeight w:val="21"/>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9"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Refer to Footnote 7 “Financial Instruments” for a discussion of eligibility of our vacation ownership notes receivable for securitization.</w:t>
      </w:r>
    </w:p>
    <w:p>
      <w:pPr>
        <w:spacing w:after="0" w:line="202" w:lineRule="exact"/>
        <w:rPr>
          <w:sz w:val="20"/>
          <w:szCs w:val="20"/>
          <w:color w:val="auto"/>
        </w:rPr>
      </w:pPr>
    </w:p>
    <w:p>
      <w:pPr>
        <w:ind w:right="160" w:firstLine="648"/>
        <w:spacing w:after="0" w:line="274" w:lineRule="auto"/>
        <w:rPr>
          <w:sz w:val="20"/>
          <w:szCs w:val="20"/>
          <w:color w:val="auto"/>
        </w:rPr>
      </w:pPr>
      <w:r>
        <w:rPr>
          <w:rFonts w:ascii="Arial" w:cs="Arial" w:eastAsia="Arial" w:hAnsi="Arial"/>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tbl>
      <w:tblPr>
        <w:tblLayout w:type="fixed"/>
        <w:tblInd w:w="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Nine Months Ended</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September 30, 2021</w:t>
            </w: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September 30, 2020</w:t>
            </w:r>
          </w:p>
        </w:tc>
        <w:tc>
          <w:tcPr>
            <w:tcW w:w="100" w:type="dxa"/>
            <w:vAlign w:val="bottom"/>
          </w:tcPr>
          <w:p>
            <w:pPr>
              <w:spacing w:after="0"/>
              <w:rPr>
                <w:sz w:val="18"/>
                <w:szCs w:val="18"/>
                <w:color w:val="auto"/>
              </w:rPr>
            </w:pP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September 30, 2021</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30, 2020</w:t>
            </w:r>
          </w:p>
        </w:tc>
        <w:tc>
          <w:tcPr>
            <w:tcW w:w="0" w:type="dxa"/>
            <w:vAlign w:val="bottom"/>
          </w:tcPr>
          <w:p>
            <w:pPr>
              <w:spacing w:after="0"/>
              <w:rPr>
                <w:sz w:val="1"/>
                <w:szCs w:val="1"/>
                <w:color w:val="auto"/>
              </w:rPr>
            </w:pPr>
          </w:p>
        </w:tc>
      </w:tr>
      <w:tr>
        <w:trPr>
          <w:trHeight w:val="158"/>
        </w:trPr>
        <w:tc>
          <w:tcPr>
            <w:tcW w:w="524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w w:val="91"/>
              </w:rPr>
              <w:t>Interest income associated with vacation ownership notes receivable —</w:t>
            </w:r>
          </w:p>
        </w:tc>
        <w:tc>
          <w:tcPr>
            <w:tcW w:w="4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w:t>
            </w:r>
          </w:p>
        </w:tc>
        <w:tc>
          <w:tcPr>
            <w:tcW w:w="4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20"/>
              <w:spacing w:after="0" w:line="176" w:lineRule="exact"/>
              <w:rPr>
                <w:sz w:val="20"/>
                <w:szCs w:val="20"/>
                <w:color w:val="auto"/>
              </w:rPr>
            </w:pPr>
            <w:r>
              <w:rPr>
                <w:rFonts w:ascii="Arial" w:cs="Arial" w:eastAsia="Arial" w:hAnsi="Arial"/>
                <w:sz w:val="18"/>
                <w:szCs w:val="18"/>
                <w:color w:val="auto"/>
                <w:w w:val="91"/>
              </w:rPr>
              <w:t>Interest income associated with vacation ownership notes receivable —</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non-securitized</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2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interest income associated with vacation ownership notes</w:t>
            </w: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receivable</w:t>
            </w: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 on Vacation Ownership Notes Receivable Reserves</w:t>
      </w:r>
    </w:p>
    <w:p>
      <w:pPr>
        <w:spacing w:after="0" w:line="11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increased our vacation ownership notes receivable reserves by $52 million in the first quarter of 2020 as a result of higher actual and projected default activity related predominantly to the COVID-19 pandemic. In the fourth quarter of 2020, we increased our vacation ownership notes receivable reserve by an additional $17 million due to higher than previously expected default activity. During the first three quarters of 2021, there were no additional increases to our vacation ownership notes receivable reserves attributed to the COVID-19 pandemic.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Vacation Ownership Notes Receivable</w:t>
      </w:r>
    </w:p>
    <w:p>
      <w:pPr>
        <w:spacing w:after="0" w:line="117"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Acquired vacation ownership notes receivable represent vacation ownership notes receivable acquired as part of the ILG Acquisition and the Welk Acquisition. The following table shows future contractual principal payments, net of reserves, and interest rates for our acquired vacation ownership notes receivable at September 30, 2021.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gridSpan w:val="7"/>
          </w:tcPr>
          <w:p>
            <w:pPr>
              <w:jc w:val="center"/>
              <w:ind w:right="151"/>
              <w:spacing w:after="0"/>
              <w:rPr>
                <w:sz w:val="20"/>
                <w:szCs w:val="20"/>
                <w:color w:val="auto"/>
              </w:rPr>
            </w:pPr>
            <w:r>
              <w:rPr>
                <w:rFonts w:ascii="Arial" w:cs="Arial" w:eastAsia="Arial" w:hAnsi="Arial"/>
                <w:sz w:val="16"/>
                <w:szCs w:val="16"/>
                <w:b w:val="1"/>
                <w:bCs w:val="1"/>
                <w:color w:val="auto"/>
                <w:w w:val="91"/>
              </w:rPr>
              <w:t>Acquired Vacation Ownership Notes Receivable</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Non-Securitized</w:t>
            </w:r>
          </w:p>
        </w:tc>
        <w:tc>
          <w:tcPr>
            <w:tcW w:w="2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Securitized</w:t>
            </w:r>
          </w:p>
        </w:tc>
        <w:tc>
          <w:tcPr>
            <w:tcW w:w="260" w:type="dxa"/>
            <w:vAlign w:val="bottom"/>
          </w:tcPr>
          <w:p>
            <w:pPr>
              <w:spacing w:after="0"/>
              <w:rPr>
                <w:sz w:val="18"/>
                <w:szCs w:val="18"/>
                <w:color w:val="auto"/>
              </w:rPr>
            </w:pPr>
          </w:p>
        </w:tc>
        <w:tc>
          <w:tcPr>
            <w:tcW w:w="1640" w:type="dxa"/>
            <w:vAlign w:val="bottom"/>
          </w:tcPr>
          <w:p>
            <w:pPr>
              <w:jc w:val="center"/>
              <w:ind w:right="15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stated interest rate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center"/>
              <w:ind w:right="152"/>
              <w:spacing w:after="0" w:line="203" w:lineRule="exact"/>
              <w:rPr>
                <w:sz w:val="20"/>
                <w:szCs w:val="20"/>
                <w:color w:val="auto"/>
              </w:rPr>
            </w:pPr>
            <w:r>
              <w:rPr>
                <w:rFonts w:ascii="Arial" w:cs="Arial" w:eastAsia="Arial" w:hAnsi="Arial"/>
                <w:sz w:val="18"/>
                <w:szCs w:val="18"/>
                <w:color w:val="auto"/>
                <w:w w:val="93"/>
              </w:rPr>
              <w:t>13.7%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center"/>
              <w:ind w:right="191"/>
              <w:spacing w:after="0" w:line="203" w:lineRule="exact"/>
              <w:rPr>
                <w:sz w:val="20"/>
                <w:szCs w:val="20"/>
                <w:color w:val="auto"/>
              </w:rPr>
            </w:pPr>
            <w:r>
              <w:rPr>
                <w:rFonts w:ascii="Arial" w:cs="Arial" w:eastAsia="Arial" w:hAnsi="Arial"/>
                <w:sz w:val="18"/>
                <w:szCs w:val="18"/>
                <w:color w:val="auto"/>
                <w:w w:val="90"/>
              </w:rPr>
              <w:t>14.1%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center"/>
              <w:ind w:right="171"/>
              <w:spacing w:after="0" w:line="203" w:lineRule="exact"/>
              <w:rPr>
                <w:sz w:val="20"/>
                <w:szCs w:val="20"/>
                <w:color w:val="auto"/>
              </w:rPr>
            </w:pPr>
            <w:r>
              <w:rPr>
                <w:rFonts w:ascii="Arial" w:cs="Arial" w:eastAsia="Arial" w:hAnsi="Arial"/>
                <w:sz w:val="18"/>
                <w:szCs w:val="18"/>
                <w:color w:val="auto"/>
                <w:w w:val="90"/>
              </w:rPr>
              <w:t>14.1%</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Range of stated interest rates</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0.0% to 21.9%</w:t>
            </w: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0.0% to 21.9%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90"/>
              </w:rPr>
              <w:t>0.0% to 21.9%</w:t>
            </w:r>
          </w:p>
        </w:tc>
        <w:tc>
          <w:tcPr>
            <w:tcW w:w="0" w:type="dxa"/>
            <w:vAlign w:val="bottom"/>
          </w:tcPr>
          <w:p>
            <w:pPr>
              <w:spacing w:after="0"/>
              <w:rPr>
                <w:sz w:val="1"/>
                <w:szCs w:val="1"/>
                <w:color w:val="auto"/>
              </w:rPr>
            </w:pPr>
          </w:p>
        </w:tc>
      </w:tr>
      <w:tr>
        <w:trPr>
          <w:trHeight w:val="527"/>
        </w:trPr>
        <w:tc>
          <w:tcPr>
            <w:tcW w:w="9340" w:type="dxa"/>
            <w:vAlign w:val="bottom"/>
            <w:gridSpan w:val="7"/>
          </w:tcPr>
          <w:p>
            <w:pPr>
              <w:ind w:left="660"/>
              <w:spacing w:after="0"/>
              <w:rPr>
                <w:sz w:val="20"/>
                <w:szCs w:val="20"/>
                <w:color w:val="auto"/>
              </w:rPr>
            </w:pPr>
            <w:r>
              <w:rPr>
                <w:rFonts w:ascii="Arial" w:cs="Arial" w:eastAsia="Arial" w:hAnsi="Arial"/>
                <w:sz w:val="18"/>
                <w:szCs w:val="18"/>
                <w:color w:val="auto"/>
              </w:rPr>
              <w:t>The following table summarizes activity related to our acquired vacation ownership notes receivable reserve.</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7"/>
          </w:tcPr>
          <w:p>
            <w:pPr>
              <w:jc w:val="center"/>
              <w:ind w:right="171"/>
              <w:spacing w:after="0"/>
              <w:rPr>
                <w:sz w:val="20"/>
                <w:szCs w:val="20"/>
                <w:color w:val="auto"/>
              </w:rPr>
            </w:pPr>
            <w:r>
              <w:rPr>
                <w:rFonts w:ascii="Arial" w:cs="Arial" w:eastAsia="Arial" w:hAnsi="Arial"/>
                <w:sz w:val="16"/>
                <w:szCs w:val="16"/>
                <w:b w:val="1"/>
                <w:bCs w:val="1"/>
                <w:color w:val="auto"/>
                <w:w w:val="90"/>
              </w:rPr>
              <w:t>Acquired Vacation Ownership Notes Receivable Reserve</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Non-Securitized</w:t>
            </w:r>
          </w:p>
        </w:tc>
        <w:tc>
          <w:tcPr>
            <w:tcW w:w="2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Securitized</w:t>
            </w:r>
          </w:p>
        </w:tc>
        <w:tc>
          <w:tcPr>
            <w:tcW w:w="260" w:type="dxa"/>
            <w:vAlign w:val="bottom"/>
          </w:tcPr>
          <w:p>
            <w:pPr>
              <w:spacing w:after="0"/>
              <w:rPr>
                <w:sz w:val="18"/>
                <w:szCs w:val="18"/>
                <w:color w:val="auto"/>
              </w:rPr>
            </w:pPr>
          </w:p>
        </w:tc>
        <w:tc>
          <w:tcPr>
            <w:tcW w:w="1640" w:type="dxa"/>
            <w:vAlign w:val="bottom"/>
          </w:tcPr>
          <w:p>
            <w:pPr>
              <w:jc w:val="center"/>
              <w:ind w:right="15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Securitizations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Clean-up call</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Write-offs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Recoveries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w w:val="95"/>
              </w:rPr>
              <w:t>Defaulted vacation ownership notes receivable repurchase activity</w:t>
            </w:r>
            <w:r>
              <w:rPr>
                <w:rFonts w:ascii="Arial" w:cs="Arial" w:eastAsia="Arial" w:hAnsi="Arial"/>
                <w:sz w:val="9"/>
                <w:szCs w:val="9"/>
                <w:color w:val="auto"/>
                <w:w w:val="95"/>
              </w:rPr>
              <w:t>(1)</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Initial allowance for credit losses for Legacy-Welk vacation ownership</w:t>
            </w:r>
          </w:p>
        </w:tc>
        <w:tc>
          <w:tcPr>
            <w:tcW w:w="24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w:t>
            </w:r>
          </w:p>
        </w:tc>
        <w:tc>
          <w:tcPr>
            <w:tcW w:w="24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4"/>
              </w:rPr>
              <w:t>(Decrease) increase in vacation ownership notes receivable reserve</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200" w:hanging="652"/>
        <w:spacing w:after="0" w:line="267" w:lineRule="auto"/>
        <w:tabs>
          <w:tab w:leader="none" w:pos="64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are attributable to the transfer of the reserve when we voluntarily repurchased defaulted securitized vacation ownership notes receivable.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Originated Vacation Ownership Notes Receivable</w:t>
      </w:r>
    </w:p>
    <w:p>
      <w:pPr>
        <w:spacing w:after="0" w:line="117" w:lineRule="exact"/>
        <w:rPr>
          <w:sz w:val="20"/>
          <w:szCs w:val="20"/>
          <w:color w:val="auto"/>
        </w:rPr>
      </w:pPr>
    </w:p>
    <w:p>
      <w:pPr>
        <w:jc w:val="both"/>
        <w:ind w:right="480" w:firstLine="648"/>
        <w:spacing w:after="0" w:line="286" w:lineRule="auto"/>
        <w:rPr>
          <w:sz w:val="20"/>
          <w:szCs w:val="20"/>
          <w:color w:val="auto"/>
        </w:rPr>
      </w:pPr>
      <w:r>
        <w:rPr>
          <w:rFonts w:ascii="Arial" w:cs="Arial" w:eastAsia="Arial" w:hAnsi="Arial"/>
          <w:sz w:val="17"/>
          <w:szCs w:val="17"/>
          <w:color w:val="auto"/>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September 30, 2021.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gridSpan w:val="7"/>
          </w:tcPr>
          <w:p>
            <w:pPr>
              <w:jc w:val="center"/>
              <w:ind w:right="171"/>
              <w:spacing w:after="0"/>
              <w:rPr>
                <w:sz w:val="20"/>
                <w:szCs w:val="20"/>
                <w:color w:val="auto"/>
              </w:rPr>
            </w:pPr>
            <w:r>
              <w:rPr>
                <w:rFonts w:ascii="Arial" w:cs="Arial" w:eastAsia="Arial" w:hAnsi="Arial"/>
                <w:sz w:val="16"/>
                <w:szCs w:val="16"/>
                <w:b w:val="1"/>
                <w:bCs w:val="1"/>
                <w:color w:val="auto"/>
                <w:w w:val="91"/>
              </w:rPr>
              <w:t>Originated Vacation Ownership Notes Receivable</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Non-Securitized</w:t>
            </w:r>
          </w:p>
        </w:tc>
        <w:tc>
          <w:tcPr>
            <w:tcW w:w="2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Securitized</w:t>
            </w:r>
          </w:p>
        </w:tc>
        <w:tc>
          <w:tcPr>
            <w:tcW w:w="260" w:type="dxa"/>
            <w:vAlign w:val="bottom"/>
          </w:tcPr>
          <w:p>
            <w:pPr>
              <w:spacing w:after="0"/>
              <w:rPr>
                <w:sz w:val="18"/>
                <w:szCs w:val="18"/>
                <w:color w:val="auto"/>
              </w:rPr>
            </w:pPr>
          </w:p>
        </w:tc>
        <w:tc>
          <w:tcPr>
            <w:tcW w:w="1640" w:type="dxa"/>
            <w:vAlign w:val="bottom"/>
          </w:tcPr>
          <w:p>
            <w:pPr>
              <w:jc w:val="center"/>
              <w:ind w:right="15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stated interest rate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center"/>
              <w:ind w:right="152"/>
              <w:spacing w:after="0" w:line="203" w:lineRule="exact"/>
              <w:rPr>
                <w:sz w:val="20"/>
                <w:szCs w:val="20"/>
                <w:color w:val="auto"/>
              </w:rPr>
            </w:pPr>
            <w:r>
              <w:rPr>
                <w:rFonts w:ascii="Arial" w:cs="Arial" w:eastAsia="Arial" w:hAnsi="Arial"/>
                <w:sz w:val="18"/>
                <w:szCs w:val="18"/>
                <w:color w:val="auto"/>
                <w:w w:val="93"/>
              </w:rPr>
              <w:t>12.8%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center"/>
              <w:ind w:right="191"/>
              <w:spacing w:after="0" w:line="203" w:lineRule="exact"/>
              <w:rPr>
                <w:sz w:val="20"/>
                <w:szCs w:val="20"/>
                <w:color w:val="auto"/>
              </w:rPr>
            </w:pPr>
            <w:r>
              <w:rPr>
                <w:rFonts w:ascii="Arial" w:cs="Arial" w:eastAsia="Arial" w:hAnsi="Arial"/>
                <w:sz w:val="18"/>
                <w:szCs w:val="18"/>
                <w:color w:val="auto"/>
                <w:w w:val="90"/>
              </w:rPr>
              <w:t>12.8%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center"/>
              <w:ind w:right="171"/>
              <w:spacing w:after="0" w:line="203" w:lineRule="exact"/>
              <w:rPr>
                <w:sz w:val="20"/>
                <w:szCs w:val="20"/>
                <w:color w:val="auto"/>
              </w:rPr>
            </w:pPr>
            <w:r>
              <w:rPr>
                <w:rFonts w:ascii="Arial" w:cs="Arial" w:eastAsia="Arial" w:hAnsi="Arial"/>
                <w:sz w:val="18"/>
                <w:szCs w:val="18"/>
                <w:color w:val="auto"/>
                <w:w w:val="90"/>
              </w:rPr>
              <w:t>12.8%</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Range of stated interest rates</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0.0% to 20.9%</w:t>
            </w: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0.0% to 19.9%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90"/>
              </w:rPr>
              <w:t>0.0% to 20.9%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380" w:firstLine="648"/>
        <w:spacing w:after="0" w:line="281" w:lineRule="auto"/>
        <w:rPr>
          <w:sz w:val="20"/>
          <w:szCs w:val="20"/>
          <w:color w:val="auto"/>
        </w:rPr>
      </w:pPr>
      <w:r>
        <w:rPr>
          <w:rFonts w:ascii="Arial" w:cs="Arial" w:eastAsia="Arial" w:hAnsi="Arial"/>
          <w:sz w:val="17"/>
          <w:szCs w:val="17"/>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5320" w:type="dxa"/>
            <w:vAlign w:val="bottom"/>
            <w:tcBorders>
              <w:bottom w:val="single" w:sz="8" w:color="auto"/>
            </w:tcBorders>
            <w:gridSpan w:val="7"/>
          </w:tcPr>
          <w:p>
            <w:pPr>
              <w:jc w:val="right"/>
              <w:ind w:right="293"/>
              <w:spacing w:after="0"/>
              <w:rPr>
                <w:sz w:val="20"/>
                <w:szCs w:val="20"/>
                <w:color w:val="auto"/>
              </w:rPr>
            </w:pPr>
            <w:r>
              <w:rPr>
                <w:rFonts w:ascii="Arial" w:cs="Arial" w:eastAsia="Arial" w:hAnsi="Arial"/>
                <w:sz w:val="16"/>
                <w:szCs w:val="16"/>
                <w:b w:val="1"/>
                <w:bCs w:val="1"/>
                <w:color w:val="auto"/>
              </w:rPr>
              <w:t>Originated Vacation Ownership Notes Receivable Reserve</w:t>
            </w:r>
          </w:p>
        </w:tc>
        <w:tc>
          <w:tcPr>
            <w:tcW w:w="560" w:type="dxa"/>
            <w:vAlign w:val="bottom"/>
            <w:tcBorders>
              <w:bottom w:val="single" w:sz="8" w:color="auto"/>
            </w:tcBorders>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Securitized</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Total</w:t>
            </w:r>
          </w:p>
        </w:tc>
        <w:tc>
          <w:tcPr>
            <w:tcW w:w="560" w:type="dxa"/>
            <w:vAlign w:val="bottom"/>
            <w:tcBorders>
              <w:bottom w:val="single" w:sz="8" w:color="auto"/>
            </w:tcBorders>
          </w:tcPr>
          <w:p>
            <w:pPr>
              <w:spacing w:after="0"/>
              <w:rPr>
                <w:sz w:val="18"/>
                <w:szCs w:val="18"/>
                <w:color w:val="auto"/>
              </w:rPr>
            </w:pPr>
          </w:p>
        </w:tc>
      </w:tr>
      <w:tr>
        <w:trPr>
          <w:trHeight w:val="22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520" w:type="dxa"/>
            <w:vAlign w:val="bottom"/>
            <w:shd w:val="clear" w:color="auto" w:fill="CCEEFF"/>
          </w:tcPr>
          <w:p>
            <w:pPr>
              <w:jc w:val="right"/>
              <w:ind w:right="1335"/>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Increase in vacation ownership notes receivable reserve</w:t>
            </w:r>
          </w:p>
        </w:tc>
        <w:tc>
          <w:tcPr>
            <w:tcW w:w="1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Securitizations</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Clean-up call</w:t>
            </w:r>
          </w:p>
        </w:tc>
        <w:tc>
          <w:tcPr>
            <w:tcW w:w="1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Write-offs</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5"/>
              </w:rPr>
              <w:t>Defaulted vacation ownership notes receivable repurchase activity</w:t>
            </w:r>
            <w:r>
              <w:rPr>
                <w:rFonts w:ascii="Arial" w:cs="Arial" w:eastAsia="Arial" w:hAnsi="Arial"/>
                <w:sz w:val="9"/>
                <w:szCs w:val="9"/>
                <w:color w:val="auto"/>
                <w:w w:val="95"/>
              </w:rPr>
              <w:t>(1)</w:t>
            </w:r>
          </w:p>
        </w:tc>
        <w:tc>
          <w:tcPr>
            <w:tcW w:w="1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520" w:type="dxa"/>
            <w:vAlign w:val="bottom"/>
            <w:tcBorders>
              <w:bottom w:val="single" w:sz="8" w:color="auto"/>
            </w:tcBorders>
            <w:shd w:val="clear" w:color="auto" w:fill="CCEEFF"/>
          </w:tcPr>
          <w:p>
            <w:pPr>
              <w:jc w:val="right"/>
              <w:ind w:right="1335"/>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200" w:hanging="652"/>
        <w:spacing w:after="0" w:line="267" w:lineRule="auto"/>
        <w:tabs>
          <w:tab w:leader="none" w:pos="64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are attributable to the transfer of the reserve when we voluntarily repurchased defaulted securitized vacation ownership notes receivable.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of Vacation Ownership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Legacy-MVW Vacation Ownership Notes Receivable</w:t>
      </w:r>
    </w:p>
    <w:p>
      <w:pPr>
        <w:spacing w:after="0" w:line="117"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For both Legacy-MVW non-securitized and securitized vacation ownership notes receivable, we estimated average remaining default rates of 6.67 percent as of September 30, 2021, and 6.74 percent as of December 31, 2020. A 0.5 percentage point increase in the estimated default rate would have resulted in an increase in the related vacation ownership notes receivable reserve of $6 million as of both September 30, 2021 and December 31, 2020.</w:t>
      </w:r>
    </w:p>
    <w:p>
      <w:pPr>
        <w:spacing w:after="0" w:line="41"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We use the aging of the vacation ownership notes receivable as the primary credit quality indicator for our Legacy-MVW vacation ownership notes receivable, as historical performance indicates that there is a relationship between the default behavior of borrowers and the age of the receivable associated with the vacation ownership interest.</w:t>
      </w:r>
    </w:p>
    <w:p>
      <w:pPr>
        <w:spacing w:after="0" w:line="76" w:lineRule="exact"/>
        <w:rPr>
          <w:sz w:val="20"/>
          <w:szCs w:val="20"/>
          <w:color w:val="auto"/>
        </w:rPr>
      </w:pPr>
    </w:p>
    <w:p>
      <w:pPr>
        <w:ind w:right="600" w:firstLine="648"/>
        <w:spacing w:after="0" w:line="274" w:lineRule="auto"/>
        <w:rPr>
          <w:sz w:val="20"/>
          <w:szCs w:val="20"/>
          <w:color w:val="auto"/>
        </w:rPr>
      </w:pPr>
      <w:r>
        <w:rPr>
          <w:rFonts w:ascii="Arial" w:cs="Arial" w:eastAsia="Arial" w:hAnsi="Arial"/>
          <w:sz w:val="18"/>
          <w:szCs w:val="18"/>
          <w:color w:val="auto"/>
        </w:rPr>
        <w:t>The following table shows our recorded investment in non-accrual Legacy-MVW vacation ownership notes receivable, which are vacation ownership notes receivable that are 90 days or more past due.</w:t>
      </w:r>
    </w:p>
    <w:p>
      <w:pPr>
        <w:ind w:left="6480"/>
        <w:spacing w:after="0"/>
        <w:rPr>
          <w:sz w:val="20"/>
          <w:szCs w:val="20"/>
          <w:color w:val="auto"/>
        </w:rPr>
      </w:pPr>
      <w:r>
        <w:rPr>
          <w:rFonts w:ascii="Arial" w:cs="Arial" w:eastAsia="Arial" w:hAnsi="Arial"/>
          <w:sz w:val="16"/>
          <w:szCs w:val="16"/>
          <w:b w:val="1"/>
          <w:bCs w:val="1"/>
          <w:color w:val="auto"/>
        </w:rPr>
        <w:t>Legacy-MVW Vacation Ownership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20320</wp:posOffset>
            </wp:positionV>
            <wp:extent cx="37376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5720" w:val="left"/>
          <w:tab w:leader="none" w:pos="7900" w:val="left"/>
          <w:tab w:leader="none" w:pos="10100" w:val="left"/>
        </w:tabs>
        <w:rPr>
          <w:sz w:val="20"/>
          <w:szCs w:val="20"/>
          <w:color w:val="auto"/>
        </w:rPr>
      </w:pPr>
      <w:r>
        <w:rPr>
          <w:rFonts w:ascii="Arial" w:cs="Arial" w:eastAsia="Arial" w:hAnsi="Arial"/>
          <w:sz w:val="14"/>
          <w:szCs w:val="14"/>
          <w:b w:val="1"/>
          <w:bCs w:val="1"/>
          <w:i w:val="1"/>
          <w:iCs w:val="1"/>
          <w:color w:val="auto"/>
        </w:rPr>
        <w:t>($ in millions)</w:t>
      </w:r>
      <w:r>
        <w:rPr>
          <w:sz w:val="20"/>
          <w:szCs w:val="20"/>
          <w:color w:val="auto"/>
        </w:rPr>
        <w:tab/>
      </w:r>
      <w:r>
        <w:rPr>
          <w:rFonts w:ascii="Arial" w:cs="Arial" w:eastAsia="Arial" w:hAnsi="Arial"/>
          <w:sz w:val="16"/>
          <w:szCs w:val="16"/>
          <w:b w:val="1"/>
          <w:bCs w:val="1"/>
          <w:color w:val="auto"/>
        </w:rPr>
        <w:t>Non-Securitized</w:t>
      </w:r>
      <w:r>
        <w:rPr>
          <w:sz w:val="20"/>
          <w:szCs w:val="20"/>
          <w:color w:val="auto"/>
        </w:rPr>
        <w:tab/>
      </w:r>
      <w:r>
        <w:rPr>
          <w:rFonts w:ascii="Arial" w:cs="Arial" w:eastAsia="Arial" w:hAnsi="Arial"/>
          <w:sz w:val="16"/>
          <w:szCs w:val="16"/>
          <w:b w:val="1"/>
          <w:bCs w:val="1"/>
          <w:color w:val="auto"/>
        </w:rPr>
        <w:t>Securitized</w:t>
      </w:r>
      <w:r>
        <w:rPr>
          <w:sz w:val="20"/>
          <w:szCs w:val="20"/>
          <w:color w:val="auto"/>
        </w:rPr>
        <w:tab/>
      </w:r>
      <w:r>
        <w:rPr>
          <w:rFonts w:ascii="Arial" w:cs="Arial" w:eastAsia="Arial" w:hAnsi="Arial"/>
          <w:sz w:val="15"/>
          <w:szCs w:val="15"/>
          <w:b w:val="1"/>
          <w:bCs w:val="1"/>
          <w:color w:val="auto"/>
        </w:rPr>
        <w:t>Total</w:t>
      </w:r>
    </w:p>
    <w:p>
      <w:pPr>
        <w:sectPr>
          <w:pgSz w:w="11900" w:h="16838" w:orient="portrait"/>
          <w:cols w:equalWidth="0" w:num="1">
            <w:col w:w="11240"/>
          </w:cols>
          <w:pgMar w:left="320" w:top="233" w:right="339" w:bottom="1440" w:gutter="0" w:footer="0" w:header="0"/>
        </w:sectPr>
      </w:pPr>
    </w:p>
    <w:p>
      <w:pPr>
        <w:spacing w:after="0" w:line="32"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Investment in vacation ownership notes receivable on non-accrual status at September 30, 2021</w:t>
      </w:r>
    </w:p>
    <w:p>
      <w:pPr>
        <w:ind w:left="20"/>
        <w:spacing w:after="0" w:line="234" w:lineRule="auto"/>
        <w:rPr>
          <w:sz w:val="20"/>
          <w:szCs w:val="20"/>
          <w:color w:val="auto"/>
        </w:rPr>
      </w:pPr>
      <w:r>
        <w:rPr>
          <w:rFonts w:ascii="Arial" w:cs="Arial" w:eastAsia="Arial" w:hAnsi="Arial"/>
          <w:sz w:val="18"/>
          <w:szCs w:val="18"/>
          <w:color w:val="auto"/>
        </w:rPr>
        <w:t>Investment in vacation ownership notes receivable on non-accrual status at December 31, 2020</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-153670</wp:posOffset>
            </wp:positionV>
            <wp:extent cx="7132320" cy="25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9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92"/>
        </w:trPr>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100</w:t>
            </w:r>
          </w:p>
        </w:tc>
        <w:tc>
          <w:tcPr>
            <w:tcW w:w="9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293" w:lineRule="exact"/>
        <w:rPr>
          <w:sz w:val="20"/>
          <w:szCs w:val="20"/>
          <w:color w:val="auto"/>
        </w:rPr>
      </w:pPr>
    </w:p>
    <w:p>
      <w:pPr>
        <w:sectPr>
          <w:pgSz w:w="11900" w:h="16838" w:orient="portrait"/>
          <w:cols w:equalWidth="0" w:num="3">
            <w:col w:w="5240" w:space="140"/>
            <w:col w:w="800" w:space="720"/>
            <w:col w:w="4340"/>
          </w:cols>
          <w:pgMar w:left="320" w:top="233" w:right="339" w:bottom="1440" w:gutter="0" w:footer="0" w:header="0"/>
          <w:type w:val="continuous"/>
        </w:sectPr>
      </w:pPr>
    </w:p>
    <w:p>
      <w:pPr>
        <w:spacing w:after="0" w:line="4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September 30, 2021 and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13"/>
          </w:tcPr>
          <w:p>
            <w:pPr>
              <w:jc w:val="right"/>
              <w:ind w:right="291"/>
              <w:spacing w:after="0"/>
              <w:rPr>
                <w:sz w:val="20"/>
                <w:szCs w:val="20"/>
                <w:color w:val="auto"/>
              </w:rPr>
            </w:pPr>
            <w:r>
              <w:rPr>
                <w:rFonts w:ascii="Arial" w:cs="Arial" w:eastAsia="Arial" w:hAnsi="Arial"/>
                <w:sz w:val="16"/>
                <w:szCs w:val="16"/>
                <w:b w:val="1"/>
                <w:bCs w:val="1"/>
                <w:color w:val="auto"/>
              </w:rPr>
              <w:t>Legacy-MVW Vacation Ownership Notes Receivable</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jc w:val="right"/>
              <w:ind w:right="113"/>
              <w:spacing w:after="0"/>
              <w:rPr>
                <w:sz w:val="20"/>
                <w:szCs w:val="20"/>
                <w:color w:val="auto"/>
              </w:rPr>
            </w:pPr>
            <w:r>
              <w:rPr>
                <w:rFonts w:ascii="Arial" w:cs="Arial" w:eastAsia="Arial" w:hAnsi="Arial"/>
                <w:sz w:val="16"/>
                <w:szCs w:val="16"/>
                <w:b w:val="1"/>
                <w:bCs w:val="1"/>
                <w:color w:val="auto"/>
              </w:rPr>
              <w:t>As of September 30, 2021</w:t>
            </w: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As of December 31, 2020</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Non-Securitized</w:t>
            </w:r>
          </w:p>
        </w:tc>
        <w:tc>
          <w:tcPr>
            <w:tcW w:w="180" w:type="dxa"/>
            <w:vAlign w:val="bottom"/>
          </w:tcPr>
          <w:p>
            <w:pPr>
              <w:spacing w:after="0"/>
              <w:rPr>
                <w:sz w:val="18"/>
                <w:szCs w:val="18"/>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w w:val="98"/>
              </w:rPr>
              <w:t>Securitized</w:t>
            </w:r>
          </w:p>
        </w:tc>
        <w:tc>
          <w:tcPr>
            <w:tcW w:w="300" w:type="dxa"/>
            <w:vAlign w:val="bottom"/>
          </w:tcPr>
          <w:p>
            <w:pPr>
              <w:spacing w:after="0"/>
              <w:rPr>
                <w:sz w:val="18"/>
                <w:szCs w:val="18"/>
                <w:color w:val="auto"/>
              </w:rPr>
            </w:pPr>
          </w:p>
        </w:tc>
        <w:tc>
          <w:tcPr>
            <w:tcW w:w="960" w:type="dxa"/>
            <w:vAlign w:val="bottom"/>
          </w:tcPr>
          <w:p>
            <w:pPr>
              <w:jc w:val="right"/>
              <w:ind w:right="332"/>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5"/>
          </w:tcPr>
          <w:p>
            <w:pPr>
              <w:ind w:left="100"/>
              <w:spacing w:after="0"/>
              <w:rPr>
                <w:sz w:val="20"/>
                <w:szCs w:val="20"/>
                <w:color w:val="auto"/>
              </w:rPr>
            </w:pPr>
            <w:r>
              <w:rPr>
                <w:rFonts w:ascii="Arial" w:cs="Arial" w:eastAsia="Arial" w:hAnsi="Arial"/>
                <w:sz w:val="16"/>
                <w:szCs w:val="16"/>
                <w:b w:val="1"/>
                <w:bCs w:val="1"/>
                <w:color w:val="auto"/>
              </w:rPr>
              <w:t>Non-Securitized</w:t>
            </w:r>
          </w:p>
        </w:tc>
        <w:tc>
          <w:tcPr>
            <w:tcW w:w="1420" w:type="dxa"/>
            <w:vAlign w:val="bottom"/>
            <w:gridSpan w:val="4"/>
          </w:tcPr>
          <w:p>
            <w:pPr>
              <w:ind w:left="280"/>
              <w:spacing w:after="0"/>
              <w:rPr>
                <w:sz w:val="20"/>
                <w:szCs w:val="20"/>
                <w:color w:val="auto"/>
              </w:rPr>
            </w:pPr>
            <w:r>
              <w:rPr>
                <w:rFonts w:ascii="Arial" w:cs="Arial" w:eastAsia="Arial" w:hAnsi="Arial"/>
                <w:sz w:val="16"/>
                <w:szCs w:val="16"/>
                <w:b w:val="1"/>
                <w:bCs w:val="1"/>
                <w:color w:val="auto"/>
              </w:rPr>
              <w:t>Securitized</w:t>
            </w:r>
          </w:p>
        </w:tc>
        <w:tc>
          <w:tcPr>
            <w:tcW w:w="140" w:type="dxa"/>
            <w:vAlign w:val="bottom"/>
          </w:tcPr>
          <w:p>
            <w:pPr>
              <w:spacing w:after="0"/>
              <w:rPr>
                <w:sz w:val="18"/>
                <w:szCs w:val="18"/>
                <w:color w:val="auto"/>
              </w:rPr>
            </w:pPr>
          </w:p>
        </w:tc>
        <w:tc>
          <w:tcPr>
            <w:tcW w:w="116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 – 90 days past due</w:t>
            </w:r>
          </w:p>
        </w:tc>
        <w:tc>
          <w:tcPr>
            <w:tcW w:w="54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91 – 150 days past due</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150 days past due</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2880" w:type="dxa"/>
            <w:vAlign w:val="bottom"/>
          </w:tcPr>
          <w:p>
            <w:pPr>
              <w:ind w:left="240"/>
              <w:spacing w:after="0"/>
              <w:rPr>
                <w:sz w:val="20"/>
                <w:szCs w:val="20"/>
                <w:color w:val="auto"/>
              </w:rPr>
            </w:pPr>
            <w:r>
              <w:rPr>
                <w:rFonts w:ascii="Arial" w:cs="Arial" w:eastAsia="Arial" w:hAnsi="Arial"/>
                <w:sz w:val="18"/>
                <w:szCs w:val="18"/>
                <w:color w:val="auto"/>
              </w:rPr>
              <w:t>Total past due</w:t>
            </w:r>
          </w:p>
        </w:tc>
        <w:tc>
          <w:tcPr>
            <w:tcW w:w="5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156"/>
        </w:trPr>
        <w:tc>
          <w:tcPr>
            <w:tcW w:w="2880" w:type="dxa"/>
            <w:vAlign w:val="bottom"/>
          </w:tcPr>
          <w:p>
            <w:pPr>
              <w:ind w:left="240"/>
              <w:spacing w:after="0" w:line="156" w:lineRule="exact"/>
              <w:rPr>
                <w:sz w:val="20"/>
                <w:szCs w:val="20"/>
                <w:color w:val="auto"/>
              </w:rPr>
            </w:pPr>
            <w:r>
              <w:rPr>
                <w:rFonts w:ascii="Arial" w:cs="Arial" w:eastAsia="Arial" w:hAnsi="Arial"/>
                <w:sz w:val="18"/>
                <w:szCs w:val="18"/>
                <w:color w:val="auto"/>
              </w:rPr>
              <w:t>Total vacation ownership notes</w:t>
            </w:r>
          </w:p>
        </w:tc>
        <w:tc>
          <w:tcPr>
            <w:tcW w:w="540" w:type="dxa"/>
            <w:vAlign w:val="bottom"/>
            <w:vMerge w:val="restart"/>
          </w:tcPr>
          <w:p>
            <w:pPr>
              <w:jc w:val="right"/>
              <w:ind w:right="333"/>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3"/>
                <w:szCs w:val="13"/>
                <w:color w:val="auto"/>
              </w:rPr>
            </w:pPr>
          </w:p>
        </w:tc>
        <w:tc>
          <w:tcPr>
            <w:tcW w:w="300" w:type="dxa"/>
            <w:vAlign w:val="bottom"/>
            <w:vMerge w:val="restart"/>
          </w:tcPr>
          <w:p>
            <w:pPr>
              <w:jc w:val="right"/>
              <w:ind w:right="113"/>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1,318</w:t>
            </w:r>
          </w:p>
        </w:tc>
        <w:tc>
          <w:tcPr>
            <w:tcW w:w="4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3"/>
                <w:szCs w:val="13"/>
                <w:color w:val="auto"/>
              </w:rPr>
            </w:pPr>
          </w:p>
        </w:tc>
        <w:tc>
          <w:tcPr>
            <w:tcW w:w="740" w:type="dxa"/>
            <w:vAlign w:val="bottom"/>
            <w:vMerge w:val="restart"/>
          </w:tcPr>
          <w:p>
            <w:pPr>
              <w:jc w:val="right"/>
              <w:ind w:right="531"/>
              <w:spacing w:after="0"/>
              <w:rPr>
                <w:sz w:val="20"/>
                <w:szCs w:val="20"/>
                <w:color w:val="auto"/>
              </w:rPr>
            </w:pPr>
            <w:r>
              <w:rPr>
                <w:rFonts w:ascii="Arial" w:cs="Arial" w:eastAsia="Arial" w:hAnsi="Arial"/>
                <w:sz w:val="18"/>
                <w:szCs w:val="18"/>
                <w:color w:val="auto"/>
                <w:w w:val="99"/>
              </w:rPr>
              <w:t>$</w:t>
            </w: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3"/>
        </w:trPr>
        <w:tc>
          <w:tcPr>
            <w:tcW w:w="2880" w:type="dxa"/>
            <w:vAlign w:val="bottom"/>
          </w:tcPr>
          <w:p>
            <w:pPr>
              <w:ind w:left="240"/>
              <w:spacing w:after="0" w:line="202" w:lineRule="exact"/>
              <w:rPr>
                <w:sz w:val="20"/>
                <w:szCs w:val="20"/>
                <w:color w:val="auto"/>
              </w:rPr>
            </w:pPr>
            <w:r>
              <w:rPr>
                <w:rFonts w:ascii="Arial" w:cs="Arial" w:eastAsia="Arial" w:hAnsi="Arial"/>
                <w:sz w:val="18"/>
                <w:szCs w:val="18"/>
                <w:color w:val="auto"/>
              </w:rPr>
              <w:t>receivable</w:t>
            </w:r>
          </w:p>
        </w:tc>
        <w:tc>
          <w:tcPr>
            <w:tcW w:w="5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1240" w:type="dxa"/>
            <w:vAlign w:val="bottom"/>
            <w:gridSpan w:val="23"/>
          </w:tcPr>
          <w:p>
            <w:pPr>
              <w:ind w:left="660"/>
              <w:spacing w:after="0"/>
              <w:rPr>
                <w:sz w:val="20"/>
                <w:szCs w:val="20"/>
                <w:color w:val="auto"/>
              </w:rPr>
            </w:pPr>
            <w:r>
              <w:rPr>
                <w:rFonts w:ascii="Arial" w:cs="Arial" w:eastAsia="Arial" w:hAnsi="Arial"/>
                <w:sz w:val="18"/>
                <w:szCs w:val="18"/>
                <w:color w:val="auto"/>
              </w:rPr>
              <w:t>The following table details the origination year of our Legacy-MVW vacation ownership notes receivable as of September 30, 2021.</w:t>
            </w:r>
          </w:p>
        </w:tc>
        <w:tc>
          <w:tcPr>
            <w:tcW w:w="0" w:type="dxa"/>
            <w:vAlign w:val="bottom"/>
          </w:tcPr>
          <w:p>
            <w:pPr>
              <w:spacing w:after="0"/>
              <w:rPr>
                <w:sz w:val="1"/>
                <w:szCs w:val="1"/>
                <w:color w:val="auto"/>
              </w:rPr>
            </w:pPr>
          </w:p>
        </w:tc>
      </w:tr>
      <w:tr>
        <w:trPr>
          <w:trHeight w:val="240"/>
        </w:trPr>
        <w:tc>
          <w:tcPr>
            <w:tcW w:w="2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gridSpan w:val="14"/>
          </w:tcPr>
          <w:p>
            <w:pPr>
              <w:jc w:val="right"/>
              <w:ind w:right="1011"/>
              <w:spacing w:after="0"/>
              <w:rPr>
                <w:sz w:val="20"/>
                <w:szCs w:val="20"/>
                <w:color w:val="auto"/>
              </w:rPr>
            </w:pPr>
            <w:r>
              <w:rPr>
                <w:rFonts w:ascii="Arial" w:cs="Arial" w:eastAsia="Arial" w:hAnsi="Arial"/>
                <w:sz w:val="16"/>
                <w:szCs w:val="16"/>
                <w:b w:val="1"/>
                <w:bCs w:val="1"/>
                <w:color w:val="auto"/>
              </w:rPr>
              <w:t>Legacy-MVW Vacation Ownership Notes Receivable</w:t>
            </w:r>
          </w:p>
        </w:tc>
        <w:tc>
          <w:tcPr>
            <w:tcW w:w="0" w:type="dxa"/>
            <w:vAlign w:val="bottom"/>
          </w:tcPr>
          <w:p>
            <w:pPr>
              <w:spacing w:after="0"/>
              <w:rPr>
                <w:sz w:val="1"/>
                <w:szCs w:val="1"/>
                <w:color w:val="auto"/>
              </w:rPr>
            </w:pPr>
          </w:p>
        </w:tc>
      </w:tr>
      <w:tr>
        <w:trPr>
          <w:trHeight w:val="210"/>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5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Non-Securitized</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6"/>
                <w:szCs w:val="16"/>
                <w:b w:val="1"/>
                <w:bCs w:val="1"/>
                <w:color w:val="auto"/>
              </w:rPr>
              <w:t>Securitized</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of Origination</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20"/>
              <w:spacing w:after="0"/>
              <w:rPr>
                <w:sz w:val="20"/>
                <w:szCs w:val="20"/>
                <w:color w:val="auto"/>
              </w:rPr>
            </w:pPr>
            <w:r>
              <w:rPr>
                <w:rFonts w:ascii="Arial" w:cs="Arial" w:eastAsia="Arial" w:hAnsi="Arial"/>
                <w:sz w:val="18"/>
                <w:szCs w:val="18"/>
                <w:color w:val="auto"/>
              </w:rPr>
              <w:t>2021</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2880" w:type="dxa"/>
            <w:vAlign w:val="bottom"/>
          </w:tcPr>
          <w:p>
            <w:pPr>
              <w:ind w:left="220"/>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2880" w:type="dxa"/>
            <w:vAlign w:val="bottom"/>
          </w:tcPr>
          <w:p>
            <w:pPr>
              <w:ind w:left="220"/>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9"/>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2016 and Prior</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2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8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Legacy-ILG and Legacy-Welk Vacation Ownership Notes Receivable</w:t>
      </w:r>
    </w:p>
    <w:p>
      <w:pPr>
        <w:spacing w:after="0" w:line="1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At September 30, 2021 and December 31, 2020, the weighted average FICO score within our consolidated Legacy-ILG and Legacy-Welk vacation ownership notes receivable pools was 707 and 708, respectively, based upon the outstanding vacation ownership notes receivable balance at the time of origination. The average estimated rate for all future defaults for our Legacy-ILG and Legacy-Welk consolidated outstanding pool of vacation ownership notes receivable was 17.13 percent as of September 30, 2021 and 14.63 percent as of December 31, 2020. A 0.5 percentage point increase in the estimated default rate on the Legacy-ILG and Legacy-Welk vacation ownership notes receivable would have resulted in an increase in the related vacation ownership notes receivable reserve of $4 million as of September 30, 2021, and $3 million as of December 31, 2020.</w:t>
      </w:r>
    </w:p>
    <w:p>
      <w:pPr>
        <w:spacing w:after="0" w:line="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use the origination of the vacation ownership notes receivable by brand (Westin, Sheraton, Hyatt, Welk) and the FICO scores of the customer as the primary credit quality indicators for our Legacy-ILG and Legacy-Welk vacation ownership notes receivable, as historical performance indicates that there is a relationship between the default behavior of borrowers and the brand associated with the vacation ownership interest they have acquired, supplemented by the FICO scores of the customers. Vacation ownership notes receivable with no FICO score in the tables below primarily relate to non-U.S. resident borrowers.</w:t>
      </w:r>
    </w:p>
    <w:p>
      <w:pPr>
        <w:spacing w:after="0" w:line="8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Legacy-ILG and Legacy-Welk vacation ownership notes receivable, which are vacation ownership notes receivable that are 90 days or more past due.</w:t>
      </w:r>
    </w:p>
    <w:p>
      <w:pPr>
        <w:sectPr>
          <w:pgSz w:w="11900" w:h="16838" w:orient="portrait"/>
          <w:cols w:equalWidth="0" w:num="1">
            <w:col w:w="11240"/>
          </w:cols>
          <w:pgMar w:left="320" w:top="233" w:right="339" w:bottom="1440" w:gutter="0" w:footer="0" w:header="0"/>
        </w:sect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32"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Investment in vacation ownership notes receivable on non-accrual status at September 30, 2021</w:t>
      </w:r>
    </w:p>
    <w:p>
      <w:pPr>
        <w:ind w:left="20"/>
        <w:spacing w:after="0" w:line="234" w:lineRule="auto"/>
        <w:rPr>
          <w:sz w:val="20"/>
          <w:szCs w:val="20"/>
          <w:color w:val="auto"/>
        </w:rPr>
      </w:pPr>
      <w:r>
        <w:rPr>
          <w:rFonts w:ascii="Arial" w:cs="Arial" w:eastAsia="Arial" w:hAnsi="Arial"/>
          <w:sz w:val="18"/>
          <w:szCs w:val="18"/>
          <w:color w:val="auto"/>
        </w:rPr>
        <w:t>Investment in vacation ownership notes receivable on non-accrual status at December 31, 2020</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Legacy-ILG and Legacy-Welk Vacation Ownership Notes Receivable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Non-Securitized</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Securitized</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Total</w:t>
            </w:r>
          </w:p>
        </w:tc>
      </w:tr>
      <w:tr>
        <w:trPr>
          <w:trHeight w:val="307"/>
        </w:trPr>
        <w:tc>
          <w:tcPr>
            <w:tcW w:w="1600" w:type="dxa"/>
            <w:vAlign w:val="bottom"/>
          </w:tcPr>
          <w:p>
            <w:pPr>
              <w:jc w:val="right"/>
              <w:ind w:right="139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116</w:t>
            </w:r>
          </w:p>
        </w:tc>
        <w:tc>
          <w:tcPr>
            <w:tcW w:w="100" w:type="dxa"/>
            <w:vAlign w:val="bottom"/>
          </w:tcPr>
          <w:p>
            <w:pPr>
              <w:spacing w:after="0"/>
              <w:rPr>
                <w:sz w:val="24"/>
                <w:szCs w:val="24"/>
                <w:color w:val="auto"/>
              </w:rPr>
            </w:pPr>
          </w:p>
        </w:tc>
        <w:tc>
          <w:tcPr>
            <w:tcW w:w="1580" w:type="dxa"/>
            <w:vAlign w:val="bottom"/>
          </w:tcPr>
          <w:p>
            <w:pPr>
              <w:jc w:val="right"/>
              <w:ind w:right="137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92"/>
        </w:trPr>
        <w:tc>
          <w:tcPr>
            <w:tcW w:w="1600" w:type="dxa"/>
            <w:vAlign w:val="bottom"/>
          </w:tcPr>
          <w:p>
            <w:pPr>
              <w:jc w:val="right"/>
              <w:ind w:right="139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109</w:t>
            </w:r>
          </w:p>
        </w:tc>
        <w:tc>
          <w:tcPr>
            <w:tcW w:w="100" w:type="dxa"/>
            <w:vAlign w:val="bottom"/>
          </w:tcPr>
          <w:p>
            <w:pPr>
              <w:spacing w:after="0"/>
              <w:rPr>
                <w:sz w:val="24"/>
                <w:szCs w:val="24"/>
                <w:color w:val="auto"/>
              </w:rPr>
            </w:pPr>
          </w:p>
        </w:tc>
        <w:tc>
          <w:tcPr>
            <w:tcW w:w="1580" w:type="dxa"/>
            <w:vAlign w:val="bottom"/>
          </w:tcPr>
          <w:p>
            <w:pPr>
              <w:jc w:val="right"/>
              <w:ind w:right="137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-454025</wp:posOffset>
            </wp:positionV>
            <wp:extent cx="7132320"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4780" w:space="220"/>
            <w:col w:w="6240"/>
          </w:cols>
          <w:pgMar w:left="320" w:top="233" w:right="339" w:bottom="1440" w:gutter="0" w:footer="0" w:header="0"/>
          <w:type w:val="continuous"/>
        </w:sectPr>
      </w:pPr>
    </w:p>
    <w:p>
      <w:pPr>
        <w:spacing w:after="0" w:line="4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Legacy-ILG and Legacy-Welk vacation ownership notes receivable as of September 30, 2021 and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40" w:type="dxa"/>
            <w:vAlign w:val="bottom"/>
            <w:tcBorders>
              <w:bottom w:val="single" w:sz="8" w:color="auto"/>
            </w:tcBorders>
            <w:gridSpan w:val="18"/>
          </w:tcPr>
          <w:p>
            <w:pPr>
              <w:jc w:val="right"/>
              <w:ind w:right="400"/>
              <w:spacing w:after="0"/>
              <w:rPr>
                <w:sz w:val="20"/>
                <w:szCs w:val="20"/>
                <w:color w:val="auto"/>
              </w:rPr>
            </w:pPr>
            <w:r>
              <w:rPr>
                <w:rFonts w:ascii="Arial" w:cs="Arial" w:eastAsia="Arial" w:hAnsi="Arial"/>
                <w:sz w:val="16"/>
                <w:szCs w:val="16"/>
                <w:b w:val="1"/>
                <w:bCs w:val="1"/>
                <w:color w:val="auto"/>
                <w:w w:val="96"/>
              </w:rPr>
              <w:t>Legacy-ILG and Legacy-Welk Vacation Ownership Notes Receivable</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9"/>
          </w:tcPr>
          <w:p>
            <w:pPr>
              <w:jc w:val="right"/>
              <w:ind w:right="113"/>
              <w:spacing w:after="0"/>
              <w:rPr>
                <w:sz w:val="20"/>
                <w:szCs w:val="20"/>
                <w:color w:val="auto"/>
              </w:rPr>
            </w:pPr>
            <w:r>
              <w:rPr>
                <w:rFonts w:ascii="Arial" w:cs="Arial" w:eastAsia="Arial" w:hAnsi="Arial"/>
                <w:sz w:val="16"/>
                <w:szCs w:val="16"/>
                <w:b w:val="1"/>
                <w:bCs w:val="1"/>
                <w:color w:val="auto"/>
                <w:w w:val="97"/>
              </w:rPr>
              <w:t>As of September 30, 2021</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6"/>
                <w:szCs w:val="16"/>
                <w:b w:val="1"/>
                <w:bCs w:val="1"/>
                <w:color w:val="auto"/>
                <w:w w:val="93"/>
              </w:rPr>
              <w:t>As of December 31, 2020</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20" w:type="dxa"/>
            <w:vAlign w:val="bottom"/>
            <w:gridSpan w:val="4"/>
          </w:tcPr>
          <w:p>
            <w:pPr>
              <w:ind w:left="100"/>
              <w:spacing w:after="0"/>
              <w:rPr>
                <w:sz w:val="20"/>
                <w:szCs w:val="20"/>
                <w:color w:val="auto"/>
              </w:rPr>
            </w:pPr>
            <w:r>
              <w:rPr>
                <w:rFonts w:ascii="Arial" w:cs="Arial" w:eastAsia="Arial" w:hAnsi="Arial"/>
                <w:sz w:val="16"/>
                <w:szCs w:val="16"/>
                <w:b w:val="1"/>
                <w:bCs w:val="1"/>
                <w:color w:val="auto"/>
              </w:rPr>
              <w:t>Non-Securitized</w:t>
            </w:r>
          </w:p>
        </w:tc>
        <w:tc>
          <w:tcPr>
            <w:tcW w:w="100" w:type="dxa"/>
            <w:vAlign w:val="bottom"/>
          </w:tcPr>
          <w:p>
            <w:pPr>
              <w:spacing w:after="0"/>
              <w:rPr>
                <w:sz w:val="18"/>
                <w:szCs w:val="18"/>
                <w:color w:val="auto"/>
              </w:rPr>
            </w:pPr>
          </w:p>
        </w:tc>
        <w:tc>
          <w:tcPr>
            <w:tcW w:w="132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rPr>
              <w:t>Securitized</w:t>
            </w:r>
          </w:p>
        </w:tc>
        <w:tc>
          <w:tcPr>
            <w:tcW w:w="300" w:type="dxa"/>
            <w:vAlign w:val="bottom"/>
          </w:tcPr>
          <w:p>
            <w:pPr>
              <w:spacing w:after="0"/>
              <w:rPr>
                <w:sz w:val="18"/>
                <w:szCs w:val="18"/>
                <w:color w:val="auto"/>
              </w:rPr>
            </w:pPr>
          </w:p>
        </w:tc>
        <w:tc>
          <w:tcPr>
            <w:tcW w:w="760" w:type="dxa"/>
            <w:vAlign w:val="bottom"/>
          </w:tcPr>
          <w:p>
            <w:pPr>
              <w:jc w:val="right"/>
              <w:ind w:right="131"/>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w w:val="91"/>
              </w:rPr>
              <w:t>Non-Securitized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8"/>
              </w:rPr>
              <w:t>Securitized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 – 90 days past due</w:t>
            </w:r>
          </w:p>
        </w:tc>
        <w:tc>
          <w:tcPr>
            <w:tcW w:w="54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shd w:val="clear" w:color="auto" w:fill="CCEEFF"/>
          </w:tcPr>
          <w:p>
            <w:pPr>
              <w:ind w:left="980"/>
              <w:spacing w:after="0"/>
              <w:rPr>
                <w:sz w:val="20"/>
                <w:szCs w:val="20"/>
                <w:color w:val="auto"/>
              </w:rPr>
            </w:pPr>
            <w:r>
              <w:rPr>
                <w:rFonts w:ascii="Arial" w:cs="Arial" w:eastAsia="Arial" w:hAnsi="Arial"/>
                <w:sz w:val="15"/>
                <w:szCs w:val="15"/>
                <w:color w:val="auto"/>
                <w:w w:val="71"/>
              </w:rPr>
              <w:t>8</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91 – 120 days past due</w:t>
            </w:r>
          </w:p>
        </w:tc>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980"/>
              <w:spacing w:after="0"/>
              <w:rPr>
                <w:sz w:val="20"/>
                <w:szCs w:val="20"/>
                <w:color w:val="auto"/>
              </w:rPr>
            </w:pPr>
            <w:r>
              <w:rPr>
                <w:rFonts w:ascii="Arial" w:cs="Arial" w:eastAsia="Arial" w:hAnsi="Arial"/>
                <w:sz w:val="15"/>
                <w:szCs w:val="15"/>
                <w:color w:val="auto"/>
                <w:w w:val="71"/>
              </w:rPr>
              <w:t>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120 days past due</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w w:val="79"/>
              </w:rPr>
              <w:t>107</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880" w:type="dxa"/>
            <w:vAlign w:val="bottom"/>
          </w:tcPr>
          <w:p>
            <w:pPr>
              <w:ind w:left="240"/>
              <w:spacing w:after="0"/>
              <w:rPr>
                <w:sz w:val="20"/>
                <w:szCs w:val="20"/>
                <w:color w:val="auto"/>
              </w:rPr>
            </w:pPr>
            <w:r>
              <w:rPr>
                <w:rFonts w:ascii="Arial" w:cs="Arial" w:eastAsia="Arial" w:hAnsi="Arial"/>
                <w:sz w:val="18"/>
                <w:szCs w:val="18"/>
                <w:color w:val="auto"/>
              </w:rPr>
              <w:t>Total past due</w:t>
            </w:r>
          </w:p>
        </w:tc>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w w:val="79"/>
              </w:rPr>
              <w:t>117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676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w w:val="79"/>
              </w:rPr>
              <w:t>123</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156"/>
        </w:trPr>
        <w:tc>
          <w:tcPr>
            <w:tcW w:w="2880" w:type="dxa"/>
            <w:vAlign w:val="bottom"/>
          </w:tcPr>
          <w:p>
            <w:pPr>
              <w:ind w:left="240"/>
              <w:spacing w:after="0" w:line="156" w:lineRule="exact"/>
              <w:rPr>
                <w:sz w:val="20"/>
                <w:szCs w:val="20"/>
                <w:color w:val="auto"/>
              </w:rPr>
            </w:pPr>
            <w:r>
              <w:rPr>
                <w:rFonts w:ascii="Arial" w:cs="Arial" w:eastAsia="Arial" w:hAnsi="Arial"/>
                <w:sz w:val="18"/>
                <w:szCs w:val="18"/>
                <w:color w:val="auto"/>
              </w:rPr>
              <w:t>Total vacation ownership notes</w:t>
            </w:r>
          </w:p>
        </w:tc>
        <w:tc>
          <w:tcPr>
            <w:tcW w:w="540" w:type="dxa"/>
            <w:vAlign w:val="bottom"/>
            <w:vMerge w:val="restart"/>
          </w:tcPr>
          <w:p>
            <w:pPr>
              <w:jc w:val="right"/>
              <w:ind w:right="333"/>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spacing w:after="0"/>
              <w:rPr>
                <w:sz w:val="13"/>
                <w:szCs w:val="13"/>
                <w:color w:val="auto"/>
              </w:rPr>
            </w:pPr>
          </w:p>
        </w:tc>
        <w:tc>
          <w:tcPr>
            <w:tcW w:w="380" w:type="dxa"/>
            <w:vAlign w:val="bottom"/>
            <w:gridSpan w:val="3"/>
            <w:vMerge w:val="restart"/>
          </w:tcPr>
          <w:p>
            <w:pPr>
              <w:jc w:val="right"/>
              <w:spacing w:after="0"/>
              <w:rPr>
                <w:sz w:val="20"/>
                <w:szCs w:val="20"/>
                <w:color w:val="auto"/>
              </w:rPr>
            </w:pPr>
            <w:r>
              <w:rPr>
                <w:rFonts w:ascii="Arial" w:cs="Arial" w:eastAsia="Arial" w:hAnsi="Arial"/>
                <w:sz w:val="18"/>
                <w:szCs w:val="18"/>
                <w:color w:val="auto"/>
                <w:w w:val="93"/>
              </w:rPr>
              <w:t>700</w:t>
            </w:r>
          </w:p>
        </w:tc>
        <w:tc>
          <w:tcPr>
            <w:tcW w:w="100" w:type="dxa"/>
            <w:vAlign w:val="bottom"/>
          </w:tcPr>
          <w:p>
            <w:pPr>
              <w:spacing w:after="0"/>
              <w:rPr>
                <w:sz w:val="13"/>
                <w:szCs w:val="13"/>
                <w:color w:val="auto"/>
              </w:rPr>
            </w:pPr>
          </w:p>
        </w:tc>
        <w:tc>
          <w:tcPr>
            <w:tcW w:w="300" w:type="dxa"/>
            <w:vAlign w:val="bottom"/>
            <w:vMerge w:val="restart"/>
          </w:tcPr>
          <w:p>
            <w:pPr>
              <w:jc w:val="right"/>
              <w:ind w:right="113"/>
              <w:spacing w:after="0"/>
              <w:rPr>
                <w:sz w:val="20"/>
                <w:szCs w:val="20"/>
                <w:color w:val="auto"/>
              </w:rPr>
            </w:pPr>
            <w:r>
              <w:rPr>
                <w:rFonts w:ascii="Arial" w:cs="Arial" w:eastAsia="Arial" w:hAnsi="Arial"/>
                <w:sz w:val="18"/>
                <w:szCs w:val="18"/>
                <w:color w:val="auto"/>
                <w:w w:val="79"/>
              </w:rPr>
              <w:t>$</w:t>
            </w:r>
          </w:p>
        </w:tc>
        <w:tc>
          <w:tcPr>
            <w:tcW w:w="1000" w:type="dxa"/>
            <w:vAlign w:val="bottom"/>
            <w:gridSpan w:val="3"/>
            <w:vMerge w:val="restart"/>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tcPr>
          <w:p>
            <w:pPr>
              <w:ind w:left="800"/>
              <w:spacing w:after="0"/>
              <w:rPr>
                <w:sz w:val="20"/>
                <w:szCs w:val="20"/>
                <w:color w:val="auto"/>
              </w:rPr>
            </w:pPr>
            <w:r>
              <w:rPr>
                <w:rFonts w:ascii="Arial" w:cs="Arial" w:eastAsia="Arial" w:hAnsi="Arial"/>
                <w:sz w:val="18"/>
                <w:szCs w:val="18"/>
                <w:color w:val="auto"/>
                <w:w w:val="79"/>
              </w:rPr>
              <w:t>240</w:t>
            </w:r>
          </w:p>
        </w:tc>
        <w:tc>
          <w:tcPr>
            <w:tcW w:w="8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581</w:t>
            </w:r>
          </w:p>
        </w:tc>
        <w:tc>
          <w:tcPr>
            <w:tcW w:w="100" w:type="dxa"/>
            <w:vAlign w:val="bottom"/>
            <w:gridSpan w:val="2"/>
            <w:vMerge w:val="restart"/>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03"/>
        </w:trPr>
        <w:tc>
          <w:tcPr>
            <w:tcW w:w="2880" w:type="dxa"/>
            <w:vAlign w:val="bottom"/>
          </w:tcPr>
          <w:p>
            <w:pPr>
              <w:ind w:left="240"/>
              <w:spacing w:after="0" w:line="202" w:lineRule="exact"/>
              <w:rPr>
                <w:sz w:val="20"/>
                <w:szCs w:val="20"/>
                <w:color w:val="auto"/>
              </w:rPr>
            </w:pPr>
            <w:r>
              <w:rPr>
                <w:rFonts w:ascii="Arial" w:cs="Arial" w:eastAsia="Arial" w:hAnsi="Arial"/>
                <w:sz w:val="18"/>
                <w:szCs w:val="18"/>
                <w:color w:val="auto"/>
              </w:rPr>
              <w:t>receivable</w:t>
            </w:r>
          </w:p>
        </w:tc>
        <w:tc>
          <w:tcPr>
            <w:tcW w:w="5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2"/>
        </w:trPr>
        <w:tc>
          <w:tcPr>
            <w:tcW w:w="11240" w:type="dxa"/>
            <w:vAlign w:val="bottom"/>
            <w:gridSpan w:val="28"/>
          </w:tcPr>
          <w:p>
            <w:pPr>
              <w:ind w:left="660"/>
              <w:spacing w:after="0"/>
              <w:rPr>
                <w:sz w:val="20"/>
                <w:szCs w:val="20"/>
                <w:color w:val="auto"/>
              </w:rPr>
            </w:pPr>
            <w:r>
              <w:rPr>
                <w:rFonts w:ascii="Arial" w:cs="Arial" w:eastAsia="Arial" w:hAnsi="Arial"/>
                <w:sz w:val="18"/>
                <w:szCs w:val="18"/>
                <w:color w:val="auto"/>
                <w:w w:val="92"/>
              </w:rPr>
              <w:t>The following tables show the Legacy-ILG and Legacy-Welk acquired vacation ownership notes receivable, before reserves, by brand and FICO</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score.</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4"/>
        </w:trPr>
        <w:tc>
          <w:tcPr>
            <w:tcW w:w="2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21"/>
          </w:tcPr>
          <w:p>
            <w:pPr>
              <w:jc w:val="right"/>
              <w:ind w:right="50"/>
              <w:spacing w:after="0"/>
              <w:rPr>
                <w:sz w:val="20"/>
                <w:szCs w:val="20"/>
                <w:color w:val="auto"/>
              </w:rPr>
            </w:pPr>
            <w:r>
              <w:rPr>
                <w:rFonts w:ascii="Arial" w:cs="Arial" w:eastAsia="Arial" w:hAnsi="Arial"/>
                <w:sz w:val="16"/>
                <w:szCs w:val="16"/>
                <w:b w:val="1"/>
                <w:bCs w:val="1"/>
                <w:color w:val="auto"/>
              </w:rPr>
              <w:t>Acquired Vacation Ownership Notes Receivable as of September 30, 2021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74"/>
              <w:spacing w:after="0"/>
              <w:rPr>
                <w:sz w:val="20"/>
                <w:szCs w:val="20"/>
                <w:color w:val="auto"/>
              </w:rPr>
            </w:pPr>
            <w:r>
              <w:rPr>
                <w:rFonts w:ascii="Arial" w:cs="Arial" w:eastAsia="Arial" w:hAnsi="Arial"/>
                <w:sz w:val="16"/>
                <w:szCs w:val="16"/>
                <w:b w:val="1"/>
                <w:bCs w:val="1"/>
                <w:color w:val="auto"/>
                <w:w w:val="88"/>
              </w:rPr>
              <w:t>700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91"/>
              <w:spacing w:after="0"/>
              <w:rPr>
                <w:sz w:val="20"/>
                <w:szCs w:val="20"/>
                <w:color w:val="auto"/>
              </w:rPr>
            </w:pPr>
            <w:r>
              <w:rPr>
                <w:rFonts w:ascii="Arial" w:cs="Arial" w:eastAsia="Arial" w:hAnsi="Arial"/>
                <w:sz w:val="16"/>
                <w:szCs w:val="16"/>
                <w:b w:val="1"/>
                <w:bCs w:val="1"/>
                <w:color w:val="auto"/>
                <w:w w:val="97"/>
              </w:rPr>
              <w:t>600 - 699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6"/>
                <w:szCs w:val="16"/>
                <w:b w:val="1"/>
                <w:bCs w:val="1"/>
                <w:color w:val="auto"/>
              </w:rPr>
              <w:t>&lt; 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3"/>
              </w:rPr>
              <w:t>No Score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5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Sheraton</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Welk</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8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2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8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20" w:type="dxa"/>
            <w:vAlign w:val="bottom"/>
            <w:tcBorders>
              <w:bottom w:val="single" w:sz="8" w:color="auto"/>
            </w:tcBorders>
            <w:gridSpan w:val="12"/>
          </w:tcPr>
          <w:p>
            <w:pPr>
              <w:jc w:val="right"/>
              <w:ind w:right="70"/>
              <w:spacing w:after="0"/>
              <w:rPr>
                <w:sz w:val="20"/>
                <w:szCs w:val="20"/>
                <w:color w:val="auto"/>
              </w:rPr>
            </w:pPr>
            <w:r>
              <w:rPr>
                <w:rFonts w:ascii="Arial" w:cs="Arial" w:eastAsia="Arial" w:hAnsi="Arial"/>
                <w:sz w:val="16"/>
                <w:szCs w:val="16"/>
                <w:b w:val="1"/>
                <w:bCs w:val="1"/>
                <w:color w:val="auto"/>
              </w:rPr>
              <w:t>Acquired Vacation Ownership Notes Receivable as of December 31, 2020</w:t>
            </w:r>
          </w:p>
        </w:tc>
        <w:tc>
          <w:tcPr>
            <w:tcW w:w="1000" w:type="dxa"/>
            <w:vAlign w:val="bottom"/>
            <w:tcBorders>
              <w:bottom w:val="single" w:sz="8" w:color="auto"/>
            </w:tcBorders>
          </w:tcPr>
          <w:p>
            <w:pPr>
              <w:spacing w:after="0"/>
              <w:rPr>
                <w:sz w:val="18"/>
                <w:szCs w:val="18"/>
                <w:color w:val="auto"/>
              </w:rPr>
            </w:pPr>
          </w:p>
        </w:tc>
      </w:tr>
      <w:tr>
        <w:trPr>
          <w:trHeight w:val="210"/>
        </w:trPr>
        <w:tc>
          <w:tcPr>
            <w:tcW w:w="3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8"/>
                <w:szCs w:val="18"/>
                <w:color w:val="auto"/>
              </w:rPr>
            </w:pPr>
          </w:p>
        </w:tc>
        <w:tc>
          <w:tcPr>
            <w:tcW w:w="1060" w:type="dxa"/>
            <w:vAlign w:val="bottom"/>
          </w:tcPr>
          <w:p>
            <w:pPr>
              <w:jc w:val="right"/>
              <w:ind w:right="41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292"/>
              <w:spacing w:after="0"/>
              <w:rPr>
                <w:sz w:val="20"/>
                <w:szCs w:val="20"/>
                <w:color w:val="auto"/>
              </w:rPr>
            </w:pPr>
            <w:r>
              <w:rPr>
                <w:rFonts w:ascii="Arial" w:cs="Arial" w:eastAsia="Arial" w:hAnsi="Arial"/>
                <w:sz w:val="16"/>
                <w:szCs w:val="16"/>
                <w:b w:val="1"/>
                <w:bCs w:val="1"/>
                <w:color w:val="auto"/>
              </w:rPr>
              <w:t>600 - 699</w:t>
            </w:r>
          </w:p>
        </w:tc>
        <w:tc>
          <w:tcPr>
            <w:tcW w:w="10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6"/>
                <w:szCs w:val="16"/>
                <w:b w:val="1"/>
                <w:bCs w:val="1"/>
                <w:color w:val="auto"/>
              </w:rPr>
              <w:t>&lt; 600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380" w:type="dxa"/>
            <w:vAlign w:val="bottom"/>
          </w:tcPr>
          <w:p>
            <w:pPr>
              <w:spacing w:after="0"/>
              <w:rPr>
                <w:sz w:val="18"/>
                <w:szCs w:val="18"/>
                <w:color w:val="auto"/>
              </w:rPr>
            </w:pPr>
          </w:p>
        </w:tc>
        <w:tc>
          <w:tcPr>
            <w:tcW w:w="1000" w:type="dxa"/>
            <w:vAlign w:val="bottom"/>
          </w:tcPr>
          <w:p>
            <w:pPr>
              <w:jc w:val="right"/>
              <w:ind w:right="432"/>
              <w:spacing w:after="0"/>
              <w:rPr>
                <w:sz w:val="20"/>
                <w:szCs w:val="20"/>
                <w:color w:val="auto"/>
              </w:rPr>
            </w:pPr>
            <w:r>
              <w:rPr>
                <w:rFonts w:ascii="Arial" w:cs="Arial" w:eastAsia="Arial" w:hAnsi="Arial"/>
                <w:sz w:val="16"/>
                <w:szCs w:val="16"/>
                <w:b w:val="1"/>
                <w:bCs w:val="1"/>
                <w:color w:val="auto"/>
              </w:rPr>
              <w:t>Total</w:t>
            </w:r>
          </w:p>
        </w:tc>
      </w:tr>
      <w:tr>
        <w:trPr>
          <w:trHeight w:val="226"/>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Sheraton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39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tables detail the origination year of our Legacy-ILG and Legacy-Welk acquired vacation ownership notes receivable by brand and FICO score as of September 30,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13"/>
          </w:tcPr>
          <w:p>
            <w:pPr>
              <w:jc w:val="center"/>
              <w:ind w:right="240"/>
              <w:spacing w:after="0"/>
              <w:rPr>
                <w:sz w:val="20"/>
                <w:szCs w:val="20"/>
                <w:color w:val="auto"/>
              </w:rPr>
            </w:pPr>
            <w:r>
              <w:rPr>
                <w:rFonts w:ascii="Arial" w:cs="Arial" w:eastAsia="Arial" w:hAnsi="Arial"/>
                <w:sz w:val="16"/>
                <w:szCs w:val="16"/>
                <w:b w:val="1"/>
                <w:bCs w:val="1"/>
                <w:color w:val="auto"/>
                <w:w w:val="90"/>
              </w:rPr>
              <w:t>Acquired Vacation Ownership Notes Receivable - Westin</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11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ind w:left="200"/>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ind w:right="272"/>
              <w:spacing w:after="0"/>
              <w:rPr>
                <w:sz w:val="20"/>
                <w:szCs w:val="20"/>
                <w:color w:val="auto"/>
              </w:rPr>
            </w:pPr>
            <w:r>
              <w:rPr>
                <w:rFonts w:ascii="Arial" w:cs="Arial" w:eastAsia="Arial" w:hAnsi="Arial"/>
                <w:sz w:val="16"/>
                <w:szCs w:val="16"/>
                <w:b w:val="1"/>
                <w:bCs w:val="1"/>
                <w:color w:val="auto"/>
                <w:w w:val="95"/>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2016 &amp; Prior</w:t>
            </w:r>
          </w:p>
        </w:tc>
        <w:tc>
          <w:tcPr>
            <w:tcW w:w="30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8"/>
                <w:szCs w:val="18"/>
                <w:color w:val="auto"/>
              </w:rPr>
            </w:pP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r>
      <w:tr>
        <w:trPr>
          <w:trHeight w:val="230"/>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900" w:type="dxa"/>
            <w:vAlign w:val="bottom"/>
          </w:tcPr>
          <w:p>
            <w:pPr>
              <w:ind w:left="20"/>
              <w:spacing w:after="0"/>
              <w:rPr>
                <w:sz w:val="20"/>
                <w:szCs w:val="20"/>
                <w:color w:val="auto"/>
              </w:rPr>
            </w:pPr>
            <w:r>
              <w:rPr>
                <w:rFonts w:ascii="Arial" w:cs="Arial" w:eastAsia="Arial" w:hAnsi="Arial"/>
                <w:sz w:val="16"/>
                <w:szCs w:val="16"/>
                <w:color w:val="auto"/>
              </w:rPr>
              <w:t>- 699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r>
      <w:tr>
        <w:trPr>
          <w:trHeight w:val="229"/>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1"/>
                <w:szCs w:val="2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7"/>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14"/>
          </w:tcPr>
          <w:p>
            <w:pPr>
              <w:jc w:val="center"/>
              <w:ind w:right="120"/>
              <w:spacing w:after="0"/>
              <w:rPr>
                <w:sz w:val="20"/>
                <w:szCs w:val="20"/>
                <w:color w:val="auto"/>
              </w:rPr>
            </w:pPr>
            <w:r>
              <w:rPr>
                <w:rFonts w:ascii="Arial" w:cs="Arial" w:eastAsia="Arial" w:hAnsi="Arial"/>
                <w:sz w:val="16"/>
                <w:szCs w:val="16"/>
                <w:b w:val="1"/>
                <w:bCs w:val="1"/>
                <w:color w:val="auto"/>
                <w:w w:val="91"/>
              </w:rPr>
              <w:t>Acquired Vacation Ownership Notes Receivable - Sheraton</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11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ind w:left="200"/>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ind w:right="272"/>
              <w:spacing w:after="0"/>
              <w:rPr>
                <w:sz w:val="20"/>
                <w:szCs w:val="20"/>
                <w:color w:val="auto"/>
              </w:rPr>
            </w:pPr>
            <w:r>
              <w:rPr>
                <w:rFonts w:ascii="Arial" w:cs="Arial" w:eastAsia="Arial" w:hAnsi="Arial"/>
                <w:sz w:val="16"/>
                <w:szCs w:val="16"/>
                <w:b w:val="1"/>
                <w:bCs w:val="1"/>
                <w:color w:val="auto"/>
                <w:w w:val="95"/>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2016 &amp; Prior</w:t>
            </w:r>
          </w:p>
        </w:tc>
        <w:tc>
          <w:tcPr>
            <w:tcW w:w="30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8"/>
                <w:szCs w:val="18"/>
                <w:color w:val="auto"/>
              </w:rPr>
            </w:pP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r>
      <w:tr>
        <w:trPr>
          <w:trHeight w:val="229"/>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900" w:type="dxa"/>
            <w:vAlign w:val="bottom"/>
          </w:tcPr>
          <w:p>
            <w:pPr>
              <w:ind w:left="20"/>
              <w:spacing w:after="0"/>
              <w:rPr>
                <w:sz w:val="20"/>
                <w:szCs w:val="20"/>
                <w:color w:val="auto"/>
              </w:rPr>
            </w:pPr>
            <w:r>
              <w:rPr>
                <w:rFonts w:ascii="Arial" w:cs="Arial" w:eastAsia="Arial" w:hAnsi="Arial"/>
                <w:sz w:val="16"/>
                <w:szCs w:val="16"/>
                <w:color w:val="auto"/>
              </w:rPr>
              <w:t>- 699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r>
      <w:tr>
        <w:trPr>
          <w:trHeight w:val="230"/>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r>
      <w:tr>
        <w:trPr>
          <w:trHeight w:val="229"/>
        </w:trPr>
        <w:tc>
          <w:tcPr>
            <w:tcW w:w="118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21"/>
                <w:szCs w:val="2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0"/>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20"/>
          </w:tcPr>
          <w:p>
            <w:pPr>
              <w:jc w:val="right"/>
              <w:spacing w:after="0"/>
              <w:rPr>
                <w:sz w:val="20"/>
                <w:szCs w:val="20"/>
                <w:color w:val="auto"/>
              </w:rPr>
            </w:pPr>
            <w:r>
              <w:rPr>
                <w:rFonts w:ascii="Arial" w:cs="Arial" w:eastAsia="Arial" w:hAnsi="Arial"/>
                <w:sz w:val="16"/>
                <w:szCs w:val="16"/>
                <w:b w:val="1"/>
                <w:bCs w:val="1"/>
                <w:color w:val="auto"/>
                <w:w w:val="91"/>
              </w:rPr>
              <w:t>Acquired Vacation Ownership Notes Receivable - Hyatt and Other</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11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ind w:left="220"/>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ind w:right="252"/>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2016 &amp; Prior</w:t>
            </w:r>
          </w:p>
        </w:tc>
        <w:tc>
          <w:tcPr>
            <w:tcW w:w="30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8"/>
                <w:szCs w:val="18"/>
                <w:color w:val="auto"/>
              </w:rPr>
            </w:pP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tcBorders>
            <w:gridSpan w:val="2"/>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r>
      <w:tr>
        <w:trPr>
          <w:trHeight w:val="229"/>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900" w:type="dxa"/>
            <w:vAlign w:val="bottom"/>
          </w:tcPr>
          <w:p>
            <w:pPr>
              <w:ind w:left="20"/>
              <w:spacing w:after="0"/>
              <w:rPr>
                <w:sz w:val="20"/>
                <w:szCs w:val="20"/>
                <w:color w:val="auto"/>
              </w:rPr>
            </w:pPr>
            <w:r>
              <w:rPr>
                <w:rFonts w:ascii="Arial" w:cs="Arial" w:eastAsia="Arial" w:hAnsi="Arial"/>
                <w:sz w:val="16"/>
                <w:szCs w:val="16"/>
                <w:color w:val="auto"/>
              </w:rPr>
              <w:t>- 699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r>
        <w:trPr>
          <w:trHeight w:val="230"/>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1"/>
                <w:szCs w:val="2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0"/>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13"/>
          </w:tcPr>
          <w:p>
            <w:pPr>
              <w:jc w:val="center"/>
              <w:ind w:right="240"/>
              <w:spacing w:after="0"/>
              <w:rPr>
                <w:sz w:val="20"/>
                <w:szCs w:val="20"/>
                <w:color w:val="auto"/>
              </w:rPr>
            </w:pPr>
            <w:r>
              <w:rPr>
                <w:rFonts w:ascii="Arial" w:cs="Arial" w:eastAsia="Arial" w:hAnsi="Arial"/>
                <w:sz w:val="16"/>
                <w:szCs w:val="16"/>
                <w:b w:val="1"/>
                <w:bCs w:val="1"/>
                <w:color w:val="auto"/>
                <w:w w:val="91"/>
              </w:rPr>
              <w:t>Acquired Vacation Ownership Notes Receivable - Welk</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11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ind w:left="200"/>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ind w:right="272"/>
              <w:spacing w:after="0"/>
              <w:rPr>
                <w:sz w:val="20"/>
                <w:szCs w:val="20"/>
                <w:color w:val="auto"/>
              </w:rPr>
            </w:pPr>
            <w:r>
              <w:rPr>
                <w:rFonts w:ascii="Arial" w:cs="Arial" w:eastAsia="Arial" w:hAnsi="Arial"/>
                <w:sz w:val="16"/>
                <w:szCs w:val="16"/>
                <w:b w:val="1"/>
                <w:bCs w:val="1"/>
                <w:color w:val="auto"/>
                <w:w w:val="95"/>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2016 &amp; Prior</w:t>
            </w:r>
          </w:p>
        </w:tc>
        <w:tc>
          <w:tcPr>
            <w:tcW w:w="30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8"/>
                <w:szCs w:val="18"/>
                <w:color w:val="auto"/>
              </w:rPr>
            </w:pP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9"/>
              </w:rPr>
              <w:t>14</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9"/>
                <w:szCs w:val="19"/>
                <w:color w:val="auto"/>
              </w:rPr>
            </w:pPr>
          </w:p>
        </w:tc>
      </w:tr>
      <w:tr>
        <w:trPr>
          <w:trHeight w:val="230"/>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900" w:type="dxa"/>
            <w:vAlign w:val="bottom"/>
          </w:tcPr>
          <w:p>
            <w:pPr>
              <w:ind w:left="20"/>
              <w:spacing w:after="0"/>
              <w:rPr>
                <w:sz w:val="20"/>
                <w:szCs w:val="20"/>
                <w:color w:val="auto"/>
              </w:rPr>
            </w:pPr>
            <w:r>
              <w:rPr>
                <w:rFonts w:ascii="Arial" w:cs="Arial" w:eastAsia="Arial" w:hAnsi="Arial"/>
                <w:sz w:val="16"/>
                <w:szCs w:val="16"/>
                <w:color w:val="auto"/>
              </w:rPr>
              <w:t>- 699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89"/>
              </w:rPr>
              <w:t>11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9"/>
                <w:szCs w:val="19"/>
                <w:color w:val="auto"/>
              </w:rPr>
            </w:pPr>
          </w:p>
        </w:tc>
      </w:tr>
      <w:tr>
        <w:trPr>
          <w:trHeight w:val="230"/>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9"/>
              </w:rPr>
              <w:t>25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21"/>
                <w:szCs w:val="2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3"/>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22</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6"/>
        </w:trPr>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show the Legacy-ILG and Legacy-Welk originated vacation ownership notes receivable, before reserves, by brand and FICO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score.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12"/>
          </w:tcPr>
          <w:p>
            <w:pPr>
              <w:jc w:val="center"/>
              <w:ind w:left="573"/>
              <w:spacing w:after="0"/>
              <w:rPr>
                <w:sz w:val="20"/>
                <w:szCs w:val="20"/>
                <w:color w:val="auto"/>
              </w:rPr>
            </w:pPr>
            <w:r>
              <w:rPr>
                <w:rFonts w:ascii="Arial" w:cs="Arial" w:eastAsia="Arial" w:hAnsi="Arial"/>
                <w:sz w:val="16"/>
                <w:szCs w:val="16"/>
                <w:b w:val="1"/>
                <w:bCs w:val="1"/>
                <w:color w:val="auto"/>
                <w:w w:val="90"/>
              </w:rPr>
              <w:t>Originated Vacation Ownership Notes Receivable as of September 30, 2021</w:t>
            </w:r>
          </w:p>
        </w:tc>
        <w:tc>
          <w:tcPr>
            <w:tcW w:w="980" w:type="dxa"/>
            <w:vAlign w:val="bottom"/>
            <w:tcBorders>
              <w:bottom w:val="single" w:sz="8" w:color="auto"/>
            </w:tcBorders>
          </w:tcPr>
          <w:p>
            <w:pPr>
              <w:spacing w:after="0"/>
              <w:rPr>
                <w:sz w:val="18"/>
                <w:szCs w:val="18"/>
                <w:color w:val="auto"/>
              </w:rPr>
            </w:pPr>
          </w:p>
        </w:tc>
      </w:tr>
      <w:tr>
        <w:trPr>
          <w:trHeight w:val="210"/>
        </w:trPr>
        <w:tc>
          <w:tcPr>
            <w:tcW w:w="3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8"/>
                <w:szCs w:val="18"/>
                <w:color w:val="auto"/>
              </w:rPr>
            </w:pPr>
          </w:p>
        </w:tc>
        <w:tc>
          <w:tcPr>
            <w:tcW w:w="1060" w:type="dxa"/>
            <w:vAlign w:val="bottom"/>
          </w:tcPr>
          <w:p>
            <w:pPr>
              <w:jc w:val="right"/>
              <w:ind w:right="41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292"/>
              <w:spacing w:after="0"/>
              <w:rPr>
                <w:sz w:val="20"/>
                <w:szCs w:val="20"/>
                <w:color w:val="auto"/>
              </w:rPr>
            </w:pPr>
            <w:r>
              <w:rPr>
                <w:rFonts w:ascii="Arial" w:cs="Arial" w:eastAsia="Arial" w:hAnsi="Arial"/>
                <w:sz w:val="16"/>
                <w:szCs w:val="16"/>
                <w:b w:val="1"/>
                <w:bCs w:val="1"/>
                <w:color w:val="auto"/>
              </w:rPr>
              <w:t>600 - 699</w:t>
            </w:r>
          </w:p>
        </w:tc>
        <w:tc>
          <w:tcPr>
            <w:tcW w:w="100" w:type="dxa"/>
            <w:vAlign w:val="bottom"/>
          </w:tcPr>
          <w:p>
            <w:pPr>
              <w:spacing w:after="0"/>
              <w:rPr>
                <w:sz w:val="18"/>
                <w:szCs w:val="18"/>
                <w:color w:val="auto"/>
              </w:rPr>
            </w:pPr>
          </w:p>
        </w:tc>
        <w:tc>
          <w:tcPr>
            <w:tcW w:w="1000" w:type="dxa"/>
            <w:vAlign w:val="bottom"/>
          </w:tcPr>
          <w:p>
            <w:pPr>
              <w:jc w:val="center"/>
              <w:ind w:left="293"/>
              <w:spacing w:after="0"/>
              <w:rPr>
                <w:sz w:val="20"/>
                <w:szCs w:val="20"/>
                <w:color w:val="auto"/>
              </w:rPr>
            </w:pPr>
            <w:r>
              <w:rPr>
                <w:rFonts w:ascii="Arial" w:cs="Arial" w:eastAsia="Arial" w:hAnsi="Arial"/>
                <w:sz w:val="16"/>
                <w:szCs w:val="16"/>
                <w:b w:val="1"/>
                <w:bCs w:val="1"/>
                <w:color w:val="auto"/>
                <w:w w:val="93"/>
              </w:rPr>
              <w:t>&lt; 600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400" w:type="dxa"/>
            <w:vAlign w:val="bottom"/>
          </w:tcPr>
          <w:p>
            <w:pPr>
              <w:spacing w:after="0"/>
              <w:rPr>
                <w:sz w:val="18"/>
                <w:szCs w:val="18"/>
                <w:color w:val="auto"/>
              </w:rPr>
            </w:pPr>
          </w:p>
        </w:tc>
        <w:tc>
          <w:tcPr>
            <w:tcW w:w="980" w:type="dxa"/>
            <w:vAlign w:val="bottom"/>
          </w:tcPr>
          <w:p>
            <w:pPr>
              <w:jc w:val="right"/>
              <w:ind w:right="432"/>
              <w:spacing w:after="0"/>
              <w:rPr>
                <w:sz w:val="20"/>
                <w:szCs w:val="20"/>
                <w:color w:val="auto"/>
              </w:rPr>
            </w:pPr>
            <w:r>
              <w:rPr>
                <w:rFonts w:ascii="Arial" w:cs="Arial" w:eastAsia="Arial" w:hAnsi="Arial"/>
                <w:sz w:val="16"/>
                <w:szCs w:val="16"/>
                <w:b w:val="1"/>
                <w:bCs w:val="1"/>
                <w:color w:val="auto"/>
              </w:rPr>
              <w:t>Total</w:t>
            </w:r>
          </w:p>
        </w:tc>
      </w:tr>
      <w:tr>
        <w:trPr>
          <w:trHeight w:val="226"/>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Sheraton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Welk</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8"/>
        </w:trPr>
        <w:tc>
          <w:tcPr>
            <w:tcW w:w="39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3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gridSpan w:val="12"/>
          </w:tcPr>
          <w:p>
            <w:pPr>
              <w:jc w:val="center"/>
              <w:ind w:left="573"/>
              <w:spacing w:after="0"/>
              <w:rPr>
                <w:sz w:val="20"/>
                <w:szCs w:val="20"/>
                <w:color w:val="auto"/>
              </w:rPr>
            </w:pPr>
            <w:r>
              <w:rPr>
                <w:rFonts w:ascii="Arial" w:cs="Arial" w:eastAsia="Arial" w:hAnsi="Arial"/>
                <w:sz w:val="16"/>
                <w:szCs w:val="16"/>
                <w:b w:val="1"/>
                <w:bCs w:val="1"/>
                <w:color w:val="auto"/>
                <w:w w:val="90"/>
              </w:rPr>
              <w:t>Originated Vacation Ownership Notes Receivable as of December 31, 2020</w:t>
            </w:r>
          </w:p>
        </w:tc>
        <w:tc>
          <w:tcPr>
            <w:tcW w:w="980" w:type="dxa"/>
            <w:vAlign w:val="bottom"/>
            <w:tcBorders>
              <w:bottom w:val="single" w:sz="8" w:color="auto"/>
            </w:tcBorders>
          </w:tcPr>
          <w:p>
            <w:pPr>
              <w:spacing w:after="0"/>
              <w:rPr>
                <w:sz w:val="24"/>
                <w:szCs w:val="24"/>
                <w:color w:val="auto"/>
              </w:rPr>
            </w:pPr>
          </w:p>
        </w:tc>
      </w:tr>
      <w:tr>
        <w:trPr>
          <w:trHeight w:val="210"/>
        </w:trPr>
        <w:tc>
          <w:tcPr>
            <w:tcW w:w="3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8"/>
                <w:szCs w:val="18"/>
                <w:color w:val="auto"/>
              </w:rPr>
            </w:pPr>
          </w:p>
        </w:tc>
        <w:tc>
          <w:tcPr>
            <w:tcW w:w="1060" w:type="dxa"/>
            <w:vAlign w:val="bottom"/>
          </w:tcPr>
          <w:p>
            <w:pPr>
              <w:jc w:val="right"/>
              <w:ind w:right="41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292"/>
              <w:spacing w:after="0"/>
              <w:rPr>
                <w:sz w:val="20"/>
                <w:szCs w:val="20"/>
                <w:color w:val="auto"/>
              </w:rPr>
            </w:pPr>
            <w:r>
              <w:rPr>
                <w:rFonts w:ascii="Arial" w:cs="Arial" w:eastAsia="Arial" w:hAnsi="Arial"/>
                <w:sz w:val="16"/>
                <w:szCs w:val="16"/>
                <w:b w:val="1"/>
                <w:bCs w:val="1"/>
                <w:color w:val="auto"/>
              </w:rPr>
              <w:t>600 - 699</w:t>
            </w:r>
          </w:p>
        </w:tc>
        <w:tc>
          <w:tcPr>
            <w:tcW w:w="100" w:type="dxa"/>
            <w:vAlign w:val="bottom"/>
          </w:tcPr>
          <w:p>
            <w:pPr>
              <w:spacing w:after="0"/>
              <w:rPr>
                <w:sz w:val="18"/>
                <w:szCs w:val="18"/>
                <w:color w:val="auto"/>
              </w:rPr>
            </w:pPr>
          </w:p>
        </w:tc>
        <w:tc>
          <w:tcPr>
            <w:tcW w:w="1000" w:type="dxa"/>
            <w:vAlign w:val="bottom"/>
          </w:tcPr>
          <w:p>
            <w:pPr>
              <w:jc w:val="center"/>
              <w:ind w:left="293"/>
              <w:spacing w:after="0"/>
              <w:rPr>
                <w:sz w:val="20"/>
                <w:szCs w:val="20"/>
                <w:color w:val="auto"/>
              </w:rPr>
            </w:pPr>
            <w:r>
              <w:rPr>
                <w:rFonts w:ascii="Arial" w:cs="Arial" w:eastAsia="Arial" w:hAnsi="Arial"/>
                <w:sz w:val="16"/>
                <w:szCs w:val="16"/>
                <w:b w:val="1"/>
                <w:bCs w:val="1"/>
                <w:color w:val="auto"/>
                <w:w w:val="93"/>
              </w:rPr>
              <w:t>&lt; 600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400" w:type="dxa"/>
            <w:vAlign w:val="bottom"/>
          </w:tcPr>
          <w:p>
            <w:pPr>
              <w:spacing w:after="0"/>
              <w:rPr>
                <w:sz w:val="18"/>
                <w:szCs w:val="18"/>
                <w:color w:val="auto"/>
              </w:rPr>
            </w:pPr>
          </w:p>
        </w:tc>
        <w:tc>
          <w:tcPr>
            <w:tcW w:w="980" w:type="dxa"/>
            <w:vAlign w:val="bottom"/>
          </w:tcPr>
          <w:p>
            <w:pPr>
              <w:jc w:val="right"/>
              <w:ind w:right="432"/>
              <w:spacing w:after="0"/>
              <w:rPr>
                <w:sz w:val="20"/>
                <w:szCs w:val="20"/>
                <w:color w:val="auto"/>
              </w:rPr>
            </w:pPr>
            <w:r>
              <w:rPr>
                <w:rFonts w:ascii="Arial" w:cs="Arial" w:eastAsia="Arial" w:hAnsi="Arial"/>
                <w:sz w:val="16"/>
                <w:szCs w:val="16"/>
                <w:b w:val="1"/>
                <w:bCs w:val="1"/>
                <w:color w:val="auto"/>
              </w:rPr>
              <w:t>Total</w:t>
            </w:r>
          </w:p>
        </w:tc>
      </w:tr>
      <w:tr>
        <w:trPr>
          <w:trHeight w:val="226"/>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Sheraton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39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21"/>
        </w:trPr>
        <w:tc>
          <w:tcPr>
            <w:tcW w:w="3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tables detail the origination year of our Legacy-ILG and Legacy-Welk originated vacation ownership notes receivable by brand and FICO score as of September 30,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6"/>
                <w:szCs w:val="16"/>
                <w:b w:val="1"/>
                <w:bCs w:val="1"/>
                <w:color w:val="auto"/>
                <w:w w:val="93"/>
              </w:rPr>
              <w:t>Originated Vacation Ownership Notes Receivable - Westin</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12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60" w:type="dxa"/>
            <w:vAlign w:val="bottom"/>
          </w:tcPr>
          <w:p>
            <w:pPr>
              <w:jc w:val="right"/>
              <w:ind w:right="53"/>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500"/>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293"/>
              <w:spacing w:after="0"/>
              <w:rPr>
                <w:sz w:val="20"/>
                <w:szCs w:val="20"/>
                <w:color w:val="auto"/>
              </w:rPr>
            </w:pPr>
            <w:r>
              <w:rPr>
                <w:rFonts w:ascii="Arial" w:cs="Arial" w:eastAsia="Arial" w:hAnsi="Arial"/>
                <w:sz w:val="16"/>
                <w:szCs w:val="16"/>
                <w:b w:val="1"/>
                <w:bCs w:val="1"/>
                <w:color w:val="auto"/>
                <w:w w:val="95"/>
              </w:rPr>
              <w:t>2018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2016 &amp; Prior</w:t>
            </w:r>
          </w:p>
        </w:tc>
        <w:tc>
          <w:tcPr>
            <w:tcW w:w="32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940" w:type="dxa"/>
            <w:vAlign w:val="bottom"/>
          </w:tcPr>
          <w:p>
            <w:pPr>
              <w:ind w:left="20"/>
              <w:spacing w:after="0"/>
              <w:rPr>
                <w:sz w:val="20"/>
                <w:szCs w:val="20"/>
                <w:color w:val="auto"/>
              </w:rPr>
            </w:pPr>
            <w:r>
              <w:rPr>
                <w:rFonts w:ascii="Arial" w:cs="Arial" w:eastAsia="Arial" w:hAnsi="Arial"/>
                <w:sz w:val="16"/>
                <w:szCs w:val="16"/>
                <w:color w:val="auto"/>
              </w:rPr>
              <w:t>- 699</w:t>
            </w: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22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9"/>
          </w:tcPr>
          <w:p>
            <w:pPr>
              <w:ind w:left="40"/>
              <w:spacing w:after="0"/>
              <w:rPr>
                <w:sz w:val="20"/>
                <w:szCs w:val="20"/>
                <w:color w:val="auto"/>
              </w:rPr>
            </w:pPr>
            <w:r>
              <w:rPr>
                <w:rFonts w:ascii="Arial" w:cs="Arial" w:eastAsia="Arial" w:hAnsi="Arial"/>
                <w:sz w:val="16"/>
                <w:szCs w:val="16"/>
                <w:b w:val="1"/>
                <w:bCs w:val="1"/>
                <w:color w:val="auto"/>
                <w:w w:val="93"/>
              </w:rPr>
              <w:t>Originated Vacation Ownership Notes Receivable - Sheraton</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0"/>
        </w:trPr>
        <w:tc>
          <w:tcPr>
            <w:tcW w:w="12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60" w:type="dxa"/>
            <w:vAlign w:val="bottom"/>
          </w:tcPr>
          <w:p>
            <w:pPr>
              <w:jc w:val="right"/>
              <w:ind w:right="53"/>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500"/>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293"/>
              <w:spacing w:after="0"/>
              <w:rPr>
                <w:sz w:val="20"/>
                <w:szCs w:val="20"/>
                <w:color w:val="auto"/>
              </w:rPr>
            </w:pPr>
            <w:r>
              <w:rPr>
                <w:rFonts w:ascii="Arial" w:cs="Arial" w:eastAsia="Arial" w:hAnsi="Arial"/>
                <w:sz w:val="16"/>
                <w:szCs w:val="16"/>
                <w:b w:val="1"/>
                <w:bCs w:val="1"/>
                <w:color w:val="auto"/>
                <w:w w:val="95"/>
              </w:rPr>
              <w:t>2018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2016 &amp; Prior</w:t>
            </w:r>
          </w:p>
        </w:tc>
        <w:tc>
          <w:tcPr>
            <w:tcW w:w="32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940" w:type="dxa"/>
            <w:vAlign w:val="bottom"/>
          </w:tcPr>
          <w:p>
            <w:pPr>
              <w:ind w:left="20"/>
              <w:spacing w:after="0"/>
              <w:rPr>
                <w:sz w:val="20"/>
                <w:szCs w:val="20"/>
                <w:color w:val="auto"/>
              </w:rPr>
            </w:pPr>
            <w:r>
              <w:rPr>
                <w:rFonts w:ascii="Arial" w:cs="Arial" w:eastAsia="Arial" w:hAnsi="Arial"/>
                <w:sz w:val="16"/>
                <w:szCs w:val="16"/>
                <w:color w:val="auto"/>
              </w:rPr>
              <w:t>- 699</w:t>
            </w: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22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9"/>
          </w:tcPr>
          <w:p>
            <w:pPr>
              <w:jc w:val="center"/>
              <w:ind w:right="80"/>
              <w:spacing w:after="0"/>
              <w:rPr>
                <w:sz w:val="20"/>
                <w:szCs w:val="20"/>
                <w:color w:val="auto"/>
              </w:rPr>
            </w:pPr>
            <w:r>
              <w:rPr>
                <w:rFonts w:ascii="Arial" w:cs="Arial" w:eastAsia="Arial" w:hAnsi="Arial"/>
                <w:sz w:val="16"/>
                <w:szCs w:val="16"/>
                <w:b w:val="1"/>
                <w:bCs w:val="1"/>
                <w:color w:val="auto"/>
                <w:w w:val="91"/>
              </w:rPr>
              <w:t>Originated Vacation Ownership Notes Receivable - Hyatt</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0"/>
        </w:trPr>
        <w:tc>
          <w:tcPr>
            <w:tcW w:w="12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60" w:type="dxa"/>
            <w:vAlign w:val="bottom"/>
          </w:tcPr>
          <w:p>
            <w:pPr>
              <w:jc w:val="right"/>
              <w:ind w:right="53"/>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500"/>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293"/>
              <w:spacing w:after="0"/>
              <w:rPr>
                <w:sz w:val="20"/>
                <w:szCs w:val="20"/>
                <w:color w:val="auto"/>
              </w:rPr>
            </w:pPr>
            <w:r>
              <w:rPr>
                <w:rFonts w:ascii="Arial" w:cs="Arial" w:eastAsia="Arial" w:hAnsi="Arial"/>
                <w:sz w:val="16"/>
                <w:szCs w:val="16"/>
                <w:b w:val="1"/>
                <w:bCs w:val="1"/>
                <w:color w:val="auto"/>
                <w:w w:val="95"/>
              </w:rPr>
              <w:t>2018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2016 &amp; Prior</w:t>
            </w:r>
          </w:p>
        </w:tc>
        <w:tc>
          <w:tcPr>
            <w:tcW w:w="32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940" w:type="dxa"/>
            <w:vAlign w:val="bottom"/>
          </w:tcPr>
          <w:p>
            <w:pPr>
              <w:ind w:left="20"/>
              <w:spacing w:after="0"/>
              <w:rPr>
                <w:sz w:val="20"/>
                <w:szCs w:val="20"/>
                <w:color w:val="auto"/>
              </w:rPr>
            </w:pPr>
            <w:r>
              <w:rPr>
                <w:rFonts w:ascii="Arial" w:cs="Arial" w:eastAsia="Arial" w:hAnsi="Arial"/>
                <w:sz w:val="16"/>
                <w:szCs w:val="16"/>
                <w:color w:val="auto"/>
              </w:rPr>
              <w:t>- 699</w:t>
            </w: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22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9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03"/>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6"/>
                <w:szCs w:val="16"/>
                <w:b w:val="1"/>
                <w:bCs w:val="1"/>
                <w:color w:val="auto"/>
                <w:w w:val="91"/>
              </w:rPr>
              <w:t>Originated Vacation Ownership Notes Receivable - Welk</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0"/>
        </w:trPr>
        <w:tc>
          <w:tcPr>
            <w:tcW w:w="12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60" w:type="dxa"/>
            <w:vAlign w:val="bottom"/>
          </w:tcPr>
          <w:p>
            <w:pPr>
              <w:jc w:val="right"/>
              <w:ind w:right="53"/>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500"/>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293"/>
              <w:spacing w:after="0"/>
              <w:rPr>
                <w:sz w:val="20"/>
                <w:szCs w:val="20"/>
                <w:color w:val="auto"/>
              </w:rPr>
            </w:pPr>
            <w:r>
              <w:rPr>
                <w:rFonts w:ascii="Arial" w:cs="Arial" w:eastAsia="Arial" w:hAnsi="Arial"/>
                <w:sz w:val="16"/>
                <w:szCs w:val="16"/>
                <w:b w:val="1"/>
                <w:bCs w:val="1"/>
                <w:color w:val="auto"/>
                <w:w w:val="95"/>
              </w:rPr>
              <w:t>2018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2016 &amp; Prior</w:t>
            </w:r>
          </w:p>
        </w:tc>
        <w:tc>
          <w:tcPr>
            <w:tcW w:w="32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940" w:type="dxa"/>
            <w:vAlign w:val="bottom"/>
          </w:tcPr>
          <w:p>
            <w:pPr>
              <w:ind w:left="20"/>
              <w:spacing w:after="0"/>
              <w:rPr>
                <w:sz w:val="20"/>
                <w:szCs w:val="20"/>
                <w:color w:val="auto"/>
              </w:rPr>
            </w:pPr>
            <w:r>
              <w:rPr>
                <w:rFonts w:ascii="Arial" w:cs="Arial" w:eastAsia="Arial" w:hAnsi="Arial"/>
                <w:sz w:val="16"/>
                <w:szCs w:val="16"/>
                <w:color w:val="auto"/>
              </w:rPr>
              <w:t>- 699</w:t>
            </w: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22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9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0" w:hanging="394"/>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1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deposits included in Other assets, Accounts payable, Advance deposits and Accrued liabilities, all of which had fair values approximating their carrying amounts due to the short maturities and liquidity of these instruments.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7"/>
          </w:tcPr>
          <w:p>
            <w:pPr>
              <w:ind w:left="460"/>
              <w:spacing w:after="0"/>
              <w:rPr>
                <w:sz w:val="20"/>
                <w:szCs w:val="20"/>
                <w:color w:val="auto"/>
              </w:rPr>
            </w:pPr>
            <w:r>
              <w:rPr>
                <w:rFonts w:ascii="Arial" w:cs="Arial" w:eastAsia="Arial" w:hAnsi="Arial"/>
                <w:sz w:val="16"/>
                <w:szCs w:val="16"/>
                <w:b w:val="1"/>
                <w:bCs w:val="1"/>
                <w:color w:val="auto"/>
              </w:rPr>
              <w:t>At September 30, 2021</w:t>
            </w:r>
          </w:p>
        </w:tc>
        <w:tc>
          <w:tcPr>
            <w:tcW w:w="260" w:type="dxa"/>
            <w:vAlign w:val="bottom"/>
          </w:tcPr>
          <w:p>
            <w:pPr>
              <w:spacing w:after="0"/>
              <w:rPr>
                <w:sz w:val="18"/>
                <w:szCs w:val="18"/>
                <w:color w:val="auto"/>
              </w:rPr>
            </w:pPr>
          </w:p>
        </w:tc>
        <w:tc>
          <w:tcPr>
            <w:tcW w:w="276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At December 31, 2020</w:t>
            </w:r>
          </w:p>
        </w:tc>
        <w:tc>
          <w:tcPr>
            <w:tcW w:w="0" w:type="dxa"/>
            <w:vAlign w:val="bottom"/>
          </w:tcPr>
          <w:p>
            <w:pPr>
              <w:spacing w:after="0"/>
              <w:rPr>
                <w:sz w:val="1"/>
                <w:szCs w:val="1"/>
                <w:color w:val="auto"/>
              </w:rPr>
            </w:pPr>
          </w:p>
        </w:tc>
      </w:tr>
      <w:tr>
        <w:trPr>
          <w:trHeight w:val="158"/>
        </w:trPr>
        <w:tc>
          <w:tcPr>
            <w:tcW w:w="4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Carrying</w:t>
            </w: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32"/>
              <w:spacing w:after="0" w:line="158" w:lineRule="exact"/>
              <w:rPr>
                <w:sz w:val="20"/>
                <w:szCs w:val="20"/>
                <w:color w:val="auto"/>
              </w:rPr>
            </w:pPr>
            <w:r>
              <w:rPr>
                <w:rFonts w:ascii="Arial" w:cs="Arial" w:eastAsia="Arial" w:hAnsi="Arial"/>
                <w:sz w:val="16"/>
                <w:szCs w:val="16"/>
                <w:b w:val="1"/>
                <w:bCs w:val="1"/>
                <w:color w:val="auto"/>
                <w:w w:val="95"/>
              </w:rPr>
              <w:t>Fair</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w w:val="97"/>
              </w:rPr>
              <w:t>Carrying</w:t>
            </w: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232"/>
              <w:spacing w:after="0" w:line="158"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18"/>
                <w:szCs w:val="18"/>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Value</w:t>
            </w:r>
          </w:p>
        </w:tc>
        <w:tc>
          <w:tcPr>
            <w:tcW w:w="2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2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financial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Securitized debt,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2025</w:t>
            </w:r>
          </w:p>
        </w:tc>
        <w:tc>
          <w:tcPr>
            <w:tcW w:w="4700" w:type="dxa"/>
            <w:vAlign w:val="bottom"/>
          </w:tcPr>
          <w:p>
            <w:pPr>
              <w:ind w:left="40"/>
              <w:spacing w:after="0"/>
              <w:rPr>
                <w:sz w:val="20"/>
                <w:szCs w:val="20"/>
                <w:color w:val="auto"/>
              </w:rPr>
            </w:pPr>
            <w:r>
              <w:rPr>
                <w:rFonts w:ascii="Arial" w:cs="Arial" w:eastAsia="Arial" w:hAnsi="Arial"/>
                <w:sz w:val="18"/>
                <w:szCs w:val="18"/>
                <w:color w:val="auto"/>
              </w:rPr>
              <w:t>Notes,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2026</w:t>
            </w:r>
          </w:p>
        </w:tc>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2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2028</w:t>
            </w:r>
          </w:p>
        </w:tc>
        <w:tc>
          <w:tcPr>
            <w:tcW w:w="4700" w:type="dxa"/>
            <w:vAlign w:val="bottom"/>
          </w:tcPr>
          <w:p>
            <w:pPr>
              <w:ind w:left="40"/>
              <w:spacing w:after="0"/>
              <w:rPr>
                <w:sz w:val="20"/>
                <w:szCs w:val="20"/>
                <w:color w:val="auto"/>
              </w:rPr>
            </w:pPr>
            <w:r>
              <w:rPr>
                <w:rFonts w:ascii="Arial" w:cs="Arial" w:eastAsia="Arial" w:hAnsi="Arial"/>
                <w:sz w:val="18"/>
                <w:szCs w:val="18"/>
                <w:color w:val="auto"/>
              </w:rPr>
              <w:t>Notes,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2029</w:t>
            </w:r>
          </w:p>
        </w:tc>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Term Loan,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2022</w:t>
            </w:r>
          </w:p>
        </w:tc>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Notes,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2026</w:t>
            </w:r>
          </w:p>
        </w:tc>
        <w:tc>
          <w:tcPr>
            <w:tcW w:w="470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financial liabilities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Vacation Ownership Notes Receivable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1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7"/>
          </w:tcPr>
          <w:p>
            <w:pPr>
              <w:ind w:left="460"/>
              <w:spacing w:after="0"/>
              <w:rPr>
                <w:sz w:val="20"/>
                <w:szCs w:val="20"/>
                <w:color w:val="auto"/>
              </w:rPr>
            </w:pPr>
            <w:r>
              <w:rPr>
                <w:rFonts w:ascii="Arial" w:cs="Arial" w:eastAsia="Arial" w:hAnsi="Arial"/>
                <w:sz w:val="16"/>
                <w:szCs w:val="16"/>
                <w:b w:val="1"/>
                <w:bCs w:val="1"/>
                <w:color w:val="auto"/>
              </w:rPr>
              <w:t>At September 30, 2021</w:t>
            </w:r>
          </w:p>
        </w:tc>
        <w:tc>
          <w:tcPr>
            <w:tcW w:w="260" w:type="dxa"/>
            <w:vAlign w:val="bottom"/>
          </w:tcPr>
          <w:p>
            <w:pPr>
              <w:spacing w:after="0"/>
              <w:rPr>
                <w:sz w:val="20"/>
                <w:szCs w:val="20"/>
                <w:color w:val="auto"/>
              </w:rPr>
            </w:pPr>
          </w:p>
        </w:tc>
        <w:tc>
          <w:tcPr>
            <w:tcW w:w="276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At December 31, 2020</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Carrying</w:t>
            </w: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12"/>
              <w:spacing w:after="0" w:line="158" w:lineRule="exact"/>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w w:val="97"/>
              </w:rPr>
              <w:t>Carrying</w:t>
            </w: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232"/>
              <w:spacing w:after="0" w:line="158"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5"/>
              </w:rPr>
              <w:t>Amount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Value</w:t>
            </w:r>
          </w:p>
        </w:tc>
        <w:tc>
          <w:tcPr>
            <w:tcW w:w="2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2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2"/>
        </w:trPr>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220"/>
              <w:spacing w:after="0"/>
              <w:rPr>
                <w:sz w:val="20"/>
                <w:szCs w:val="20"/>
                <w:color w:val="auto"/>
              </w:rPr>
            </w:pPr>
            <w:r>
              <w:rPr>
                <w:rFonts w:ascii="Arial" w:cs="Arial" w:eastAsia="Arial" w:hAnsi="Arial"/>
                <w:sz w:val="18"/>
                <w:szCs w:val="18"/>
                <w:color w:val="auto"/>
              </w:rPr>
              <w:t>Securitized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70"/>
        </w:trPr>
        <w:tc>
          <w:tcPr>
            <w:tcW w:w="400" w:type="dxa"/>
            <w:vAlign w:val="bottom"/>
            <w:shd w:val="clear" w:color="auto" w:fill="CCEEFF"/>
          </w:tcPr>
          <w:p>
            <w:pPr>
              <w:spacing w:after="0"/>
              <w:rPr>
                <w:sz w:val="23"/>
                <w:szCs w:val="23"/>
                <w:color w:val="auto"/>
              </w:rPr>
            </w:pPr>
          </w:p>
        </w:tc>
        <w:tc>
          <w:tcPr>
            <w:tcW w:w="4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Eligible for securitization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spacing w:after="0"/>
              <w:rPr>
                <w:sz w:val="19"/>
                <w:szCs w:val="19"/>
                <w:color w:val="auto"/>
              </w:rPr>
            </w:pPr>
          </w:p>
        </w:tc>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 eligible for securitization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Non-securitized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8"/>
        </w:trPr>
        <w:tc>
          <w:tcPr>
            <w:tcW w:w="40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4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Other assets include $70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Securitized Debt</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estimate the fair value of our 2025 Notes, 2026 Notes, 2028 Notes, and 2029 Notes (each as defined in Footnote 13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17"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We estimate the fair value of our Term Loan (as defined in Footnote 13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estimate the fair value of our 2022 Convertible Notes and 2026 Convertible Notes (each as defined in Footnote 13 “Debt” and referred to collectively as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convertible notes.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0" w:hanging="394"/>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Basic earnings or loss per common share attributable to common shareholders is calculated by dividing net income or loss attributable to common shareholders by the weighted average number of shares of common stock outstanding during the reporting period. Treasury stock is excluded from the weighted average number of shares of common stock outstanding. Diluted earnings or loss per common share attributable to common shareholders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or loss per common share applicable to common shareholders by application of the treasury stock method using average market prices during the period.</w:t>
      </w:r>
    </w:p>
    <w:p>
      <w:pPr>
        <w:spacing w:after="0" w:line="6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calculation of diluted earnings or loss per share attributable to common shareholders reflects our intent to settle conversions of our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based upon an average price per share for the quarter.</w:t>
      </w:r>
    </w:p>
    <w:p>
      <w:pPr>
        <w:spacing w:after="0" w:line="80"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As of September 30, 2021, a conversion premium existed for our 2022 Convertible Notes (as defined in Footnote 13 “Debt”). As no conversion premium existed as of September 30, 2020, there was no potential dilutive impact from our 2022 Convertible Notes for the third quarter or first three quarters of 2020. Additionally, as no conversion premium existed for our 2026 Convertible Notes (as defined in Footnote 13 “Debt”) as of September 30, 2021, there was no potential dilutive impact from our 2026 Convertible Notes for the third quarter or first three quarters of 2021.</w:t>
      </w:r>
    </w:p>
    <w:p>
      <w:pPr>
        <w:spacing w:after="0" w:line="63"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The shares issuable on exercise of the warrants sold in connection with the issuance of our convertible notes will not impact the total dilutive weighted average shares outstanding unless and until the price of our common stock exceeds the respective strike price. If and when the price of our common stock exceeds the respective strike price of either of the warrants, we will include the dilutive effect of the additional shares that may be issued upon exercise of the warrants in total dilutive weighted average shares outstanding, which we calculate using the treasury stock method. The convertible note hedges purchased in connection with each issuance of convertible notes are considered to be anti-dilutive and do not impact our calculation of diluted earnings per share attributable to common shareholders for any periods presented herein. See Footnote 13 “Debt” for further information on our convertible notes.</w:t>
      </w:r>
    </w:p>
    <w:p>
      <w:pPr>
        <w:spacing w:after="0" w:line="60" w:lineRule="exact"/>
        <w:rPr>
          <w:sz w:val="20"/>
          <w:szCs w:val="20"/>
          <w:color w:val="auto"/>
        </w:rPr>
      </w:pPr>
    </w:p>
    <w:p>
      <w:pPr>
        <w:ind w:right="100" w:firstLine="648"/>
        <w:spacing w:after="0" w:line="274" w:lineRule="auto"/>
        <w:rPr>
          <w:sz w:val="20"/>
          <w:szCs w:val="20"/>
          <w:color w:val="auto"/>
        </w:rPr>
      </w:pPr>
      <w:r>
        <w:rPr>
          <w:rFonts w:ascii="Arial" w:cs="Arial" w:eastAsia="Arial" w:hAnsi="Arial"/>
          <w:sz w:val="18"/>
          <w:szCs w:val="18"/>
          <w:color w:val="auto"/>
        </w:rPr>
        <w:t>The table below illustrates the reconciliation of the earnings and number of shares used in our calculation of basic and diluted earnings or loss per share attributable to common shareholders.</w:t>
      </w: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Borders>
              <w:bottom w:val="single" w:sz="8" w:color="auto"/>
            </w:tcBorders>
          </w:tcPr>
          <w:p>
            <w:pPr>
              <w:spacing w:after="0"/>
              <w:rPr>
                <w:sz w:val="18"/>
                <w:szCs w:val="18"/>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September 30, 2021</w:t>
            </w:r>
            <w:r>
              <w:rPr>
                <w:rFonts w:ascii="Arial" w:cs="Arial" w:eastAsia="Arial" w:hAnsi="Arial"/>
                <w:sz w:val="9"/>
                <w:szCs w:val="9"/>
                <w:b w:val="1"/>
                <w:bCs w:val="1"/>
                <w:color w:val="auto"/>
                <w:w w:val="99"/>
              </w:rPr>
              <w:t>(1)</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30, 2020</w:t>
            </w:r>
          </w:p>
        </w:tc>
        <w:tc>
          <w:tcPr>
            <w:tcW w:w="12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6"/>
              </w:rPr>
              <w:t>September 30, 2020</w:t>
            </w:r>
          </w:p>
        </w:tc>
      </w:tr>
      <w:tr>
        <w:trPr>
          <w:trHeight w:val="19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0"/>
              </w:rPr>
              <w:t>Computation of Basic Earnings (Loss) Per Share Attributable to</w:t>
            </w:r>
          </w:p>
        </w:tc>
        <w:tc>
          <w:tcPr>
            <w:tcW w:w="154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7"/>
                <w:szCs w:val="17"/>
                <w:b w:val="1"/>
                <w:bCs w:val="1"/>
                <w:color w:val="auto"/>
                <w:w w:val="78"/>
              </w:rPr>
              <w:t>Common Shareholders</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Net income (loss) attributable to common shareholders</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80" w:type="dxa"/>
            <w:vAlign w:val="bottom"/>
          </w:tcPr>
          <w:p>
            <w:pPr>
              <w:jc w:val="right"/>
              <w:ind w:right="69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for basic earnings (loss) per share</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23"/>
        </w:trPr>
        <w:tc>
          <w:tcPr>
            <w:tcW w:w="4700" w:type="dxa"/>
            <w:vAlign w:val="bottom"/>
          </w:tcPr>
          <w:p>
            <w:pPr>
              <w:ind w:left="220"/>
              <w:spacing w:after="0"/>
              <w:rPr>
                <w:sz w:val="20"/>
                <w:szCs w:val="20"/>
                <w:color w:val="auto"/>
              </w:rPr>
            </w:pPr>
            <w:r>
              <w:rPr>
                <w:rFonts w:ascii="Arial" w:cs="Arial" w:eastAsia="Arial" w:hAnsi="Arial"/>
                <w:sz w:val="18"/>
                <w:szCs w:val="18"/>
                <w:color w:val="auto"/>
              </w:rPr>
              <w:t>Basic earnings (loss) per share</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3"/>
        </w:trPr>
        <w:tc>
          <w:tcPr>
            <w:tcW w:w="47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w w:val="92"/>
              </w:rPr>
              <w:t>Computation of Diluted Earnings (Loss) Per Share Attributable</w:t>
            </w:r>
          </w:p>
        </w:tc>
        <w:tc>
          <w:tcPr>
            <w:tcW w:w="1660" w:type="dxa"/>
            <w:vAlign w:val="bottom"/>
            <w:gridSpan w:val="3"/>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w w:val="77"/>
              </w:rPr>
              <w:t>to Common Shareholders</w:t>
            </w: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29"/>
        </w:trPr>
        <w:tc>
          <w:tcPr>
            <w:tcW w:w="4700" w:type="dxa"/>
            <w:vAlign w:val="bottom"/>
          </w:tcPr>
          <w:p>
            <w:pPr>
              <w:ind w:left="220"/>
              <w:spacing w:after="0"/>
              <w:rPr>
                <w:sz w:val="20"/>
                <w:szCs w:val="20"/>
                <w:color w:val="auto"/>
              </w:rPr>
            </w:pPr>
            <w:r>
              <w:rPr>
                <w:rFonts w:ascii="Arial" w:cs="Arial" w:eastAsia="Arial" w:hAnsi="Arial"/>
                <w:sz w:val="18"/>
                <w:szCs w:val="18"/>
                <w:color w:val="auto"/>
              </w:rPr>
              <w:t>Net income (loss) attributable to common shareholders</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80" w:type="dxa"/>
            <w:vAlign w:val="bottom"/>
          </w:tcPr>
          <w:p>
            <w:pPr>
              <w:jc w:val="right"/>
              <w:ind w:right="69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for basic earnings (loss) per share</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 xml:space="preserve">Effect of dilutive shares outstanding </w:t>
            </w:r>
            <w:r>
              <w:rPr>
                <w:rFonts w:ascii="Arial" w:cs="Arial" w:eastAsia="Arial" w:hAnsi="Arial"/>
                <w:sz w:val="9"/>
                <w:szCs w:val="9"/>
                <w:color w:val="auto"/>
              </w:rPr>
              <w:t>(2)</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Employee stock options and SARs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ind w:left="480"/>
              <w:spacing w:after="0"/>
              <w:rPr>
                <w:sz w:val="20"/>
                <w:szCs w:val="20"/>
                <w:color w:val="auto"/>
              </w:rPr>
            </w:pPr>
            <w:r>
              <w:rPr>
                <w:rFonts w:ascii="Arial" w:cs="Arial" w:eastAsia="Arial" w:hAnsi="Arial"/>
                <w:sz w:val="18"/>
                <w:szCs w:val="18"/>
                <w:color w:val="auto"/>
              </w:rPr>
              <w:t>Restricted stock units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2022 Convertible Notes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for diluted earnings (loss) per share</w:t>
            </w:r>
          </w:p>
        </w:tc>
        <w:tc>
          <w:tcPr>
            <w:tcW w:w="5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r>
      <w:tr>
        <w:trPr>
          <w:trHeight w:val="248"/>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 earnings (loss) per share</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right="120" w:hanging="652"/>
        <w:spacing w:after="0" w:line="269" w:lineRule="auto"/>
        <w:tabs>
          <w:tab w:leader="none" w:pos="64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The computation of diluted earnings per share attributable to common shareholders excludes approximately 298,000 shares of common stock, the maximum number of shares issuable as of September 30, 2021, upon the vesting of certain performance-based awards because the performance condition required to be met for the shares subject to such awards to vest were not achieved by the end of the reporting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140" w:hanging="652"/>
        <w:spacing w:after="0" w:line="234" w:lineRule="auto"/>
        <w:tabs>
          <w:tab w:leader="none" w:pos="64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For the first three quarters of 2021 and the third quarter and the first three quarters of 2020, the following potentially dilutive securities were excluded from the above calculation of diluted net loss per share attributable to common shareholders during the periods presented, as the effects of including these securities would have been anti-dilutive.</w:t>
      </w:r>
    </w:p>
    <w:p>
      <w:pPr>
        <w:spacing w:after="0" w:line="6"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Three Months</w:t>
            </w:r>
          </w:p>
        </w:tc>
        <w:tc>
          <w:tcPr>
            <w:tcW w:w="3020" w:type="dxa"/>
            <w:vAlign w:val="bottom"/>
            <w:gridSpan w:val="3"/>
            <w:vMerge w:val="restart"/>
          </w:tcPr>
          <w:p>
            <w:pPr>
              <w:jc w:val="right"/>
              <w:ind w:right="73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Ended</w:t>
            </w:r>
          </w:p>
        </w:tc>
        <w:tc>
          <w:tcPr>
            <w:tcW w:w="30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September 30, 2020</w:t>
            </w:r>
          </w:p>
        </w:tc>
        <w:tc>
          <w:tcPr>
            <w:tcW w:w="100" w:type="dxa"/>
            <w:vAlign w:val="bottom"/>
          </w:tcPr>
          <w:p>
            <w:pPr>
              <w:spacing w:after="0"/>
              <w:rPr>
                <w:sz w:val="18"/>
                <w:szCs w:val="18"/>
                <w:color w:val="auto"/>
              </w:rPr>
            </w:pPr>
          </w:p>
        </w:tc>
        <w:tc>
          <w:tcPr>
            <w:tcW w:w="156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September 30, 2021</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September 30, 2020</w:t>
            </w:r>
          </w:p>
        </w:tc>
        <w:tc>
          <w:tcPr>
            <w:tcW w:w="0" w:type="dxa"/>
            <w:vAlign w:val="bottom"/>
          </w:tcPr>
          <w:p>
            <w:pPr>
              <w:spacing w:after="0"/>
              <w:rPr>
                <w:sz w:val="1"/>
                <w:szCs w:val="1"/>
                <w:color w:val="auto"/>
              </w:rPr>
            </w:pPr>
          </w:p>
        </w:tc>
      </w:tr>
      <w:tr>
        <w:trPr>
          <w:trHeight w:val="22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options and SARs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4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Convertible Notes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accordance with the applicable accounting guidance for calculating earnings per share, for the third quarter of 2021, we excluded from our calculation of diluted earnings per share 127,008 shares underlying stock appreciation rights (“SARs”) that may settle in shares of common stock because the exercise price of $173.88 of such SARs was greater than the average market price for the applicable period.</w:t>
      </w:r>
    </w:p>
    <w:p>
      <w:pPr>
        <w:spacing w:after="0" w:line="242"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b w:val="1"/>
          <w:bCs w:val="1"/>
          <w:color w:val="auto"/>
        </w:rPr>
        <w:t>9.</w:t>
        <w:tab/>
        <w:t>INVENTORY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8"/>
                <w:szCs w:val="18"/>
                <w:color w:val="auto"/>
              </w:rPr>
            </w:pPr>
          </w:p>
        </w:tc>
        <w:tc>
          <w:tcPr>
            <w:tcW w:w="212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September 30, 2021</w:t>
            </w:r>
          </w:p>
        </w:tc>
        <w:tc>
          <w:tcPr>
            <w:tcW w:w="220" w:type="dxa"/>
            <w:vAlign w:val="bottom"/>
          </w:tcPr>
          <w:p>
            <w:pPr>
              <w:spacing w:after="0"/>
              <w:rPr>
                <w:sz w:val="18"/>
                <w:szCs w:val="18"/>
                <w:color w:val="auto"/>
              </w:rPr>
            </w:pPr>
          </w:p>
        </w:tc>
        <w:tc>
          <w:tcPr>
            <w:tcW w:w="2000" w:type="dxa"/>
            <w:vAlign w:val="bottom"/>
          </w:tcPr>
          <w:p>
            <w:pPr>
              <w:jc w:val="right"/>
              <w:ind w:right="272"/>
              <w:spacing w:after="0"/>
              <w:rPr>
                <w:sz w:val="20"/>
                <w:szCs w:val="20"/>
                <w:color w:val="auto"/>
              </w:rPr>
            </w:pPr>
            <w:r>
              <w:rPr>
                <w:rFonts w:ascii="Arial" w:cs="Arial" w:eastAsia="Arial" w:hAnsi="Arial"/>
                <w:sz w:val="16"/>
                <w:szCs w:val="16"/>
                <w:b w:val="1"/>
                <w:bCs w:val="1"/>
                <w:color w:val="auto"/>
                <w:w w:val="97"/>
              </w:rPr>
              <w:t>At December 31, 2020</w:t>
            </w:r>
          </w:p>
        </w:tc>
      </w:tr>
      <w:tr>
        <w:trPr>
          <w:trHeight w:val="226"/>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inventory</w:t>
            </w:r>
            <w:r>
              <w:rPr>
                <w:rFonts w:ascii="Arial" w:cs="Arial" w:eastAsia="Arial" w:hAnsi="Arial"/>
                <w:sz w:val="9"/>
                <w:szCs w:val="9"/>
                <w:color w:val="auto"/>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6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600" w:hanging="652"/>
        <w:spacing w:after="0" w:line="227" w:lineRule="auto"/>
        <w:tabs>
          <w:tab w:leader="none" w:pos="64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completed inventory that is registered for sale as vacation ownership interests and vacation ownership inventory expected to be reacquired pursuant to estimated future foreclosures.</w:t>
      </w:r>
    </w:p>
    <w:p>
      <w:pPr>
        <w:spacing w:after="0" w:line="94"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value vacation ownership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increased carrying values of inventory by $6 million during the first three quarters of 2021 and by $4 million during the first three quarters of 2020.</w:t>
      </w:r>
    </w:p>
    <w:p>
      <w:pPr>
        <w:spacing w:after="0" w:line="7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to the above, at September 30, 2021 and December 31, 2020, we had $465 million and $162 million, respectively, of completed vacation ownership units which are classified as a component of Property and equipment, net until the time at which they are legally registered for sale as vacation ownership products. We also have $24 million and $43 million of deposits on future purchases of inventory at September 30, 2021 and December 31, 2020, respectively, which are included in the Other assets line on our Balance Sheets.</w:t>
      </w:r>
    </w:p>
    <w:p>
      <w:pPr>
        <w:spacing w:after="0" w:line="264" w:lineRule="exact"/>
        <w:rPr>
          <w:sz w:val="20"/>
          <w:szCs w:val="20"/>
          <w:color w:val="auto"/>
        </w:rPr>
      </w:pPr>
    </w:p>
    <w:p>
      <w:pPr>
        <w:ind w:left="500" w:hanging="474"/>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auto"/>
        </w:rPr>
        <w:t>The following table details the carrying amount of our goodwill at September 30, 2021 and December 31, 2020, and reflects goodwill attributed to the ILG Acquisition and the Welk Acquisition.</w:t>
      </w:r>
    </w:p>
    <w:tbl>
      <w:tblPr>
        <w:tblLayout w:type="fixed"/>
        <w:tblInd w:w="0" w:type="dxa"/>
        <w:tblCellMar>
          <w:top w:w="0" w:type="dxa"/>
          <w:left w:w="0" w:type="dxa"/>
          <w:bottom w:w="0" w:type="dxa"/>
          <w:right w:w="0" w:type="dxa"/>
        </w:tblCellMar>
      </w:tblPr>
      <w:tr>
        <w:trPr>
          <w:trHeight w:val="163"/>
        </w:trPr>
        <w:tc>
          <w:tcPr>
            <w:tcW w:w="4360" w:type="dxa"/>
            <w:vAlign w:val="bottom"/>
          </w:tcPr>
          <w:p>
            <w:pPr>
              <w:spacing w:after="0"/>
              <w:rPr>
                <w:sz w:val="14"/>
                <w:szCs w:val="14"/>
                <w:color w:val="auto"/>
              </w:rPr>
            </w:pPr>
          </w:p>
        </w:tc>
        <w:tc>
          <w:tcPr>
            <w:tcW w:w="2340" w:type="dxa"/>
            <w:vAlign w:val="bottom"/>
            <w:gridSpan w:val="3"/>
          </w:tcPr>
          <w:p>
            <w:pPr>
              <w:ind w:left="40"/>
              <w:spacing w:after="0" w:line="163" w:lineRule="exact"/>
              <w:rPr>
                <w:sz w:val="20"/>
                <w:szCs w:val="20"/>
                <w:color w:val="auto"/>
              </w:rPr>
            </w:pPr>
            <w:r>
              <w:rPr>
                <w:rFonts w:ascii="Arial" w:cs="Arial" w:eastAsia="Arial" w:hAnsi="Arial"/>
                <w:sz w:val="16"/>
                <w:szCs w:val="16"/>
                <w:b w:val="1"/>
                <w:bCs w:val="1"/>
                <w:color w:val="auto"/>
                <w:w w:val="97"/>
              </w:rPr>
              <w:t>Vacation Ownership Reporting</w:t>
            </w:r>
          </w:p>
        </w:tc>
        <w:tc>
          <w:tcPr>
            <w:tcW w:w="100" w:type="dxa"/>
            <w:vAlign w:val="bottom"/>
          </w:tcPr>
          <w:p>
            <w:pPr>
              <w:spacing w:after="0"/>
              <w:rPr>
                <w:sz w:val="14"/>
                <w:szCs w:val="14"/>
                <w:color w:val="auto"/>
              </w:rPr>
            </w:pPr>
          </w:p>
        </w:tc>
        <w:tc>
          <w:tcPr>
            <w:tcW w:w="2220" w:type="dxa"/>
            <w:vAlign w:val="bottom"/>
            <w:gridSpan w:val="2"/>
          </w:tcPr>
          <w:p>
            <w:pPr>
              <w:jc w:val="center"/>
              <w:ind w:right="240"/>
              <w:spacing w:after="0" w:line="163" w:lineRule="exact"/>
              <w:rPr>
                <w:sz w:val="20"/>
                <w:szCs w:val="20"/>
                <w:color w:val="auto"/>
              </w:rPr>
            </w:pPr>
            <w:r>
              <w:rPr>
                <w:rFonts w:ascii="Arial" w:cs="Arial" w:eastAsia="Arial" w:hAnsi="Arial"/>
                <w:sz w:val="16"/>
                <w:szCs w:val="16"/>
                <w:b w:val="1"/>
                <w:bCs w:val="1"/>
                <w:color w:val="auto"/>
                <w:w w:val="95"/>
              </w:rPr>
              <w:t>Exchange &amp; Third-Party</w:t>
            </w:r>
          </w:p>
        </w:tc>
        <w:tc>
          <w:tcPr>
            <w:tcW w:w="280" w:type="dxa"/>
            <w:vAlign w:val="bottom"/>
          </w:tcPr>
          <w:p>
            <w:pPr>
              <w:spacing w:after="0"/>
              <w:rPr>
                <w:sz w:val="14"/>
                <w:szCs w:val="14"/>
                <w:color w:val="auto"/>
              </w:rPr>
            </w:pPr>
          </w:p>
        </w:tc>
        <w:tc>
          <w:tcPr>
            <w:tcW w:w="194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Total Consolidated</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540" w:type="dxa"/>
            <w:vAlign w:val="bottom"/>
          </w:tcPr>
          <w:p>
            <w:pPr>
              <w:spacing w:after="0"/>
              <w:rPr>
                <w:sz w:val="18"/>
                <w:szCs w:val="18"/>
                <w:color w:val="auto"/>
              </w:rPr>
            </w:pPr>
          </w:p>
        </w:tc>
        <w:tc>
          <w:tcPr>
            <w:tcW w:w="1800" w:type="dxa"/>
            <w:vAlign w:val="bottom"/>
            <w:gridSpan w:val="2"/>
          </w:tcPr>
          <w:p>
            <w:pPr>
              <w:ind w:left="420"/>
              <w:spacing w:after="0"/>
              <w:rPr>
                <w:sz w:val="20"/>
                <w:szCs w:val="20"/>
                <w:color w:val="auto"/>
              </w:rPr>
            </w:pPr>
            <w:r>
              <w:rPr>
                <w:rFonts w:ascii="Arial" w:cs="Arial" w:eastAsia="Arial" w:hAnsi="Arial"/>
                <w:sz w:val="16"/>
                <w:szCs w:val="16"/>
                <w:b w:val="1"/>
                <w:bCs w:val="1"/>
                <w:color w:val="auto"/>
              </w:rPr>
              <w:t>Unit</w:t>
            </w:r>
          </w:p>
        </w:tc>
        <w:tc>
          <w:tcPr>
            <w:tcW w:w="100" w:type="dxa"/>
            <w:vAlign w:val="bottom"/>
          </w:tcPr>
          <w:p>
            <w:pPr>
              <w:spacing w:after="0"/>
              <w:rPr>
                <w:sz w:val="18"/>
                <w:szCs w:val="18"/>
                <w:color w:val="auto"/>
              </w:rPr>
            </w:pPr>
          </w:p>
        </w:tc>
        <w:tc>
          <w:tcPr>
            <w:tcW w:w="2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Management Reporting Unit</w:t>
            </w:r>
          </w:p>
        </w:tc>
        <w:tc>
          <w:tcPr>
            <w:tcW w:w="28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Welk Acquisition</w:t>
            </w: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54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Arial" w:cs="Arial" w:eastAsia="Arial" w:hAnsi="Arial"/>
                <w:sz w:val="18"/>
                <w:szCs w:val="18"/>
                <w:color w:val="auto"/>
              </w:rPr>
              <w:t>Measurement period adjustments</w:t>
            </w: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80" w:type="dxa"/>
            <w:vAlign w:val="bottom"/>
          </w:tcPr>
          <w:p>
            <w:pPr>
              <w:jc w:val="right"/>
              <w:ind w:right="77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Q1 2021, Q2 2021, and Q3 2021</w:t>
      </w:r>
    </w:p>
    <w:p>
      <w:pPr>
        <w:spacing w:after="0" w:line="11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periodically monitor for indicators of impairment of our goodwill and none were identified during the third quarter or first three quarters of 2021. While the goodwill of our reporting units was not impaired during the first three quarters of 2021, we cannot assure you that our goodwill will not be impaired in future periods.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Q1 2020</w:t>
      </w:r>
    </w:p>
    <w:p>
      <w:pPr>
        <w:spacing w:after="0" w:line="117"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We recognized a non-cash impairment charge of $73 million in the Impairment line on our Income Statement during the first quarter of 2020 related to the Exchange &amp; Third-Party Management reporting unit, which was primarily driven by the change in expected future operating results as a result of the impact of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composition of our intangible asset balances: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212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September 30, 2021</w:t>
            </w:r>
          </w:p>
        </w:tc>
        <w:tc>
          <w:tcPr>
            <w:tcW w:w="220" w:type="dxa"/>
            <w:vAlign w:val="bottom"/>
          </w:tcPr>
          <w:p>
            <w:pPr>
              <w:spacing w:after="0"/>
              <w:rPr>
                <w:sz w:val="18"/>
                <w:szCs w:val="18"/>
                <w:color w:val="auto"/>
              </w:rPr>
            </w:pPr>
          </w:p>
        </w:tc>
        <w:tc>
          <w:tcPr>
            <w:tcW w:w="200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At December 31, 2020</w:t>
            </w:r>
          </w:p>
        </w:tc>
      </w:tr>
      <w:tr>
        <w:trPr>
          <w:trHeight w:val="21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20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r>
      <w:tr>
        <w:trPr>
          <w:trHeight w:val="229"/>
        </w:trPr>
        <w:tc>
          <w:tcPr>
            <w:tcW w:w="6700" w:type="dxa"/>
            <w:vAlign w:val="bottom"/>
          </w:tcPr>
          <w:p>
            <w:pPr>
              <w:ind w:left="240"/>
              <w:spacing w:after="0"/>
              <w:rPr>
                <w:sz w:val="20"/>
                <w:szCs w:val="20"/>
                <w:color w:val="auto"/>
              </w:rPr>
            </w:pPr>
            <w:r>
              <w:rPr>
                <w:rFonts w:ascii="Arial" w:cs="Arial" w:eastAsia="Arial" w:hAnsi="Arial"/>
                <w:sz w:val="18"/>
                <w:szCs w:val="18"/>
                <w:color w:val="auto"/>
              </w:rPr>
              <w:t>Member relationships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Management contracts</w:t>
            </w:r>
          </w:p>
        </w:tc>
        <w:tc>
          <w:tcPr>
            <w:tcW w:w="2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23"/>
        </w:trPr>
        <w:tc>
          <w:tcPr>
            <w:tcW w:w="6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6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9"/>
        </w:trPr>
        <w:tc>
          <w:tcPr>
            <w:tcW w:w="6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48"/>
        </w:trPr>
        <w:tc>
          <w:tcPr>
            <w:tcW w:w="6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Q1 2020</w:t>
      </w:r>
    </w:p>
    <w:p>
      <w:pPr>
        <w:spacing w:after="0" w:line="117"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We recognized a non-cash impairment charge of $18 million in the Impairment line on our Income Statement during the first quarter of 2020 related to the indefinite-lived intangible assets in our Exchange &amp; Third-Party Management segment, which was primarily attributed to the decline in estimated near-term revenues and related recovery of long-term revenues as a result of the impact of the COVID-19 pandemic.</w:t>
      </w:r>
    </w:p>
    <w:p>
      <w:pPr>
        <w:spacing w:after="0" w:line="134" w:lineRule="exact"/>
        <w:rPr>
          <w:sz w:val="20"/>
          <w:szCs w:val="20"/>
          <w:color w:val="auto"/>
        </w:rPr>
      </w:pPr>
    </w:p>
    <w:p>
      <w:pPr>
        <w:ind w:left="500" w:hanging="474"/>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we had the following commitments outstanding:</w:t>
      </w:r>
    </w:p>
    <w:p>
      <w:pPr>
        <w:spacing w:after="0" w:line="117" w:lineRule="exact"/>
        <w:rPr>
          <w:sz w:val="20"/>
          <w:szCs w:val="20"/>
          <w:color w:val="auto"/>
        </w:rPr>
      </w:pPr>
    </w:p>
    <w:p>
      <w:pPr>
        <w:ind w:left="980" w:right="360" w:hanging="324"/>
        <w:spacing w:after="0" w:line="311" w:lineRule="auto"/>
        <w:tabs>
          <w:tab w:leader="none" w:pos="9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various contracts for the use of information technology hardware and software that we use in the normal course of business. Our aggregate commitment under these contracts was $87 million, of which we expect $14 million, $40 million, $21 million, $6 million, $5 million and $1 million will be paid in the remainder of 2021, 2022, 2023, 2024, 2025, and thereafter, respectively.</w:t>
      </w:r>
    </w:p>
    <w:p>
      <w:pPr>
        <w:spacing w:after="0" w:line="40" w:lineRule="exact"/>
        <w:rPr>
          <w:rFonts w:ascii="Arial" w:cs="Arial" w:eastAsia="Arial" w:hAnsi="Arial"/>
          <w:sz w:val="16"/>
          <w:szCs w:val="16"/>
          <w:color w:val="auto"/>
        </w:rPr>
      </w:pPr>
    </w:p>
    <w:p>
      <w:pPr>
        <w:ind w:left="980" w:right="400" w:hanging="324"/>
        <w:spacing w:after="0" w:line="342" w:lineRule="auto"/>
        <w:tabs>
          <w:tab w:leader="none" w:pos="9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various commitments to acquire real estate for use in our Vacation Ownership segment via our involvement with VIEs. Refer to Footnote 16 “Variable Interest Entities” for additional information and our activities relating to the VIEs involved in these transactions.</w:t>
      </w:r>
    </w:p>
    <w:p>
      <w:pPr>
        <w:spacing w:after="0" w:line="15" w:lineRule="exact"/>
        <w:rPr>
          <w:rFonts w:ascii="Arial" w:cs="Arial" w:eastAsia="Arial" w:hAnsi="Arial"/>
          <w:sz w:val="16"/>
          <w:szCs w:val="16"/>
          <w:color w:val="auto"/>
        </w:rPr>
      </w:pPr>
    </w:p>
    <w:p>
      <w:pPr>
        <w:ind w:left="980" w:right="220" w:hanging="324"/>
        <w:spacing w:after="0" w:line="311" w:lineRule="auto"/>
        <w:tabs>
          <w:tab w:leader="none" w:pos="9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a remaining commitment to purchase 88 vacation ownership units located in Bali, Indonesia for use in our Vacation Ownership segment, contingent upon completion of construction to agreed-upon standards. We expect to complete the acquisition in 2022 and to make the remaining payments of $23 million in 2022 with respect to these units, when specific construction milestones are completed.</w:t>
      </w:r>
    </w:p>
    <w:p>
      <w:pPr>
        <w:spacing w:after="0" w:line="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Surety bonds issued as of September 30, 2021 totaled $123 million, the majority of which were requested by federal, state, or local governments in connection with our operations.</w:t>
      </w:r>
    </w:p>
    <w:p>
      <w:pPr>
        <w:spacing w:after="0" w:line="6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of September 30, 2021, we had $2 million of letters of credit outstanding under our Revolving Corporate Credit Facility (as defined in Footnote 13 “Debt”). In addition, as of September 30, 2021, we had $2 million in letters of credit outstanding related to and in lieu of reserves required for several vacation ownership notes receivable securitization transactions outstanding. These letters of credit are not issued pursuant to, nor do they impact our borrowing capacity under, the Revolving Corporate Credit Facility.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estimate the cash outflow associated with completing the phases of our existing portfolio of vacation ownership projects currently under development will be approximately $2 million, of which $1 million is included within liabilities on our Balance Sheet at September 30, 2021. This estimate is based on our current development plans, which remain subject to change, and we expect the phases currently under development will be completed in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Certain of our rental management agreements in our Exchange &amp; Third-Party Management segment provide for owners of properties we manage to receive specified percentages of rental revenue or guaranteed amounts generated under our management. In these cases, the operating expenses for the rental operations are paid from the revenue generated by the rentals, the owners are then paid their contractual percentages or guaranteed amounts, and our vacation rental business either retains the balance (if any) as its fee or makes up the deficit. At September 30, 2021, our maximum exposure under fixed dollar guarantees was $12 million, of which $1 million, $4 million, $2 million, $2 million, $1 million, and $2 million relate to the remainder of 2021, 2022, 2023, 2024, 2025, and thereafter, respectively.</w:t>
      </w:r>
    </w:p>
    <w:p>
      <w:pPr>
        <w:spacing w:after="0" w:line="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a commitment to a property owners’ association that we manage to pay for any shortfall between the actual expenses incurred by the property owners’ association and the income received by the property owners’ association. The agreement will terminate on the earlier of: 1) sale of 80% of the total ownership interests; or 2) upon our written notification of termination. At September 30, 2021, our expected commitment for the remainder of 2021 is $3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March 2017, RCHFU, L.L.C. and other owners at The Ritz-Carlton Club, Aspen Highlands (“RCC Aspen Highlands”) filed a complaint in an action pending in the U.S. District Court for the District of Colorado against us and certain third parties, alleging that their fractional interests were devalued by the affiliation of the RCC Aspen Highlands and other Ritz-Carlton Clubs with our points-based Marriott Vacation Club Destinations (“MVCD”) program. The plaintiffs sought compensatory damages, disgorgement, punitive damages, fees and costs. In September 2021, the District Court granted our motion for summary judgment and dismissed the case. In October 2021, the plaintiffs appealed the ruling. Subsequently, the parties have agreed in principle to the dismissal of plaintiffs’ appeal in exchange for a dismissal of our claim for attorneys’ fees and expenses.</w:t>
      </w:r>
    </w:p>
    <w:p>
      <w:pPr>
        <w:spacing w:after="0" w:line="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May 2016, a purported class-action lawsuit was filed in the U.S. District Court for the Middle District of Florida by Anthony and Beth Lennen against us and certain third parties. The complaint challenged the characterization of the beneficial interests in the MVCD trust that are sold to customers as real estate interests under Florida law, the structure of the trust, and associated operational aspects of the trust. The plaintiffs sought declaratory relief, an unwinding of the MVCD product, and punitive damages. In August 2019, the District Court granted our motion for judgment on the pleadings and dismissed the case. The plaintiffs have appealed the ruling.</w:t>
      </w:r>
    </w:p>
    <w:p>
      <w:pPr>
        <w:spacing w:after="0" w:line="80"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In February 2019, the owners’ association for the St. Regis Residence Club, New York, filed a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 manager of the club, tortiously interfered with the management agreement, was unjustly enriched, and engaged in anticompetitive conduct. The plaintiff is seeking unspecified damages, punitive damages and disgorgement of payments under the management and purchase agreements.</w:t>
      </w:r>
    </w:p>
    <w:p>
      <w:pPr>
        <w:spacing w:after="0" w:line="5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April 2019, a purported class-action lawsuit was filed by Alan and Marjorie Helman and others against us in the Superior Court of the Virgin Islands, Division of St. Thomas alleging that their fractional interests were devalued by the affiliation of The Ritz-Carlton Club, St. Thomas and other Ritz-Carlton Clubs with our MVCD program. The lawsuit was subsequently removed to the U.S. District Court for the District of the Virgin Islands. The plaintiffs are seeking unspecified damages, disgorgement of profits, fees and costs.</w:t>
      </w:r>
    </w:p>
    <w:p>
      <w:pPr>
        <w:spacing w:after="0" w:line="7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May 2019, the G.A. Resort Condominium Association Inc., the owners’ association for the fractional owners at the Hyatt Residence Club Grand Aspen resort (“HRC Grand Aspen”) filed a lawsuit against us in the District Court for the County of Pitkin, Colorado relating to the transfer of ownership of developer-owned fractional interests at HRC Grand Aspen to the HPC Trust Club for sale and use as a part of the Hyatt Residence Club Portfolio Program. The lawsuit was subsequently removed to the U.S. District Court for the District of Colorado. The plaintiff sought termination of the management agreement with the owners’ association, the annulment of certain amendments to governing documents at HRC Grand Aspen, the removal of fractional interests at HRC Grand Aspen from the HPC Trust Club, unspecified damages, disgorgement of profits, fees and costs. In November 2020, the District Court granted our motion to dismiss and dismissed the case. The plaintiffs have appealed the ruling.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meritorious defenses to the claims in each of the above matters and intend to vigorously defend each matter.</w:t>
      </w:r>
    </w:p>
    <w:p>
      <w:pPr>
        <w:spacing w:after="0" w:line="11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have not accrued for any of the pending matters described above and we cannot estimate a range of the potential liability associated with these pending matters, if any, at this time. We have accrued for other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are adequate and/or we have valid defenses to the claims asserted, unfavorable rulings could occur that could, individually or in the aggregate, have a material adverse effect on our business, financial condition, or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That Have Not Yet Commenced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first quarter of 2020, we entered into a finance lease arrangement for our new global headquarters in Orlando, Florida. The initial lease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term is approximately 16 years with total lease payments of $129 million for the aforementioned period. During 2020, in response to the COVID-19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pandemic and our ongoing evaluation of future space needs, we entered into a standstill arrangement with the developer/lessor, which expired in June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2021. During the second quarter of 2021, we amended our lease agreement with the developer/lessor and expect the new office building to be completed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2023. Upon commencement of the lease term, a right-of-use asset and corresponding liability will be recorded on our balance sheet.</w:t>
      </w:r>
    </w:p>
    <w:p>
      <w:pPr>
        <w:spacing w:after="0" w:line="288" w:lineRule="exact"/>
        <w:rPr>
          <w:sz w:val="20"/>
          <w:szCs w:val="20"/>
          <w:color w:val="auto"/>
        </w:rPr>
      </w:pPr>
    </w:p>
    <w:p>
      <w:pPr>
        <w:ind w:left="500" w:hanging="474"/>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SECURITIZED DEBT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securitized debt, net of unamortized debt discount and issuance costs.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8"/>
                <w:szCs w:val="18"/>
                <w:color w:val="auto"/>
              </w:rPr>
            </w:pPr>
          </w:p>
        </w:tc>
        <w:tc>
          <w:tcPr>
            <w:tcW w:w="212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September 30, 2021</w:t>
            </w:r>
          </w:p>
        </w:tc>
        <w:tc>
          <w:tcPr>
            <w:tcW w:w="220" w:type="dxa"/>
            <w:vAlign w:val="bottom"/>
          </w:tcPr>
          <w:p>
            <w:pPr>
              <w:spacing w:after="0"/>
              <w:rPr>
                <w:sz w:val="18"/>
                <w:szCs w:val="18"/>
                <w:color w:val="auto"/>
              </w:rPr>
            </w:pPr>
          </w:p>
        </w:tc>
        <w:tc>
          <w:tcPr>
            <w:tcW w:w="2000" w:type="dxa"/>
            <w:vAlign w:val="bottom"/>
          </w:tcPr>
          <w:p>
            <w:pPr>
              <w:jc w:val="right"/>
              <w:ind w:right="272"/>
              <w:spacing w:after="0"/>
              <w:rPr>
                <w:sz w:val="20"/>
                <w:szCs w:val="20"/>
                <w:color w:val="auto"/>
              </w:rPr>
            </w:pPr>
            <w:r>
              <w:rPr>
                <w:rFonts w:ascii="Arial" w:cs="Arial" w:eastAsia="Arial" w:hAnsi="Arial"/>
                <w:sz w:val="16"/>
                <w:szCs w:val="16"/>
                <w:b w:val="1"/>
                <w:bCs w:val="1"/>
                <w:color w:val="auto"/>
                <w:w w:val="97"/>
              </w:rPr>
              <w:t>At December 31, 2020</w:t>
            </w:r>
          </w:p>
        </w:tc>
      </w:tr>
      <w:tr>
        <w:trPr>
          <w:trHeight w:val="226"/>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9"/>
                <w:szCs w:val="9"/>
                <w:color w:val="auto"/>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6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9"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Interest rates as of September 30, 2021 range from 1.5% to 4.4%, with a weighted average interest rate of 2.5%</w:t>
      </w:r>
    </w:p>
    <w:p>
      <w:pPr>
        <w:spacing w:after="0" w:line="9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of our securitized debt is non-recourse to us. See Footnote 16 “Variable Interest Entities” for a discussion of the collateral for the non-recourse debt associated with our securitized debt.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securitized debt as of September 30,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tcPr>
          <w:p>
            <w:pPr>
              <w:jc w:val="right"/>
              <w:ind w:right="732"/>
              <w:spacing w:after="0"/>
              <w:rPr>
                <w:sz w:val="20"/>
                <w:szCs w:val="20"/>
                <w:color w:val="auto"/>
              </w:rPr>
            </w:pPr>
            <w:r>
              <w:rPr>
                <w:rFonts w:ascii="Arial" w:cs="Arial" w:eastAsia="Arial" w:hAnsi="Arial"/>
                <w:sz w:val="16"/>
                <w:szCs w:val="16"/>
                <w:b w:val="1"/>
                <w:bCs w:val="1"/>
                <w:color w:val="auto"/>
              </w:rPr>
              <w:t>Vacation Ownership</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7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w w:val="94"/>
              </w:rPr>
              <w:t>Notes Receivable Securitizations</w:t>
            </w:r>
          </w:p>
        </w:tc>
        <w:tc>
          <w:tcPr>
            <w:tcW w:w="0" w:type="dxa"/>
            <w:vAlign w:val="bottom"/>
          </w:tcPr>
          <w:p>
            <w:pPr>
              <w:spacing w:after="0"/>
              <w:rPr>
                <w:sz w:val="1"/>
                <w:szCs w:val="1"/>
                <w:color w:val="auto"/>
              </w:rPr>
            </w:pPr>
          </w:p>
        </w:tc>
      </w:tr>
      <w:tr>
        <w:trPr>
          <w:trHeight w:val="19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Payments Year</w:t>
            </w:r>
          </w:p>
        </w:tc>
        <w:tc>
          <w:tcPr>
            <w:tcW w:w="4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20"/>
              <w:spacing w:after="0"/>
              <w:rPr>
                <w:sz w:val="20"/>
                <w:szCs w:val="20"/>
                <w:color w:val="auto"/>
              </w:rPr>
            </w:pPr>
            <w:r>
              <w:rPr>
                <w:rFonts w:ascii="Arial" w:cs="Arial" w:eastAsia="Arial" w:hAnsi="Arial"/>
                <w:sz w:val="18"/>
                <w:szCs w:val="18"/>
                <w:color w:val="auto"/>
              </w:rPr>
              <w:t>2021, remaining</w:t>
            </w:r>
          </w:p>
        </w:tc>
        <w:tc>
          <w:tcPr>
            <w:tcW w:w="49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4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3480" w:type="dxa"/>
            <w:vAlign w:val="bottom"/>
          </w:tcPr>
          <w:p>
            <w:pPr>
              <w:ind w:left="220"/>
              <w:spacing w:after="0"/>
              <w:rPr>
                <w:sz w:val="20"/>
                <w:szCs w:val="20"/>
                <w:color w:val="auto"/>
              </w:rPr>
            </w:pPr>
            <w:r>
              <w:rPr>
                <w:rFonts w:ascii="Arial" w:cs="Arial" w:eastAsia="Arial" w:hAnsi="Arial"/>
                <w:sz w:val="18"/>
                <w:szCs w:val="18"/>
                <w:color w:val="auto"/>
              </w:rPr>
              <w:t>2023</w:t>
            </w:r>
          </w:p>
        </w:tc>
        <w:tc>
          <w:tcPr>
            <w:tcW w:w="4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4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3480" w:type="dxa"/>
            <w:vAlign w:val="bottom"/>
          </w:tcPr>
          <w:p>
            <w:pPr>
              <w:ind w:left="220"/>
              <w:spacing w:after="0"/>
              <w:rPr>
                <w:sz w:val="20"/>
                <w:szCs w:val="20"/>
                <w:color w:val="auto"/>
              </w:rPr>
            </w:pPr>
            <w:r>
              <w:rPr>
                <w:rFonts w:ascii="Arial" w:cs="Arial" w:eastAsia="Arial" w:hAnsi="Arial"/>
                <w:sz w:val="18"/>
                <w:szCs w:val="18"/>
                <w:color w:val="auto"/>
              </w:rPr>
              <w:t>2025</w:t>
            </w:r>
          </w:p>
        </w:tc>
        <w:tc>
          <w:tcPr>
            <w:tcW w:w="4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47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700" w:type="dxa"/>
            <w:vAlign w:val="bottom"/>
            <w:vMerge w:val="restart"/>
          </w:tcPr>
          <w:p>
            <w:pPr>
              <w:jc w:val="right"/>
              <w:ind w:right="237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348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4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 Securitizations</w:t>
      </w:r>
    </w:p>
    <w:p>
      <w:pPr>
        <w:spacing w:after="0" w:line="11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third quarter of 2021, and as of September 30, 2021, no securitized vacation ownership notes receivable pools were out of compliance with their respective established parameters. As of September 30, 2021, we had 13 securitized vacation ownership notes receivable pools outstanding.</w:t>
      </w:r>
    </w:p>
    <w:p>
      <w:pPr>
        <w:spacing w:after="0" w:line="69" w:lineRule="exact"/>
        <w:rPr>
          <w:sz w:val="20"/>
          <w:szCs w:val="20"/>
          <w:color w:val="auto"/>
        </w:rPr>
      </w:pPr>
    </w:p>
    <w:p>
      <w:pPr>
        <w:jc w:val="both"/>
        <w:ind w:right="440" w:firstLine="648"/>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6"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During the second quarter of 2021, we completed the securitization of a pool of $434 million of vacation ownership notes receivable. In connection with the securitization, investors purchased in a private placement $425 million in vacation ownership loan backed notes from MVW 2021-1W LLC (the “2021-1W LLC”). Four classes of vacation ownership loan backed notes were issued by the 2021-1W LLC: $207 million of Class A Notes, $107 million of Class B Notes, $80 million of Class C Notes, and $31 million of Class D Notes. The Class A Notes have an interest rate of 1.14 percent, the Class B Notes have an interest rate of 1.44 percent, the Class C Notes have an interest rate of 1.94 percent, and the Class D Notes have an interest rate of</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3.17 percent, for an overall weighted average interest rate of 1.52 percent. Of the $425 million in proceeds from the transaction, $8 million was used to pay transaction expenses and fund required reserves, and the remainder will be used for general corporate purposes. In connection with the 2021-1W securitization, we redeemed certain remaining vacation ownership notes receivable securitizations from 2014 and 2015, as well as certain vacation ownership notes receivable securitizations acquired as part of the Welk Acquisition.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warehouse credit facility (the “Warehouse Credit Facility”), which has a borrowing capacity of $350 million, allows for the securitization of vacation ownership notes receivable on a revolving non-recourse basis. During the second quarter of 2021, we amended certain agreements associated with this facility, and as a result, the revolving period was extended from December 20, 2021 to April 21, 2023 and the interest rate increased from primarily LIBOR plus 1.1% to primarily LIBOR plus 1.35%. Our borrowing capacity was not modified by these amendments. The amended facility expanded our ability to monetize vacation ownership notes receivable loans originated by Welk. The other terms were substantially similar to those in effect prior to the execution of the amendments. As of September 30, 2021, there were no cash borrowings outstanding under our Warehouse Credit Facility.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00" w:hanging="474"/>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debt discount and issuance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2000" w:type="dxa"/>
            <w:vAlign w:val="bottom"/>
            <w:gridSpan w:val="2"/>
          </w:tcPr>
          <w:p>
            <w:pPr>
              <w:ind w:left="80"/>
              <w:spacing w:after="0"/>
              <w:rPr>
                <w:sz w:val="20"/>
                <w:szCs w:val="20"/>
                <w:color w:val="auto"/>
              </w:rPr>
            </w:pPr>
            <w:r>
              <w:rPr>
                <w:rFonts w:ascii="Arial" w:cs="Arial" w:eastAsia="Arial" w:hAnsi="Arial"/>
                <w:sz w:val="16"/>
                <w:szCs w:val="16"/>
                <w:b w:val="1"/>
                <w:bCs w:val="1"/>
                <w:color w:val="auto"/>
              </w:rPr>
              <w:t>At September 30, 2021</w:t>
            </w:r>
          </w:p>
        </w:tc>
        <w:tc>
          <w:tcPr>
            <w:tcW w:w="180" w:type="dxa"/>
            <w:vAlign w:val="bottom"/>
          </w:tcPr>
          <w:p>
            <w:pPr>
              <w:spacing w:after="0"/>
              <w:rPr>
                <w:sz w:val="18"/>
                <w:szCs w:val="18"/>
                <w:color w:val="auto"/>
              </w:rPr>
            </w:pPr>
          </w:p>
        </w:tc>
        <w:tc>
          <w:tcPr>
            <w:tcW w:w="1880" w:type="dxa"/>
            <w:vAlign w:val="bottom"/>
          </w:tcPr>
          <w:p>
            <w:pPr>
              <w:jc w:val="right"/>
              <w:ind w:right="190"/>
              <w:spacing w:after="0"/>
              <w:rPr>
                <w:sz w:val="20"/>
                <w:szCs w:val="20"/>
                <w:color w:val="auto"/>
              </w:rPr>
            </w:pPr>
            <w:r>
              <w:rPr>
                <w:rFonts w:ascii="Arial" w:cs="Arial" w:eastAsia="Arial" w:hAnsi="Arial"/>
                <w:sz w:val="16"/>
                <w:szCs w:val="16"/>
                <w:b w:val="1"/>
                <w:bCs w:val="1"/>
                <w:color w:val="auto"/>
                <w:w w:val="95"/>
              </w:rPr>
              <w:t>At December 31, 2020</w:t>
            </w:r>
          </w:p>
        </w:tc>
      </w:tr>
      <w:tr>
        <w:trPr>
          <w:trHeight w:val="21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Notes</w:t>
            </w:r>
          </w:p>
        </w:tc>
        <w:tc>
          <w:tcPr>
            <w:tcW w:w="1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r>
      <w:tr>
        <w:trPr>
          <w:trHeight w:val="229"/>
        </w:trPr>
        <w:tc>
          <w:tcPr>
            <w:tcW w:w="7000" w:type="dxa"/>
            <w:vAlign w:val="bottom"/>
          </w:tcPr>
          <w:p>
            <w:pPr>
              <w:ind w:left="420"/>
              <w:spacing w:after="0"/>
              <w:rPr>
                <w:sz w:val="20"/>
                <w:szCs w:val="20"/>
                <w:color w:val="auto"/>
              </w:rPr>
            </w:pPr>
            <w:r>
              <w:rPr>
                <w:rFonts w:ascii="Arial" w:cs="Arial" w:eastAsia="Arial" w:hAnsi="Arial"/>
                <w:sz w:val="18"/>
                <w:szCs w:val="18"/>
                <w:color w:val="auto"/>
              </w:rPr>
              <w:t>2025 Notes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Unamortized debt discount and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Senior Unsecured Notes</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7000" w:type="dxa"/>
            <w:vAlign w:val="bottom"/>
          </w:tcPr>
          <w:p>
            <w:pPr>
              <w:ind w:left="420"/>
              <w:spacing w:after="0"/>
              <w:rPr>
                <w:sz w:val="20"/>
                <w:szCs w:val="20"/>
                <w:color w:val="auto"/>
              </w:rPr>
            </w:pPr>
            <w:r>
              <w:rPr>
                <w:rFonts w:ascii="Arial" w:cs="Arial" w:eastAsia="Arial" w:hAnsi="Arial"/>
                <w:sz w:val="18"/>
                <w:szCs w:val="18"/>
                <w:color w:val="auto"/>
              </w:rPr>
              <w:t>2026 Notes</w:t>
            </w:r>
          </w:p>
        </w:tc>
        <w:tc>
          <w:tcPr>
            <w:tcW w:w="18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Unamortized debt discount and issuance costs</w:t>
            </w:r>
          </w:p>
        </w:tc>
        <w:tc>
          <w:tcPr>
            <w:tcW w:w="1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w:t>
            </w:r>
          </w:p>
        </w:tc>
      </w:tr>
      <w:tr>
        <w:trPr>
          <w:trHeight w:val="257"/>
        </w:trPr>
        <w:tc>
          <w:tcPr>
            <w:tcW w:w="7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r>
      <w:tr>
        <w:trPr>
          <w:trHeight w:val="229"/>
        </w:trPr>
        <w:tc>
          <w:tcPr>
            <w:tcW w:w="7000" w:type="dxa"/>
            <w:vAlign w:val="bottom"/>
          </w:tcPr>
          <w:p>
            <w:pPr>
              <w:ind w:left="420"/>
              <w:spacing w:after="0"/>
              <w:rPr>
                <w:sz w:val="20"/>
                <w:szCs w:val="20"/>
                <w:color w:val="auto"/>
              </w:rPr>
            </w:pPr>
            <w:r>
              <w:rPr>
                <w:rFonts w:ascii="Arial" w:cs="Arial" w:eastAsia="Arial" w:hAnsi="Arial"/>
                <w:sz w:val="18"/>
                <w:szCs w:val="18"/>
                <w:color w:val="auto"/>
              </w:rPr>
              <w:t>2028 Notes</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Unamortized debt discount and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57"/>
        </w:trPr>
        <w:tc>
          <w:tcPr>
            <w:tcW w:w="7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r>
      <w:tr>
        <w:trPr>
          <w:trHeight w:val="229"/>
        </w:trPr>
        <w:tc>
          <w:tcPr>
            <w:tcW w:w="7000" w:type="dxa"/>
            <w:vAlign w:val="bottom"/>
          </w:tcPr>
          <w:p>
            <w:pPr>
              <w:ind w:left="420"/>
              <w:spacing w:after="0"/>
              <w:rPr>
                <w:sz w:val="20"/>
                <w:szCs w:val="20"/>
                <w:color w:val="auto"/>
              </w:rPr>
            </w:pPr>
            <w:r>
              <w:rPr>
                <w:rFonts w:ascii="Arial" w:cs="Arial" w:eastAsia="Arial" w:hAnsi="Arial"/>
                <w:sz w:val="18"/>
                <w:szCs w:val="18"/>
                <w:color w:val="auto"/>
              </w:rPr>
              <w:t>2029 Notes</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Unamortized debt discount and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Corporate Credit Facility</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7000" w:type="dxa"/>
            <w:vAlign w:val="bottom"/>
          </w:tcPr>
          <w:p>
            <w:pPr>
              <w:ind w:left="420"/>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30"/>
        </w:trPr>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Unamortized debt discount and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Convertible Notes</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7000" w:type="dxa"/>
            <w:vAlign w:val="bottom"/>
          </w:tcPr>
          <w:p>
            <w:pPr>
              <w:ind w:left="420"/>
              <w:spacing w:after="0"/>
              <w:rPr>
                <w:sz w:val="20"/>
                <w:szCs w:val="20"/>
                <w:color w:val="auto"/>
              </w:rPr>
            </w:pPr>
            <w:r>
              <w:rPr>
                <w:rFonts w:ascii="Arial" w:cs="Arial" w:eastAsia="Arial" w:hAnsi="Arial"/>
                <w:sz w:val="18"/>
                <w:szCs w:val="18"/>
                <w:color w:val="auto"/>
              </w:rPr>
              <w:t>2022 Convertible Notes</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Unamortized debt discount and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57"/>
        </w:trPr>
        <w:tc>
          <w:tcPr>
            <w:tcW w:w="7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r>
      <w:tr>
        <w:trPr>
          <w:trHeight w:val="230"/>
        </w:trPr>
        <w:tc>
          <w:tcPr>
            <w:tcW w:w="7000" w:type="dxa"/>
            <w:vAlign w:val="bottom"/>
          </w:tcPr>
          <w:p>
            <w:pPr>
              <w:ind w:left="420"/>
              <w:spacing w:after="0"/>
              <w:rPr>
                <w:sz w:val="20"/>
                <w:szCs w:val="20"/>
                <w:color w:val="auto"/>
              </w:rPr>
            </w:pPr>
            <w:r>
              <w:rPr>
                <w:rFonts w:ascii="Arial" w:cs="Arial" w:eastAsia="Arial" w:hAnsi="Arial"/>
                <w:sz w:val="18"/>
                <w:szCs w:val="18"/>
                <w:color w:val="auto"/>
              </w:rPr>
              <w:t>2026 Convertible Notes</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Unamortized debt discount and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Finance Leases</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7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debt, excluding finance leases, as of September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Term</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2022 Convertible</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2026 Convertible</w:t>
            </w:r>
          </w:p>
        </w:tc>
        <w:tc>
          <w:tcPr>
            <w:tcW w:w="280" w:type="dxa"/>
            <w:vAlign w:val="bottom"/>
          </w:tcPr>
          <w:p>
            <w:pPr>
              <w:spacing w:after="0"/>
              <w:rPr>
                <w:sz w:val="16"/>
                <w:szCs w:val="16"/>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Notes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Notes</w:t>
            </w:r>
          </w:p>
        </w:tc>
        <w:tc>
          <w:tcPr>
            <w:tcW w:w="2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Notes</w:t>
            </w:r>
          </w:p>
        </w:tc>
        <w:tc>
          <w:tcPr>
            <w:tcW w:w="2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Loan</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Notes</w:t>
            </w:r>
          </w:p>
        </w:tc>
        <w:tc>
          <w:tcPr>
            <w:tcW w:w="2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Notes</w:t>
            </w:r>
          </w:p>
        </w:tc>
        <w:tc>
          <w:tcPr>
            <w:tcW w:w="2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Payments Year</w:t>
            </w:r>
          </w:p>
        </w:tc>
        <w:tc>
          <w:tcPr>
            <w:tcW w:w="8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720" w:type="dxa"/>
            <w:vAlign w:val="bottom"/>
          </w:tcPr>
          <w:p>
            <w:pPr>
              <w:ind w:left="20"/>
              <w:spacing w:after="0"/>
              <w:rPr>
                <w:sz w:val="20"/>
                <w:szCs w:val="20"/>
                <w:color w:val="auto"/>
              </w:rPr>
            </w:pPr>
            <w:r>
              <w:rPr>
                <w:rFonts w:ascii="Arial" w:cs="Arial" w:eastAsia="Arial" w:hAnsi="Arial"/>
                <w:sz w:val="18"/>
                <w:szCs w:val="18"/>
                <w:color w:val="auto"/>
              </w:rPr>
              <w:t>2021, remaining</w:t>
            </w:r>
          </w:p>
        </w:tc>
        <w:tc>
          <w:tcPr>
            <w:tcW w:w="860" w:type="dxa"/>
            <w:vAlign w:val="bottom"/>
          </w:tcPr>
          <w:p>
            <w:pPr>
              <w:jc w:val="right"/>
              <w:ind w:right="655"/>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250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Arial" w:cs="Arial" w:eastAsia="Arial" w:hAnsi="Arial"/>
                <w:sz w:val="18"/>
                <w:szCs w:val="18"/>
                <w:color w:val="auto"/>
              </w:rPr>
              <w:t>2023</w:t>
            </w:r>
          </w:p>
        </w:tc>
        <w:tc>
          <w:tcPr>
            <w:tcW w:w="8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Arial" w:cs="Arial" w:eastAsia="Arial" w:hAnsi="Arial"/>
                <w:sz w:val="18"/>
                <w:szCs w:val="18"/>
                <w:color w:val="auto"/>
              </w:rPr>
              <w:t>2025</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8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500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7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senior notes include:</w:t>
      </w:r>
    </w:p>
    <w:p>
      <w:pPr>
        <w:spacing w:after="0" w:line="117" w:lineRule="exact"/>
        <w:rPr>
          <w:sz w:val="20"/>
          <w:szCs w:val="20"/>
          <w:color w:val="auto"/>
        </w:rPr>
      </w:pPr>
    </w:p>
    <w:p>
      <w:pPr>
        <w:ind w:left="1300" w:right="80" w:hanging="320"/>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$500 million aggregate principal amount of 6.125% Senior Secured Notes due 2025 issued in the second quarter of 2020 with a maturity date of September 15, 2025 (the “2025 Notes”).</w:t>
      </w:r>
    </w:p>
    <w:p>
      <w:pPr>
        <w:spacing w:after="0" w:line="8" w:lineRule="exact"/>
        <w:rPr>
          <w:rFonts w:ascii="Arial" w:cs="Arial" w:eastAsia="Arial" w:hAnsi="Arial"/>
          <w:sz w:val="18"/>
          <w:szCs w:val="18"/>
          <w:color w:val="auto"/>
        </w:rPr>
      </w:pPr>
    </w:p>
    <w:p>
      <w:pPr>
        <w:ind w:left="1300" w:right="620" w:hanging="320"/>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$350 million aggregate principal amount of 4.750% Senior Unsecured Notes due 2028 issued in the fourth quarter of 2019 with a maturity date of January 15, 2028 (the “2028 Notes”).</w:t>
      </w:r>
    </w:p>
    <w:p>
      <w:pPr>
        <w:spacing w:after="0" w:line="8" w:lineRule="exact"/>
        <w:rPr>
          <w:rFonts w:ascii="Arial" w:cs="Arial" w:eastAsia="Arial" w:hAnsi="Arial"/>
          <w:sz w:val="18"/>
          <w:szCs w:val="18"/>
          <w:color w:val="auto"/>
        </w:rPr>
      </w:pPr>
    </w:p>
    <w:p>
      <w:pPr>
        <w:ind w:left="1300" w:right="560" w:hanging="320"/>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$500 million aggregate principal amount of 4.500% Senior Unsecured Notes due 2029 issued in the second quarter of 2021 with a maturity date of June 15, 2029 (the “2029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and Redemption of Senior Notes</w:t>
      </w:r>
    </w:p>
    <w:p>
      <w:pPr>
        <w:spacing w:after="0" w:line="11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2029 Notes were issued under an indenture dated June 21, 2021 with The Bank of New York Mellon Trust Company, N.A., as trustee. We received net proceeds of $493 million from the offering, after deducting the underwriting fees and transaction expenses. We used these proceeds in July 2021 to redeem, prior to maturity, $500 million of the $750 million aggregate principal amount of 6.500% Senior Unsecured Notes due 2026 issued in the third quarter of 2018 with a maturity date of September 15, 2026 (the “2026 Notes”) and pay transaction expenses and fees in connection with the transaction. We will pay interest on the 2029 Notes on June 15 and December 15 of each year, commencing on December 15, 2021. We may redeem some or all of the 2029 Notes prior to maturity under the terms provided in the indenture.</w:t>
      </w:r>
    </w:p>
    <w:p>
      <w:pPr>
        <w:spacing w:after="0" w:line="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noted above, in July 2021, we redeemed, prior to maturity, $500 million aggregate principal amount of the 2026 Notes pursuant to a redemption notice issued in June 2021 and the terms of the indenture governing the 2026 Notes. Additionally, in September 2021, we issued a redemption notice and redeemed, prior to maturity, the remaining $250 million aggregate principal amount of the 2026 Notes pursuant to the terms of the indenture governing the 2026 Notes. In connection with the redemptions that occurred during the third quarter of 2021, we incurred charges of $36 million, inclusive of a redemption premium and the write-off of unamortized debt issuance costs, which was recorded in the Losses and other expense, net line on our Income Statement for the three and nine months ended September 30, 2021.</w:t>
      </w:r>
    </w:p>
    <w:p>
      <w:pPr>
        <w:spacing w:after="0" w:line="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During the third quarter of 2021, we delivered a redemption notice of $250 million aggregate principal amount of the 2025 Notes pursuant to the terms of the indenture governing the 2025 Notes. Subsequent to the end of the third quarter of 2021, we redeemed, prior to maturity, $250 million aggregate principal amount of the 2025 Notes. In connection with this redemption, we expect to incur charges of approximately $19 million, inclusive of a redemption premium and the write-off of unamortized debt issuance costs, which will be recorded in the fourth quarter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Credit Facility</w:t>
      </w:r>
    </w:p>
    <w:p>
      <w:pPr>
        <w:spacing w:after="0" w:line="11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corporate credit facility (“Corporate Credit Facility”), which provides support for our business, including ongoing liquidity and letters of credit, includes a $900 million term loan facility (the “Term Loan”), which matures on August 31, 2025, and a revolving credit facility with a borrowing capacity of $600 million (the “Revolving Corporate Credit Facility”), including a letter of credit sub-facility of $75 million, that terminates on August 31, 2023.</w:t>
      </w:r>
    </w:p>
    <w:p>
      <w:pPr>
        <w:spacing w:after="0" w:line="7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Term Loan bears interest at LIBOR plus 1.75 percent. Borrowings under the Revolving Corporate Credit Facility generally bear interest at a floating rate plus an applicable margin that varies from 0.50 percent to 2.75 percent depending on the type of loan and our credit rating. In addition, we pay a commitment fee on the unused availability under the Revolving Corporate Credit Facility at a rate that varies from 20 to 40 basis points per annum, also depending on our credit rating.</w:t>
      </w:r>
    </w:p>
    <w:p>
      <w:pPr>
        <w:spacing w:after="0" w:line="79"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2020, we entered into a waiver (the “Waiver”) to the agreement that governs our Corporate Credit Facility, which, among other things, suspended the requirement to comply with the leverage covenant in the Revolving Corporate Credit Facility, commencing with the fiscal quarter ending June 30, 2020. The initial suspension period included in the Waiver was up to four quarters, however in February 2021, we further amended the agreement governing our Corporate Credit Facility to extend the suspension period included in the Waiver through the end of 2021. The Waiver prohibited us from making certain restricted payments, including share repurchases and dividends. On September 9, 2021, we elected to terminate the Waiver.</w:t>
      </w:r>
    </w:p>
    <w:p>
      <w:pPr>
        <w:spacing w:after="0" w:line="5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Prior to 2020, we entered into $250 million of interest rate swaps under which we pay a fixed rate of 2.9625 percent and receive a floating interest rate through September 2023 and $200 million of interest rate swaps under which we pay a fixed rate of 2.2480 percent and receive a floating interest rate through April 2024, in each case to hedge a portion of our interest rate risk on the Term Loan. We also entered into a $100 million interest rate collar with a cap strike rate of 2.5000 percent and a floor strike rate of 1.8810 percent through April 2024 to further hedge our interest rate risk on the Term Loan. Both the interest rate swaps and the interest rate collar have been designated and qualify as cash flow hedges of interest rate risk and recorded in Other liabilities on our Balance Sheet as of September 30, 2021 and December 31, 2020. We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characterize payments we make in connection with these derivative instruments as interest expense and a reclassification of accumulated other comprehensive income for presentation purposes.</w:t>
      </w:r>
    </w:p>
    <w:p>
      <w:pPr>
        <w:spacing w:after="0" w:line="62"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The following table reflects the activity in accumulated other comprehensive loss related to our derivative instruments during the first three quarters of 2021 and 2020. There were no reclassifications to the Income Statement for any of the periods presented below.</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b w:val="1"/>
                <w:bCs w:val="1"/>
                <w:color w:val="auto"/>
              </w:rPr>
              <w:t>2020</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 adjustment balance, January 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gain (loss) before reclassifications</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 adjustment balance, March 31</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gain (loss) before reclassifications</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 adjustment balance, June 30</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gain before reclassifications</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 adjustment balance, September 30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11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During 2017, we issued $230 million of aggregate principal amount of convertible senior notes (the “2022 Convertible Notes”) that bear interest at a rate of 1.50 percent, payable in cash semi-annually. The 2022 Convertible Notes mature on September 15, 2022, unless repurchased or converted in accordance with their terms prior to that date.</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conversion rate is subject to adjustment for certain events as described in the indenture governing the notes, and was subject to adjustment 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September 30, 2021 to 6.8201 shares of common stock per $1,000 principal amount of 2022 Convertible Notes (equivalent to a conversion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$146.63 per share of our common stock), as a result of the dividends that have been declared since issuance that were greater than the quarterly dividend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when the 2022 Convertible Notes were issued. Upon conversion, we will pay or deliver, as the case may be, cash, shares of our common stock or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combination of cash and shares of our common stock, at our election. It is our intent to settle conversions of the 2022 Convertible Notes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combination settlement, which contemplates repayment in cash of the principal amount and repayment in shares of our common stock of any excess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conversion value over the principal amount. As of September 30, 2021, the effective interest rate was 4.73% and the remaining discount amortization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period was one year.</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net carrying value of the 2022 Convertible Notes.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2000" w:type="dxa"/>
            <w:vAlign w:val="bottom"/>
            <w:gridSpan w:val="2"/>
          </w:tcPr>
          <w:p>
            <w:pPr>
              <w:ind w:left="80"/>
              <w:spacing w:after="0"/>
              <w:rPr>
                <w:sz w:val="20"/>
                <w:szCs w:val="20"/>
                <w:color w:val="auto"/>
              </w:rPr>
            </w:pPr>
            <w:r>
              <w:rPr>
                <w:rFonts w:ascii="Arial" w:cs="Arial" w:eastAsia="Arial" w:hAnsi="Arial"/>
                <w:sz w:val="16"/>
                <w:szCs w:val="16"/>
                <w:b w:val="1"/>
                <w:bCs w:val="1"/>
                <w:color w:val="auto"/>
              </w:rPr>
              <w:t>At September 30, 2021</w:t>
            </w:r>
          </w:p>
        </w:tc>
        <w:tc>
          <w:tcPr>
            <w:tcW w:w="200" w:type="dxa"/>
            <w:vAlign w:val="bottom"/>
          </w:tcPr>
          <w:p>
            <w:pPr>
              <w:spacing w:after="0"/>
              <w:rPr>
                <w:sz w:val="18"/>
                <w:szCs w:val="18"/>
                <w:color w:val="auto"/>
              </w:rPr>
            </w:pPr>
          </w:p>
        </w:tc>
        <w:tc>
          <w:tcPr>
            <w:tcW w:w="19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At December 31, 2020</w:t>
            </w:r>
          </w:p>
        </w:tc>
      </w:tr>
      <w:tr>
        <w:trPr>
          <w:trHeight w:val="21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component</w:t>
            </w:r>
          </w:p>
        </w:tc>
        <w:tc>
          <w:tcPr>
            <w:tcW w:w="2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r>
      <w:tr>
        <w:trPr>
          <w:trHeight w:val="230"/>
        </w:trPr>
        <w:tc>
          <w:tcPr>
            <w:tcW w:w="6940" w:type="dxa"/>
            <w:vAlign w:val="bottom"/>
          </w:tcPr>
          <w:p>
            <w:pPr>
              <w:ind w:left="220"/>
              <w:spacing w:after="0"/>
              <w:rPr>
                <w:sz w:val="20"/>
                <w:szCs w:val="20"/>
                <w:color w:val="auto"/>
              </w:rPr>
            </w:pPr>
            <w:r>
              <w:rPr>
                <w:rFonts w:ascii="Arial" w:cs="Arial" w:eastAsia="Arial" w:hAnsi="Arial"/>
                <w:sz w:val="18"/>
                <w:szCs w:val="18"/>
                <w:color w:val="auto"/>
              </w:rPr>
              <w:t>Principal amount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Unamortized debt discount</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 of the liability component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amount of equity component, net of issuance costs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interest expense information related to the 2022 Convertible Notes.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gridSpan w:val="5"/>
          </w:tcPr>
          <w:p>
            <w:pPr>
              <w:ind w:left="11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920" w:type="dxa"/>
            <w:vAlign w:val="bottom"/>
            <w:gridSpan w:val="4"/>
          </w:tcPr>
          <w:p>
            <w:pPr>
              <w:jc w:val="right"/>
              <w:ind w:right="129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2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97"/>
              </w:rPr>
              <w:t>September 30, 2020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97"/>
              </w:rPr>
              <w:t>September 30, 2020</w:t>
            </w:r>
          </w:p>
        </w:tc>
      </w:tr>
      <w:tr>
        <w:trPr>
          <w:trHeight w:val="226"/>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Amortization of debt issuance costs</w:t>
            </w:r>
          </w:p>
        </w:tc>
        <w:tc>
          <w:tcPr>
            <w:tcW w:w="2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8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493"/>
        </w:trPr>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ind w:right="119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66"/>
        </w:trPr>
        <w:tc>
          <w:tcPr>
            <w:tcW w:w="2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2022 Convertible Note Hedges and Warrants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offering of the 2022 Convertible Notes, we concurrently entered into the following privately-negotiated separate</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transactions: convertible note hedge transactions with respect to our common stock (“2022 Convertible Note Hedges”), covering a total of approximately 1.5 million shares of our common stock, and warrant transactions (“2022 Warrants”), whereby we sold to the counterparties to the 2022 Convertible Note Hedges warrants to acquire approximately 1.5 million shares of our common stock. As of September 30, 2021, the strike prices of the 2022 Convertible Note Hedges and the 2022 Warrants were subject to adjustment to approximately $148.73 and $177.33, respectively, and no 2022 Convertible Note Hedges or 2022 Warrants have been exercised.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2026 Convertible Notes</w:t>
      </w:r>
    </w:p>
    <w:p>
      <w:pPr>
        <w:spacing w:after="0" w:line="117"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During the first quarter of 2021, we issued $575 million aggregate principal amount of 0.00% Convertible Senior Notes due 2026 (the “2026 Convertible Notes”). The 2026 Convertible Notes are governed by an indenture dated February 2, 2021 (the Indenture) among the Company, Marriott Ownership Resorts, Inc. and the other guarantors party thereto (the “Guarantors”) and The Bank of New York Mellon Trust Company, N.A., as trustee (the “Trustee”). We received net proceeds from the offering of approximately $530 million after adjusting for debt issuance costs, including the discount to the initial purchasers, the cost of the 2026 Convertible Note Hedges, and proceeds from the 2026 Warrants (both as defined below).</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2026 Convertible Notes will not bear regular interest and will mature on January 15, 2026, unless earlier repurchased or converted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their terms prior to that date. On or after October 15, 2025, and prior to the close of business on the second scheduled trading day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immediately preceding the stated maturity date of the 2026 Convertible Notes, holders may convert their 2026 Convertible Notes at their option.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conversion rate is subject to adjustment for certain events as described in the indenture governing the notes, and was subject to adjustment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to 5.8685 shares of common stock per $1,000 principal amount of 2026 Convertible Notes (equivalent to a conversion price of $170.40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share of our common stock), as a result of the dividends that have been declared since issuance. Upon conversion, we will pay or deliver, as the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cash, shares of our common stock, or a combination of cash and shares of our common stock, at our election. It is our intent to settle conversions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2026 Convertible Notes through combination settlement, which contemplates repayment in cash of the principal amount and repayment in shares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of any excess of the conversion value over the principal amount.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may convert their 2026 Convertible Notes prior to October 15, 2025 only under the following circumstances:</w:t>
      </w:r>
    </w:p>
    <w:p>
      <w:pPr>
        <w:spacing w:after="0" w:line="117" w:lineRule="exact"/>
        <w:rPr>
          <w:sz w:val="20"/>
          <w:szCs w:val="20"/>
          <w:color w:val="auto"/>
        </w:rPr>
      </w:pPr>
    </w:p>
    <w:p>
      <w:pPr>
        <w:ind w:left="980" w:right="160" w:hanging="324"/>
        <w:spacing w:after="0" w:line="259"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March 31, 2021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percent of the conversion price on each applicable trading day;</w:t>
      </w:r>
    </w:p>
    <w:p>
      <w:pPr>
        <w:spacing w:after="0" w:line="78"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the trading price per $1,000 principal amount of 2026 Convertible Notes for each trading day of the measurement period was less than 98 percent of the product of the last reported sale price of the common stock and the conversion rate on each such trading day; or</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described in the Indenture.</w:t>
      </w:r>
    </w:p>
    <w:p>
      <w:pPr>
        <w:spacing w:after="0" w:line="117"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We may not redeem the 2026 Convertible Notes prior to their maturity date, and no sinking fund is provided for them. If we undergo a fundamental change, as described in the Indenture, subject to certain conditions, holders may require us to repurchase for cash all or any portion of their 2026 Convertible Notes. The repurchase price as a result of a fundamental change is equal to 100 percent of the principal amount of the 2026 Convertible Notes to be repurchased, plus accrued and unpaid special interest, if any, to, but excluding, the repurchase date. If certain fundamental changes referred to in the Indenture as make-whole fundamental changes occur, the conversion rate applicable to the 2026 Convertible Notes may increase.</w:t>
      </w:r>
    </w:p>
    <w:p>
      <w:pPr>
        <w:spacing w:after="0" w:line="5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2026 Convertible Notes are unconditionally guaranteed, on a joint and several basis, by the Guarantors on a senior, unsecured basis. The 2026 Convertible Notes are our general senior unsecured obligations and rank equally in right of payment with all of our existing and future senior indebtedness, and senior in right of payment to all of our future subordinated debt. The 2026 Convertible Notes will be effectively subordinated to any of our existing and future secured debt to the extent of the value of the assets securing such debt, including the guarantees of borrowings outstanding under the Corporate Credit Facility and our 2025 Notes. The 2026 Convertible Notes will be structurally subordinated to any existing and future indebtedness and any other liabilities and obligations of any of our subsidiaries that are not guarantors of the 2026</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Convertible Notes. The guarantees will be the Guarantors’ general senior unsecured obligations and will rank equally in right of payment with all of the Guarantors’ existing and future senior indebtedness, and senior in right of payment to all of the Guarantors’ future subordinated debt. The guarantees will be effectively subordinated to any of the Guarantors’ existing and future secured debt to the extent of the value of the assets securing such debt, including any borrowings outstanding under the Corporate Credit Facility and the 2025 Notes. The guarantees will be structurally subordinated to any existing and future indebtedness and any other liabilities and obligations of any of our subsidiaries that are not guarantors of the 2026 Convertible Notes.</w:t>
      </w:r>
    </w:p>
    <w:p>
      <w:pPr>
        <w:spacing w:after="0" w:line="5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There are no financial or operating covenants related to the 2026 Convertible Notes. The indenture governing these notes contains customary events of default with respect to the 2026 Convertible Notes and provides that upon the occurrence and continuation of certain events of default, the Trustee or the holders of at least 25 percent in aggregate principal amount of the 2026 Convertible Notes then outstanding may declare all principal of and accrued and any unpaid interest on the 2026 Convertible Notes then outstanding to be immediately due and payable. In case of certain events of bankruptcy or insolvency involving the Company, all of the principal of and accrued and unpaid interest on the 2026 Convertible Notes will automatically become immediately due and payable.</w:t>
      </w:r>
    </w:p>
    <w:p>
      <w:pPr>
        <w:spacing w:after="0" w:line="8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accounting for the issuance of the 2026 Convertible Notes, we separated the 2026 Convertible Notes into liability and equity components and allocated $449 million to the liability component and $126 million to the equity component. The resulting debt discount is amortized as interest expense. As of September 30, 2021, the effective interest rate was 4.96% and the remaining debt discount amortization period was 4.3 years. We had debt issuance costs, including initial purchasers’ discount to underwriters, of $15 million related to the 2026 Convertible Notes, which were allocated to the liability and equity components based on their relative values. Issuance costs attributable to the liability component are amortized to interest expense over the term of the 2026 Convertible Notes, and issuance costs attributable to the equity component are included along with the equity component in shareholders’ equity.</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net carrying value of the 2026 Convertible Notes.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2000" w:type="dxa"/>
            <w:vAlign w:val="bottom"/>
            <w:gridSpan w:val="2"/>
          </w:tcPr>
          <w:p>
            <w:pPr>
              <w:ind w:left="80"/>
              <w:spacing w:after="0"/>
              <w:rPr>
                <w:sz w:val="20"/>
                <w:szCs w:val="20"/>
                <w:color w:val="auto"/>
              </w:rPr>
            </w:pPr>
            <w:r>
              <w:rPr>
                <w:rFonts w:ascii="Arial" w:cs="Arial" w:eastAsia="Arial" w:hAnsi="Arial"/>
                <w:sz w:val="16"/>
                <w:szCs w:val="16"/>
                <w:b w:val="1"/>
                <w:bCs w:val="1"/>
                <w:color w:val="auto"/>
              </w:rPr>
              <w:t>At September 30, 2021</w:t>
            </w:r>
          </w:p>
        </w:tc>
        <w:tc>
          <w:tcPr>
            <w:tcW w:w="200" w:type="dxa"/>
            <w:vAlign w:val="bottom"/>
          </w:tcPr>
          <w:p>
            <w:pPr>
              <w:spacing w:after="0"/>
              <w:rPr>
                <w:sz w:val="18"/>
                <w:szCs w:val="18"/>
                <w:color w:val="auto"/>
              </w:rPr>
            </w:pPr>
          </w:p>
        </w:tc>
        <w:tc>
          <w:tcPr>
            <w:tcW w:w="1900" w:type="dxa"/>
            <w:vAlign w:val="bottom"/>
          </w:tcPr>
          <w:p>
            <w:pPr>
              <w:ind w:left="100"/>
              <w:spacing w:after="0"/>
              <w:rPr>
                <w:sz w:val="20"/>
                <w:szCs w:val="20"/>
                <w:color w:val="auto"/>
              </w:rPr>
            </w:pPr>
            <w:r>
              <w:rPr>
                <w:rFonts w:ascii="Arial" w:cs="Arial" w:eastAsia="Arial" w:hAnsi="Arial"/>
                <w:sz w:val="16"/>
                <w:szCs w:val="16"/>
                <w:b w:val="1"/>
                <w:bCs w:val="1"/>
                <w:color w:val="auto"/>
              </w:rPr>
              <w:t>At December 31, 2020</w:t>
            </w:r>
          </w:p>
        </w:tc>
      </w:tr>
      <w:tr>
        <w:trPr>
          <w:trHeight w:val="213"/>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component</w:t>
            </w:r>
          </w:p>
        </w:tc>
        <w:tc>
          <w:tcPr>
            <w:tcW w:w="18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r>
      <w:tr>
        <w:trPr>
          <w:trHeight w:val="229"/>
        </w:trPr>
        <w:tc>
          <w:tcPr>
            <w:tcW w:w="6960" w:type="dxa"/>
            <w:vAlign w:val="bottom"/>
          </w:tcPr>
          <w:p>
            <w:pPr>
              <w:ind w:left="220"/>
              <w:spacing w:after="0"/>
              <w:rPr>
                <w:sz w:val="20"/>
                <w:szCs w:val="20"/>
                <w:color w:val="auto"/>
              </w:rPr>
            </w:pPr>
            <w:r>
              <w:rPr>
                <w:rFonts w:ascii="Arial" w:cs="Arial" w:eastAsia="Arial" w:hAnsi="Arial"/>
                <w:sz w:val="18"/>
                <w:szCs w:val="18"/>
                <w:color w:val="auto"/>
              </w:rPr>
              <w:t>Principal amount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ind w:left="1640"/>
              <w:spacing w:after="0"/>
              <w:rPr>
                <w:sz w:val="20"/>
                <w:szCs w:val="20"/>
                <w:color w:val="auto"/>
              </w:rPr>
            </w:pPr>
            <w:r>
              <w:rPr>
                <w:rFonts w:ascii="Arial" w:cs="Arial" w:eastAsia="Arial" w:hAnsi="Arial"/>
                <w:sz w:val="18"/>
                <w:szCs w:val="18"/>
                <w:color w:val="auto"/>
              </w:rPr>
              <w:t>—</w:t>
            </w:r>
          </w:p>
        </w:tc>
      </w:tr>
      <w:tr>
        <w:trPr>
          <w:trHeight w:val="229"/>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Unamortized debt discount</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w:t>
            </w:r>
          </w:p>
        </w:tc>
      </w:tr>
      <w:tr>
        <w:trPr>
          <w:trHeight w:val="230"/>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Unamortized debt issuance costs</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w:t>
            </w: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 of the liability component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8"/>
                <w:szCs w:val="18"/>
                <w:color w:val="auto"/>
              </w:rPr>
              <w:t>—</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amount of equity component, net of issuance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interest expense information related to the 2026 Convertible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gridSpan w:val="5"/>
          </w:tcPr>
          <w:p>
            <w:pPr>
              <w:ind w:left="11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920" w:type="dxa"/>
            <w:vAlign w:val="bottom"/>
            <w:gridSpan w:val="4"/>
          </w:tcPr>
          <w:p>
            <w:pPr>
              <w:ind w:left="116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2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rPr>
              <w:t>September 30, 2020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rPr>
              <w:t>September 30, 2020</w:t>
            </w:r>
          </w:p>
        </w:tc>
      </w:tr>
      <w:tr>
        <w:trPr>
          <w:trHeight w:val="226"/>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w w:val="99"/>
              </w:rPr>
              <w:t>Amortization of debt issuance costs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ind w:left="1540"/>
              <w:spacing w:after="0"/>
              <w:rPr>
                <w:sz w:val="20"/>
                <w:szCs w:val="20"/>
                <w:color w:val="auto"/>
              </w:rPr>
            </w:pPr>
            <w:r>
              <w:rPr>
                <w:rFonts w:ascii="Arial" w:cs="Arial" w:eastAsia="Arial" w:hAnsi="Arial"/>
                <w:sz w:val="18"/>
                <w:szCs w:val="18"/>
                <w:color w:val="auto"/>
              </w:rPr>
              <w:t>—</w:t>
            </w:r>
          </w:p>
        </w:tc>
      </w:tr>
      <w:tr>
        <w:trPr>
          <w:trHeight w:val="248"/>
        </w:trPr>
        <w:tc>
          <w:tcPr>
            <w:tcW w:w="28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2026 Convertible Note Hedges and Warrants</w:t>
      </w:r>
    </w:p>
    <w:p>
      <w:pPr>
        <w:spacing w:after="0" w:line="11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connection with the offering of the 2026 Convertible Notes, we entered into privately-negotiated convertible note hedge transactions with respect to our common stock with certain counterparties (the “2026 Convertible Note Hedges”), covering a total of 3.4 million shares of our common stock at a cost of $100 million. The 2026 Convertible Note Hedges are subject to anti-dilution provisions substantially similar to those of the 2026 Convertible Notes, have a strike price that initially corresponded to the initial conversion price of the 2026 Convertible Notes, are exercisable by us upon any conversion under the 2026 Convertible Notes, and expire when the 2026 Convertible Notes mature. The cost of the 2026 Convertible Note Hedges is expected to be tax deductible as an original issue discount over the life of the 2026 Convertible Notes, as the 2026 Convertible Notes and the 2026 Convertible Note Hedges represent an integrated debt instrument for tax purposes. The cost of the 2026 Convertible Note Hedges was recorded as a reduction of Additional paid-in capital on our Balance Sheet.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Concurrently with the entry into the 2026 Convertible Note Hedges, we separately entered into privately-negotiated warrant transactions (the “2026 Warrants”), whereby we sold to the counterparties to the 2026 Convertible Note Hedges warrants to acquire, collectively, subject to anti-dilution adjustments, approximately 3.4 million shares of our common stock at an initial strike price of $213.76 per share. We received aggregate proceeds of $70 million from the sale of the 2026 Warrants to the counterparties. The proceeds from the issuance of the 2026 Warrants were recorded as an increase to Additional paid-in capital on our Balance Sheet.</w:t>
      </w:r>
    </w:p>
    <w:p>
      <w:pPr>
        <w:spacing w:after="0" w:line="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Taken together, the 2026 Convertible Note Hedges and the 2026 Warrants are generally expected to reduce the potential dilution to our common stock (or, in the event the conversion of the 2026 Convertible Notes is settled in cash, to reduce our cash payment obligation) in the event that at the time of conversion our stock price exceeds the conversion price under the 2026 Convertible Notes and to effectively increase the overall conversion price to the Company from $171.01 per share to $213.76 per share. The 2026 Warrants will expire in ratable portions on a series of expiration dates commencing on April 15, 2026.</w:t>
      </w:r>
    </w:p>
    <w:p>
      <w:pPr>
        <w:spacing w:after="0" w:line="8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2026 Convertible Notes, the 2026 Convertible Note Hedges, and the 2026 Warrants are transactions that are separate from each other. Holders of any such instrument have no rights with respect to the other instruments. As of September 30, 2021, the strike prices of the 2026 Convertible Note Hedges and the 2026 Warrants were subject to adjustment to approximately $170.40 and $213.00, respectively, and no 2026 Convertible Notes or 2026 Warrants have been exercised.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and Guarantees</w:t>
      </w:r>
    </w:p>
    <w:p>
      <w:pPr>
        <w:spacing w:after="0" w:line="11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Amounts borrowed under the Corporate Credit Facility and the 2025 Notes,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In addition, the Corporate Credit Facility, the 2026 Convertible Notes, the 2025 Notes, the 2028 Notes, and the 2029 Notes are guaranteed by MVWC and certain of our direct and indirect, existing and future, domestic subsidiaries, excluding bankruptcy remote special purpose subsidiaries.</w:t>
      </w:r>
    </w:p>
    <w:p>
      <w:pPr>
        <w:spacing w:after="0" w:line="255" w:lineRule="exact"/>
        <w:rPr>
          <w:sz w:val="20"/>
          <w:szCs w:val="20"/>
          <w:color w:val="auto"/>
        </w:rPr>
      </w:pPr>
    </w:p>
    <w:p>
      <w:pPr>
        <w:ind w:left="500" w:hanging="474"/>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1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Marriott Vacations Worldwide has 100,000,000 authorized shares of common stock, par value of $0.01 per share. At September 30, 2021, there were 75,491,621 shares of Marriott Vacations Worldwide common stock issued, of which 42,715,459 shares were outstanding and 32,776,162 shares were held as treasury stock. At December 31, 2020, there were 75,279,061 shares of Marriott Vacations Worldwide common stock issued, of which 41,094,248 shares were outstanding and 34,184,813 shares were held as treasury stock. Marriott Vacations Worldwide has 2,000,000 authorized shares of preferred stock, par value of $0.01 per share, none of which were issued or outstanding as of September 30, 2021 or December 31, 2020.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During the third quarter of 2021, our Board of Directors authorized a share repurchase program under which we may purchase shares of our common stock for an aggregate purchase price not to exceed $250 million, prior to December 31, 2022. Share repurchases may be made through open market purchases, privately negotiated transactions, block transactions, tender offers,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plans pursuant to the provisions of Rule 10b5-1 under the Securities Exchange Act of 1934, as amended.</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share repurchase programs: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120" w:type="dxa"/>
            <w:vAlign w:val="bottom"/>
          </w:tcPr>
          <w:p>
            <w:pPr>
              <w:spacing w:after="0"/>
              <w:rPr>
                <w:sz w:val="16"/>
                <w:szCs w:val="16"/>
                <w:color w:val="auto"/>
              </w:rPr>
            </w:pPr>
          </w:p>
        </w:tc>
        <w:tc>
          <w:tcPr>
            <w:tcW w:w="22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8"/>
              </w:rPr>
              <w:t>Cost of Shares Repurchased</w:t>
            </w:r>
          </w:p>
        </w:tc>
        <w:tc>
          <w:tcPr>
            <w:tcW w:w="360" w:type="dxa"/>
            <w:vAlign w:val="bottom"/>
          </w:tcPr>
          <w:p>
            <w:pPr>
              <w:spacing w:after="0"/>
              <w:rPr>
                <w:sz w:val="16"/>
                <w:szCs w:val="16"/>
                <w:color w:val="auto"/>
              </w:rPr>
            </w:pPr>
          </w:p>
        </w:tc>
        <w:tc>
          <w:tcPr>
            <w:tcW w:w="1860" w:type="dxa"/>
            <w:vAlign w:val="bottom"/>
          </w:tcPr>
          <w:p>
            <w:pPr>
              <w:jc w:val="right"/>
              <w:ind w:right="534"/>
              <w:spacing w:after="0"/>
              <w:rPr>
                <w:sz w:val="20"/>
                <w:szCs w:val="20"/>
                <w:color w:val="auto"/>
              </w:rPr>
            </w:pPr>
            <w:r>
              <w:rPr>
                <w:rFonts w:ascii="Arial" w:cs="Arial" w:eastAsia="Arial" w:hAnsi="Arial"/>
                <w:sz w:val="16"/>
                <w:szCs w:val="16"/>
                <w:b w:val="1"/>
                <w:bCs w:val="1"/>
                <w:color w:val="auto"/>
              </w:rPr>
              <w:t>Average Price</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2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Repurchased</w:t>
            </w:r>
          </w:p>
        </w:tc>
        <w:tc>
          <w:tcPr>
            <w:tcW w:w="120" w:type="dxa"/>
            <w:vAlign w:val="bottom"/>
          </w:tcPr>
          <w:p>
            <w:pPr>
              <w:spacing w:after="0"/>
              <w:rPr>
                <w:sz w:val="18"/>
                <w:szCs w:val="18"/>
                <w:color w:val="auto"/>
              </w:rPr>
            </w:pPr>
          </w:p>
        </w:tc>
        <w:tc>
          <w:tcPr>
            <w:tcW w:w="22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jc w:val="right"/>
              <w:ind w:right="514"/>
              <w:spacing w:after="0"/>
              <w:rPr>
                <w:sz w:val="20"/>
                <w:szCs w:val="20"/>
                <w:color w:val="auto"/>
              </w:rPr>
            </w:pPr>
            <w:r>
              <w:rPr>
                <w:rFonts w:ascii="Arial" w:cs="Arial" w:eastAsia="Arial" w:hAnsi="Arial"/>
                <w:sz w:val="16"/>
                <w:szCs w:val="16"/>
                <w:b w:val="1"/>
                <w:bCs w:val="1"/>
                <w:color w:val="auto"/>
              </w:rPr>
              <w:t>Paid per Share</w:t>
            </w:r>
          </w:p>
        </w:tc>
        <w:tc>
          <w:tcPr>
            <w:tcW w:w="0" w:type="dxa"/>
            <w:vAlign w:val="bottom"/>
          </w:tcPr>
          <w:p>
            <w:pPr>
              <w:spacing w:after="0"/>
              <w:rPr>
                <w:sz w:val="1"/>
                <w:szCs w:val="1"/>
                <w:color w:val="auto"/>
              </w:rPr>
            </w:pPr>
          </w:p>
        </w:tc>
      </w:tr>
      <w:tr>
        <w:trPr>
          <w:trHeight w:val="226"/>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2020</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17,188,885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 the first three quarters of 2021</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154.84</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September 30, 2021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17,217,920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of September 30, 2021, $246 million remained available for repurchase under the authorization approved by the Board of Directors in the third quarter of 2021. The authorization for the current share repurchase program may be suspended, terminated, increased or decreased by our Board of Directors at any time without prior notice.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declared cash dividends to holders of common stock during the quarter ended September 30, 2021 as follows. Any future dividend payments will be subject to the restrictions imposed under the agreements covering our debt, and Board approval. There can be no assurance that we will pay dividends in the future.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Declaration Date</w:t>
            </w:r>
          </w:p>
        </w:tc>
        <w:tc>
          <w:tcPr>
            <w:tcW w:w="2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Shareholder Record Date</w:t>
            </w:r>
          </w:p>
        </w:tc>
        <w:tc>
          <w:tcPr>
            <w:tcW w:w="2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Distribution Date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3"/>
              </w:rPr>
              <w:t>Dividend per Share</w:t>
            </w:r>
          </w:p>
        </w:tc>
      </w:tr>
      <w:tr>
        <w:trPr>
          <w:trHeight w:val="226"/>
        </w:trPr>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10, 2021</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23, 2021</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7, 2021</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1075"/>
              <w:spacing w:after="0"/>
              <w:rPr>
                <w:sz w:val="20"/>
                <w:szCs w:val="20"/>
                <w:color w:val="auto"/>
              </w:rPr>
            </w:pPr>
            <w:r>
              <w:rPr>
                <w:rFonts w:ascii="Arial" w:cs="Arial" w:eastAsia="Arial" w:hAnsi="Arial"/>
                <w:sz w:val="18"/>
                <w:szCs w:val="18"/>
                <w:color w:val="auto"/>
              </w:rPr>
              <w:t>$0.54</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 Property Owners’ Associations</w:t>
      </w:r>
    </w:p>
    <w:p>
      <w:pPr>
        <w:spacing w:after="0" w:line="11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consolidate certain property owners’ associations. Noncontrolling interests represent the portion of the property owners’ associations related to third-party vacation ownership interest owners. Noncontrolling interests of $31 million as of both September 30, 2021 and December 31, 2020 are included on our Balance Sheets as a component of equity.</w:t>
      </w:r>
    </w:p>
    <w:p>
      <w:pPr>
        <w:spacing w:after="0" w:line="261" w:lineRule="exact"/>
        <w:rPr>
          <w:sz w:val="20"/>
          <w:szCs w:val="20"/>
          <w:color w:val="auto"/>
        </w:rPr>
      </w:pPr>
    </w:p>
    <w:p>
      <w:pPr>
        <w:ind w:left="500" w:hanging="474"/>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0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maintain the Marriott Vacations Worldwide Corporation 2020 Equity Incentive Plan (the “MVW Equity Plan”) for the benefit of our officers, directors, and employees. Under the MVW Equity Plan, we are authorized to award: (1) restricted stock units (“RSUs”) of our common stock, (2) stock appreciation rights (“SARs”) relating to our common stock, and (3) stock options to purchase our common stock. A total of 1.8 million shares are authorized for issuance pursuant to grants under the MVW Equity Plan. As of September 30, 2021, approximately 1.5 million shares were available for grants under the MVW Equity Plan.</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share-based compensation expense related to award grants to our officers, directors, and employees: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3"/>
          </w:tcPr>
          <w:p>
            <w:pPr>
              <w:jc w:val="right"/>
              <w:ind w:right="873"/>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right"/>
              <w:ind w:right="119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September 30, 2020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172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September 30, 2020</w:t>
            </w:r>
          </w:p>
        </w:tc>
      </w:tr>
      <w:tr>
        <w:trPr>
          <w:trHeight w:val="226"/>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Service-based RSUs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45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Performance-based RSUs</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ILG Acquisition Converted RSUs</w:t>
            </w: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SARs</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3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ind w:right="1453"/>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deferred compensation costs related to unvested awards: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2000" w:type="dxa"/>
            <w:vAlign w:val="bottom"/>
            <w:gridSpan w:val="2"/>
          </w:tcPr>
          <w:p>
            <w:pPr>
              <w:ind w:left="80"/>
              <w:spacing w:after="0"/>
              <w:rPr>
                <w:sz w:val="20"/>
                <w:szCs w:val="20"/>
                <w:color w:val="auto"/>
              </w:rPr>
            </w:pPr>
            <w:r>
              <w:rPr>
                <w:rFonts w:ascii="Arial" w:cs="Arial" w:eastAsia="Arial" w:hAnsi="Arial"/>
                <w:sz w:val="16"/>
                <w:szCs w:val="16"/>
                <w:b w:val="1"/>
                <w:bCs w:val="1"/>
                <w:color w:val="auto"/>
              </w:rPr>
              <w:t>At September 30, 2021</w:t>
            </w:r>
          </w:p>
        </w:tc>
        <w:tc>
          <w:tcPr>
            <w:tcW w:w="200" w:type="dxa"/>
            <w:vAlign w:val="bottom"/>
          </w:tcPr>
          <w:p>
            <w:pPr>
              <w:spacing w:after="0"/>
              <w:rPr>
                <w:sz w:val="18"/>
                <w:szCs w:val="18"/>
                <w:color w:val="auto"/>
              </w:rPr>
            </w:pPr>
          </w:p>
        </w:tc>
        <w:tc>
          <w:tcPr>
            <w:tcW w:w="19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At December 31, 2020</w:t>
            </w:r>
          </w:p>
        </w:tc>
      </w:tr>
      <w:tr>
        <w:trPr>
          <w:trHeight w:val="226"/>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Service-based RSUs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Performance-based RSUs</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SARs</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granted 171,625 service-based RSUs, which are subject to time-based vesting conditions, with a weighted average grant-date fair value of $169.19, to our employees and non-employee directors during the first three quarters of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granted 127,857 SARs, with a weighted average grant-date fair value of $70.66 and a weighted average exercise price of $173.88, to members of management during the first three quarters of 2021.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assumptions used to estimate the fair value of grants during the first three quarters of 2021:</w:t>
      </w:r>
    </w:p>
    <w:p>
      <w:pPr>
        <w:spacing w:after="0" w:line="158" w:lineRule="exact"/>
        <w:rPr>
          <w:sz w:val="20"/>
          <w:szCs w:val="20"/>
          <w:color w:val="auto"/>
        </w:rPr>
      </w:pPr>
    </w:p>
    <w:tbl>
      <w:tblPr>
        <w:tblLayout w:type="fixed"/>
        <w:tblInd w:w="2600" w:type="dxa"/>
        <w:tblCellMar>
          <w:top w:w="0" w:type="dxa"/>
          <w:left w:w="0" w:type="dxa"/>
          <w:bottom w:w="0" w:type="dxa"/>
          <w:right w:w="0" w:type="dxa"/>
        </w:tblCellMar>
      </w:tblP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78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8"/>
              </w:rPr>
              <w:t>48.35%</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780" w:type="dxa"/>
            <w:vAlign w:val="bottom"/>
          </w:tcPr>
          <w:p>
            <w:pPr>
              <w:jc w:val="center"/>
              <w:ind w:left="670"/>
              <w:spacing w:after="0"/>
              <w:rPr>
                <w:sz w:val="20"/>
                <w:szCs w:val="20"/>
                <w:color w:val="auto"/>
              </w:rPr>
            </w:pPr>
            <w:r>
              <w:rPr>
                <w:rFonts w:ascii="Arial" w:cs="Arial" w:eastAsia="Arial" w:hAnsi="Arial"/>
                <w:sz w:val="18"/>
                <w:szCs w:val="18"/>
                <w:color w:val="auto"/>
                <w:w w:val="90"/>
              </w:rPr>
              <w:t>1.48%</w:t>
            </w: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278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0"/>
              </w:rPr>
              <w:t>0.97%</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780" w:type="dxa"/>
            <w:vAlign w:val="bottom"/>
          </w:tcPr>
          <w:p>
            <w:pPr>
              <w:jc w:val="center"/>
              <w:ind w:left="670"/>
              <w:spacing w:after="0"/>
              <w:rPr>
                <w:sz w:val="20"/>
                <w:szCs w:val="20"/>
                <w:color w:val="auto"/>
              </w:rPr>
            </w:pPr>
            <w:r>
              <w:rPr>
                <w:rFonts w:ascii="Arial" w:cs="Arial" w:eastAsia="Arial" w:hAnsi="Arial"/>
                <w:sz w:val="18"/>
                <w:szCs w:val="18"/>
                <w:color w:val="auto"/>
                <w:w w:val="85"/>
              </w:rPr>
              <w:t>6.25</w:t>
            </w:r>
          </w:p>
        </w:tc>
      </w:tr>
    </w:tbl>
    <w:p>
      <w:pPr>
        <w:spacing w:after="0" w:line="372" w:lineRule="exact"/>
        <w:rPr>
          <w:sz w:val="20"/>
          <w:szCs w:val="20"/>
          <w:color w:val="auto"/>
        </w:rPr>
      </w:pPr>
    </w:p>
    <w:p>
      <w:pPr>
        <w:ind w:left="500" w:hanging="474"/>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 Related to Our Vacation Ownership Notes Receivable Securitizations</w:t>
      </w:r>
    </w:p>
    <w:p>
      <w:pPr>
        <w:spacing w:after="0" w:line="11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consolidated assets, which are collateral for the obligations of these VIEs, and consolidated liabilities included on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Balance Sheet at September 30,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Vacation Ownership</w:t>
            </w:r>
          </w:p>
        </w:tc>
        <w:tc>
          <w:tcPr>
            <w:tcW w:w="280" w:type="dxa"/>
            <w:vAlign w:val="bottom"/>
          </w:tcPr>
          <w:p>
            <w:pPr>
              <w:spacing w:after="0"/>
              <w:rPr>
                <w:sz w:val="16"/>
                <w:szCs w:val="16"/>
                <w:color w:val="auto"/>
              </w:rPr>
            </w:pPr>
          </w:p>
        </w:tc>
        <w:tc>
          <w:tcPr>
            <w:tcW w:w="178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Warehouse</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89"/>
              </w:rPr>
              <w:t>Notes Receivable</w:t>
            </w:r>
          </w:p>
        </w:tc>
        <w:tc>
          <w:tcPr>
            <w:tcW w:w="28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vMerge w:val="restart"/>
          </w:tcPr>
          <w:p>
            <w:pPr>
              <w:jc w:val="right"/>
              <w:ind w:right="10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8"/>
                <w:szCs w:val="18"/>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Securitizations</w:t>
            </w:r>
          </w:p>
        </w:tc>
        <w:tc>
          <w:tcPr>
            <w:tcW w:w="28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Credit Facility</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Assets</w:t>
            </w:r>
          </w:p>
        </w:tc>
        <w:tc>
          <w:tcPr>
            <w:tcW w:w="2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Vacation ownership notes receivable,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receivable</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Consolidated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Securitized Debt</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1240" w:type="dxa"/>
            <w:vAlign w:val="bottom"/>
            <w:gridSpan w:val="11"/>
          </w:tcPr>
          <w:p>
            <w:pPr>
              <w:ind w:left="660"/>
              <w:spacing w:after="0"/>
              <w:rPr>
                <w:sz w:val="20"/>
                <w:szCs w:val="20"/>
                <w:color w:val="auto"/>
              </w:rPr>
            </w:pPr>
            <w:r>
              <w:rPr>
                <w:rFonts w:ascii="Arial" w:cs="Arial" w:eastAsia="Arial" w:hAnsi="Arial"/>
                <w:sz w:val="18"/>
                <w:szCs w:val="18"/>
                <w:color w:val="auto"/>
                <w:w w:val="92"/>
              </w:rPr>
              <w:t>The following table shows the interest income and expense recognized as a result of our involvement with these VIEs during the third quarter of</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Vacation Ownership</w:t>
            </w:r>
          </w:p>
        </w:tc>
        <w:tc>
          <w:tcPr>
            <w:tcW w:w="280" w:type="dxa"/>
            <w:vAlign w:val="bottom"/>
          </w:tcPr>
          <w:p>
            <w:pPr>
              <w:spacing w:after="0"/>
              <w:rPr>
                <w:sz w:val="16"/>
                <w:szCs w:val="16"/>
                <w:color w:val="auto"/>
              </w:rPr>
            </w:pPr>
          </w:p>
        </w:tc>
        <w:tc>
          <w:tcPr>
            <w:tcW w:w="178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Warehouse</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89"/>
              </w:rPr>
              <w:t>Notes Receivable</w:t>
            </w:r>
          </w:p>
        </w:tc>
        <w:tc>
          <w:tcPr>
            <w:tcW w:w="28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vMerge w:val="restart"/>
          </w:tcPr>
          <w:p>
            <w:pPr>
              <w:jc w:val="right"/>
              <w:ind w:right="8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8"/>
                <w:szCs w:val="18"/>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Securitizations</w:t>
            </w:r>
          </w:p>
        </w:tc>
        <w:tc>
          <w:tcPr>
            <w:tcW w:w="280" w:type="dxa"/>
            <w:vAlign w:val="bottom"/>
          </w:tcPr>
          <w:p>
            <w:pPr>
              <w:spacing w:after="0"/>
              <w:rPr>
                <w:sz w:val="18"/>
                <w:szCs w:val="18"/>
                <w:color w:val="auto"/>
              </w:rPr>
            </w:pPr>
          </w:p>
        </w:tc>
        <w:tc>
          <w:tcPr>
            <w:tcW w:w="1780" w:type="dxa"/>
            <w:vAlign w:val="bottom"/>
            <w:gridSpan w:val="2"/>
          </w:tcPr>
          <w:p>
            <w:pPr>
              <w:ind w:left="240"/>
              <w:spacing w:after="0"/>
              <w:rPr>
                <w:sz w:val="20"/>
                <w:szCs w:val="20"/>
                <w:color w:val="auto"/>
              </w:rPr>
            </w:pPr>
            <w:r>
              <w:rPr>
                <w:rFonts w:ascii="Arial" w:cs="Arial" w:eastAsia="Arial" w:hAnsi="Arial"/>
                <w:sz w:val="16"/>
                <w:szCs w:val="16"/>
                <w:b w:val="1"/>
                <w:bCs w:val="1"/>
                <w:color w:val="auto"/>
              </w:rPr>
              <w:t>Credit Facility</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Interest expense to investors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 amortization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12"/>
        </w:trPr>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ind w:right="109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0" w:firstLine="648"/>
        <w:spacing w:after="0" w:line="274"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VIEs during the first three quarters of 2021:</w:t>
      </w:r>
    </w:p>
    <w:tbl>
      <w:tblPr>
        <w:tblLayout w:type="fixed"/>
        <w:tblInd w:w="0" w:type="dxa"/>
        <w:tblCellMar>
          <w:top w:w="0" w:type="dxa"/>
          <w:left w:w="0" w:type="dxa"/>
          <w:bottom w:w="0" w:type="dxa"/>
          <w:right w:w="0" w:type="dxa"/>
        </w:tblCellMar>
      </w:tblPr>
      <w:tr>
        <w:trPr>
          <w:trHeight w:val="163"/>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2"/>
          </w:tcPr>
          <w:p>
            <w:pPr>
              <w:jc w:val="center"/>
              <w:ind w:right="340"/>
              <w:spacing w:after="0" w:line="163" w:lineRule="exact"/>
              <w:rPr>
                <w:sz w:val="20"/>
                <w:szCs w:val="20"/>
                <w:color w:val="auto"/>
              </w:rPr>
            </w:pPr>
            <w:r>
              <w:rPr>
                <w:rFonts w:ascii="Arial" w:cs="Arial" w:eastAsia="Arial" w:hAnsi="Arial"/>
                <w:sz w:val="16"/>
                <w:szCs w:val="16"/>
                <w:b w:val="1"/>
                <w:bCs w:val="1"/>
                <w:color w:val="auto"/>
                <w:w w:val="92"/>
              </w:rPr>
              <w:t>Vacation Ownership</w:t>
            </w:r>
          </w:p>
        </w:tc>
        <w:tc>
          <w:tcPr>
            <w:tcW w:w="320" w:type="dxa"/>
            <w:vAlign w:val="bottom"/>
          </w:tcPr>
          <w:p>
            <w:pPr>
              <w:spacing w:after="0"/>
              <w:rPr>
                <w:sz w:val="14"/>
                <w:szCs w:val="14"/>
                <w:color w:val="auto"/>
              </w:rPr>
            </w:pPr>
          </w:p>
        </w:tc>
        <w:tc>
          <w:tcPr>
            <w:tcW w:w="1840" w:type="dxa"/>
            <w:vAlign w:val="bottom"/>
            <w:gridSpan w:val="2"/>
            <w:vMerge w:val="restart"/>
          </w:tcPr>
          <w:p>
            <w:pPr>
              <w:jc w:val="center"/>
              <w:ind w:right="420"/>
              <w:spacing w:after="0"/>
              <w:rPr>
                <w:sz w:val="20"/>
                <w:szCs w:val="20"/>
                <w:color w:val="auto"/>
              </w:rPr>
            </w:pPr>
            <w:r>
              <w:rPr>
                <w:rFonts w:ascii="Arial" w:cs="Arial" w:eastAsia="Arial" w:hAnsi="Arial"/>
                <w:sz w:val="16"/>
                <w:szCs w:val="16"/>
                <w:b w:val="1"/>
                <w:bCs w:val="1"/>
                <w:color w:val="auto"/>
                <w:w w:val="90"/>
              </w:rPr>
              <w:t>Warehouse</w:t>
            </w: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89"/>
              </w:rPr>
              <w:t>Notes Receivable</w:t>
            </w:r>
          </w:p>
        </w:tc>
        <w:tc>
          <w:tcPr>
            <w:tcW w:w="3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vMerge w:val="restart"/>
          </w:tcPr>
          <w:p>
            <w:pPr>
              <w:jc w:val="right"/>
              <w:ind w:right="7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8"/>
                <w:szCs w:val="18"/>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Securitizations</w:t>
            </w:r>
          </w:p>
        </w:tc>
        <w:tc>
          <w:tcPr>
            <w:tcW w:w="32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Credit Facility</w:t>
            </w:r>
          </w:p>
        </w:tc>
        <w:tc>
          <w:tcPr>
            <w:tcW w:w="4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Interest expense to investors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 amortization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4"/>
          </w:tcPr>
          <w:p>
            <w:pPr>
              <w:jc w:val="right"/>
              <w:ind w:right="133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Pr>
          <w:p>
            <w:pPr>
              <w:spacing w:after="0"/>
              <w:rPr>
                <w:sz w:val="18"/>
                <w:szCs w:val="18"/>
                <w:color w:val="auto"/>
              </w:rPr>
            </w:pPr>
          </w:p>
        </w:tc>
        <w:tc>
          <w:tcPr>
            <w:tcW w:w="184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September 30, 2020</w:t>
            </w:r>
          </w:p>
        </w:tc>
      </w:tr>
      <w:tr>
        <w:trPr>
          <w:trHeight w:val="212"/>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Inflows</w:t>
            </w: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Net proceeds from vacation ownership notes receivable securitizations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receipts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Interest receipts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release</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0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Outflows</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Principal to investors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Voluntary clean-up call</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to investors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Funding of restricted cash</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Net Cash Flows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0"/>
        </w:trPr>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terms of our vacation ownership notes receivable securitizations,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flows between us and the Warehouse Credit Facility VIE: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4"/>
          </w:tcPr>
          <w:p>
            <w:pPr>
              <w:jc w:val="right"/>
              <w:ind w:right="133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4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Pr>
          <w:p>
            <w:pPr>
              <w:spacing w:after="0"/>
              <w:rPr>
                <w:sz w:val="18"/>
                <w:szCs w:val="18"/>
                <w:color w:val="auto"/>
              </w:rPr>
            </w:pPr>
          </w:p>
        </w:tc>
        <w:tc>
          <w:tcPr>
            <w:tcW w:w="184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September 30, 2020</w:t>
            </w:r>
          </w:p>
        </w:tc>
        <w:tc>
          <w:tcPr>
            <w:tcW w:w="0" w:type="dxa"/>
            <w:vAlign w:val="bottom"/>
          </w:tcPr>
          <w:p>
            <w:pPr>
              <w:spacing w:after="0"/>
              <w:rPr>
                <w:sz w:val="1"/>
                <w:szCs w:val="1"/>
                <w:color w:val="auto"/>
              </w:rPr>
            </w:pP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Inflows</w:t>
            </w:r>
          </w:p>
        </w:tc>
        <w:tc>
          <w:tcPr>
            <w:tcW w:w="1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20"/>
              <w:spacing w:after="0"/>
              <w:rPr>
                <w:sz w:val="20"/>
                <w:szCs w:val="20"/>
                <w:color w:val="auto"/>
              </w:rPr>
            </w:pPr>
            <w:r>
              <w:rPr>
                <w:rFonts w:ascii="Arial" w:cs="Arial" w:eastAsia="Arial" w:hAnsi="Arial"/>
                <w:sz w:val="18"/>
                <w:szCs w:val="18"/>
                <w:color w:val="auto"/>
                <w:w w:val="98"/>
              </w:rPr>
              <w:t>Proceeds from vacation ownership notes receivable securitizations</w:t>
            </w:r>
          </w:p>
        </w:tc>
        <w:tc>
          <w:tcPr>
            <w:tcW w:w="17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receipts</w:t>
            </w: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460" w:type="dxa"/>
            <w:vAlign w:val="bottom"/>
          </w:tcPr>
          <w:p>
            <w:pPr>
              <w:ind w:left="220"/>
              <w:spacing w:after="0"/>
              <w:rPr>
                <w:sz w:val="20"/>
                <w:szCs w:val="20"/>
                <w:color w:val="auto"/>
              </w:rPr>
            </w:pPr>
            <w:r>
              <w:rPr>
                <w:rFonts w:ascii="Arial" w:cs="Arial" w:eastAsia="Arial" w:hAnsi="Arial"/>
                <w:sz w:val="18"/>
                <w:szCs w:val="18"/>
                <w:color w:val="auto"/>
              </w:rPr>
              <w:t>Interest receipts</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release</w:t>
            </w: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Outflows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20"/>
              <w:spacing w:after="0"/>
              <w:rPr>
                <w:sz w:val="20"/>
                <w:szCs w:val="20"/>
                <w:color w:val="auto"/>
              </w:rPr>
            </w:pPr>
            <w:r>
              <w:rPr>
                <w:rFonts w:ascii="Arial" w:cs="Arial" w:eastAsia="Arial" w:hAnsi="Arial"/>
                <w:sz w:val="18"/>
                <w:szCs w:val="18"/>
                <w:color w:val="auto"/>
              </w:rPr>
              <w:t>Principal to investors</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Voluntary repurchases of defaulted vacation ownership notes receivable</w:t>
            </w: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460" w:type="dxa"/>
            <w:vAlign w:val="bottom"/>
          </w:tcPr>
          <w:p>
            <w:pPr>
              <w:ind w:left="220"/>
              <w:spacing w:after="0"/>
              <w:rPr>
                <w:sz w:val="20"/>
                <w:szCs w:val="20"/>
                <w:color w:val="auto"/>
              </w:rPr>
            </w:pPr>
            <w:r>
              <w:rPr>
                <w:rFonts w:ascii="Arial" w:cs="Arial" w:eastAsia="Arial" w:hAnsi="Arial"/>
                <w:sz w:val="18"/>
                <w:szCs w:val="18"/>
                <w:color w:val="auto"/>
              </w:rPr>
              <w:t>Repayment of Warehouse Credit Facility</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to investors</w:t>
            </w: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ind w:left="1580"/>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460" w:type="dxa"/>
            <w:vAlign w:val="bottom"/>
          </w:tcPr>
          <w:p>
            <w:pPr>
              <w:ind w:left="220"/>
              <w:spacing w:after="0"/>
              <w:rPr>
                <w:sz w:val="20"/>
                <w:szCs w:val="20"/>
                <w:color w:val="auto"/>
              </w:rPr>
            </w:pPr>
            <w:r>
              <w:rPr>
                <w:rFonts w:ascii="Arial" w:cs="Arial" w:eastAsia="Arial" w:hAnsi="Arial"/>
                <w:sz w:val="18"/>
                <w:szCs w:val="18"/>
                <w:color w:val="auto"/>
              </w:rPr>
              <w:t>Funding of restricted cash</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ind w:left="1580"/>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Net Cash Flows</w:t>
            </w:r>
          </w:p>
        </w:tc>
        <w:tc>
          <w:tcPr>
            <w:tcW w:w="15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540" w:type="dxa"/>
            <w:vAlign w:val="bottom"/>
            <w:vMerge w:val="restart"/>
          </w:tcPr>
          <w:p>
            <w:pPr>
              <w:jc w:val="right"/>
              <w:ind w:right="1190"/>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54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4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Variable Interest Entities</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have a commitment to purchase an operating property located in San Francisco, California, that we currently manage as Marriott Vacation Club Pulse, San Francisco. We expect to acquire the operating property over time and as of September 30, 2021 are committed to make payments for the operating property as follows: $25 million in 2022 and $32 million in 2023. See Footnote 3 “Acquisitions and Dispositions” for information on the purchases that occurred during the first quarters of 2021 and 2020. We are required to purchase the property from the third-party developer unless the developer has sold the property to another party. The property is held by a VIE for which we are not the primary beneficiary as we cannot prevent the VIE from selling the property to another party at a higher price. Accordingly, we have not consolidated the VIE. As of September 30, 2021, our Balance Sheet reflected $2 million in Accounts Receivable, including a note receivable of less than $1 million, and $10 million in Other assets for a deposit related to the future acquisition of a portion of this property. We believe that our maximum exposure to loss as a result of our involvement with this VIE is approximately $12 million as of September 30, 2021.</w:t>
      </w:r>
    </w:p>
    <w:p>
      <w:pPr>
        <w:spacing w:after="0" w:line="7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have a commitment to purchase a property located in Waikiki, Hawaii, which was assigned to a third party during 2020. If we are unable to negotiate a capital efficient inventory arrangement, we are committed to purchase the property, in its then current form, for $104 million in 2022, unless it has been sold to another party. The property is held by a VIE for which we are not the primary beneficiary as we do not control the operations of the VIE. Accordingly, we have not consolidated the VIE. As of September 30, 2021, our Balance Sheet reflected $1 million in Accounts Receivable, including a note receivable of less than $1 million. We believe that our maximum exposure to loss as a result of our involvement with this VIE is approximately $1 million as of September 30,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consolidate the liabilities of the Marriott Vacations Worldwide Deferred Compensation Plan and the related assets, which consist of the COLI policies held in the rabbi trust. The rabbi trust is considered a VIE. We are considered the primary beneficiary of the rabbi trust because we direct the activities of the trust and are the beneficiary of the trust. At September 30, 2021, the value of the assets held in the rabbi trust was $70 million, which is included in the Other line within assets on our Balance Sheets.</w:t>
      </w:r>
    </w:p>
    <w:p>
      <w:pPr>
        <w:spacing w:after="0" w:line="264" w:lineRule="exact"/>
        <w:rPr>
          <w:sz w:val="20"/>
          <w:szCs w:val="20"/>
          <w:color w:val="auto"/>
        </w:rPr>
      </w:pPr>
    </w:p>
    <w:p>
      <w:pPr>
        <w:ind w:left="500" w:hanging="474"/>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21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76" w:lineRule="exact"/>
        <w:rPr>
          <w:sz w:val="20"/>
          <w:szCs w:val="20"/>
          <w:color w:val="auto"/>
        </w:rPr>
      </w:pPr>
    </w:p>
    <w:p>
      <w:pPr>
        <w:ind w:left="980" w:right="80" w:hanging="324"/>
        <w:spacing w:after="0" w:line="289" w:lineRule="auto"/>
        <w:tabs>
          <w:tab w:leader="none" w:pos="9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Vacation Ownership includes a diverse portfolio of resorts that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we have a license to use the St. Regis brand for specified fractional ownership resorts. In addition, as part of the Welk Acquisition, we acquired a short-term license to use the Welk brand in connection with the continued operations of that business. MVW intends to rebrand all Welk resorts as Hyatt-branded resorts once it has obtained all necessary approvals.</w:t>
      </w:r>
    </w:p>
    <w:p>
      <w:pPr>
        <w:spacing w:after="0" w:line="58" w:lineRule="exact"/>
        <w:rPr>
          <w:rFonts w:ascii="Arial" w:cs="Arial" w:eastAsia="Arial" w:hAnsi="Arial"/>
          <w:sz w:val="16"/>
          <w:szCs w:val="16"/>
          <w:color w:val="auto"/>
        </w:rPr>
      </w:pPr>
    </w:p>
    <w:p>
      <w:pPr>
        <w:ind w:left="980" w:right="180"/>
        <w:spacing w:after="0" w:line="263" w:lineRule="auto"/>
        <w:rPr>
          <w:rFonts w:ascii="Arial" w:cs="Arial" w:eastAsia="Arial" w:hAnsi="Arial"/>
          <w:sz w:val="16"/>
          <w:szCs w:val="16"/>
          <w:color w:val="auto"/>
        </w:rPr>
      </w:pPr>
      <w:r>
        <w:rPr>
          <w:rFonts w:ascii="Arial" w:cs="Arial" w:eastAsia="Arial" w:hAnsi="Arial"/>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75" w:lineRule="exact"/>
        <w:rPr>
          <w:rFonts w:ascii="Arial" w:cs="Arial" w:eastAsia="Arial" w:hAnsi="Arial"/>
          <w:sz w:val="16"/>
          <w:szCs w:val="16"/>
          <w:color w:val="auto"/>
        </w:rPr>
      </w:pPr>
    </w:p>
    <w:p>
      <w:pPr>
        <w:ind w:left="980" w:right="100" w:hanging="324"/>
        <w:spacing w:after="0" w:line="279" w:lineRule="auto"/>
        <w:tabs>
          <w:tab w:leader="none" w:pos="9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Exchange &amp; Third-Party Management includes exchange networks and membership programs, as well as management of resorts and lodging properties. We provide these services through a variety of brands including Interval International, Trading Places International, Vacation Resorts International, and Aqua-Aston. Exchange &amp; Third-Party Management revenue generally is fee-based and derived from membership, exchange and rental transactions, property and association management, and other related products and services.</w:t>
      </w:r>
    </w:p>
    <w:p>
      <w:pPr>
        <w:spacing w:after="0" w:line="63"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segment. We allocate depreciation, other gains and losses, equity in earnings or losses from our joint ventures and noncontrolling interest to each of our segments as appropriate. Corporate and other represents that portion of our results that are not allocable to our segments, including those relating to property owners’ associations consolidated under the voting interest model, as our CODM does not use this information to make operating segment resource allocations. Prior year segment information has been reclassified to conform to the current reportable segment presentation.</w:t>
      </w:r>
    </w:p>
    <w:p>
      <w:pPr>
        <w:spacing w:after="0" w:line="4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CODM uses Adjusted EBITDA to evaluate the profitability of our operating segments, and the components of net income attributable to common shareholders excluded from Adjusted EBITDA are not separately evaluated. Adjusted EBITDA is defined as net income or loss attributable to common shareholders, before interest expense (excluding consumer financing interest expense associated with term loan securitization transactions), income taxes, depreciation and amortization, excluding share-based compensation expense and adjusted for certain items that affect the comparability of our operating performance. Our reconciliation of the aggregate amount of Adjusted EBITDA for our reportable segments to consolidated net income (loss) attributable to common shareholders is presented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6"/>
          </w:tcPr>
          <w:p>
            <w:pPr>
              <w:ind w:left="9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520" w:type="dxa"/>
            <w:vAlign w:val="bottom"/>
            <w:gridSpan w:val="8"/>
          </w:tcPr>
          <w:p>
            <w:pPr>
              <w:jc w:val="right"/>
              <w:ind w:right="11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right"/>
              <w:ind w:right="133"/>
              <w:spacing w:after="0"/>
              <w:rPr>
                <w:sz w:val="20"/>
                <w:szCs w:val="20"/>
                <w:color w:val="auto"/>
              </w:rPr>
            </w:pPr>
            <w:r>
              <w:rPr>
                <w:rFonts w:ascii="Arial" w:cs="Arial" w:eastAsia="Arial" w:hAnsi="Arial"/>
                <w:sz w:val="16"/>
                <w:szCs w:val="16"/>
                <w:b w:val="1"/>
                <w:bCs w:val="1"/>
                <w:color w:val="auto"/>
                <w:w w:val="92"/>
              </w:rPr>
              <w:t>September 30, 2020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4"/>
          </w:tcPr>
          <w:p>
            <w:pPr>
              <w:jc w:val="right"/>
              <w:ind w:right="110"/>
              <w:spacing w:after="0"/>
              <w:rPr>
                <w:sz w:val="20"/>
                <w:szCs w:val="20"/>
                <w:color w:val="auto"/>
              </w:rPr>
            </w:pPr>
            <w:r>
              <w:rPr>
                <w:rFonts w:ascii="Arial" w:cs="Arial" w:eastAsia="Arial" w:hAnsi="Arial"/>
                <w:sz w:val="16"/>
                <w:szCs w:val="16"/>
                <w:b w:val="1"/>
                <w:bCs w:val="1"/>
                <w:color w:val="auto"/>
                <w:w w:val="93"/>
              </w:rPr>
              <w:t>September 30, 2021</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w w:val="92"/>
              </w:rPr>
              <w:t>September 30, 2020</w:t>
            </w:r>
          </w:p>
        </w:tc>
        <w:tc>
          <w:tcPr>
            <w:tcW w:w="0" w:type="dxa"/>
            <w:vAlign w:val="bottom"/>
          </w:tcPr>
          <w:p>
            <w:pPr>
              <w:spacing w:after="0"/>
              <w:rPr>
                <w:sz w:val="1"/>
                <w:szCs w:val="1"/>
                <w:color w:val="auto"/>
              </w:rPr>
            </w:pPr>
          </w:p>
        </w:tc>
      </w:tr>
      <w:tr>
        <w:trPr>
          <w:trHeight w:val="226"/>
        </w:trPr>
        <w:tc>
          <w:tcPr>
            <w:tcW w:w="37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Vacation Ownership</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Exchange &amp; Third-Party Management</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249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revenues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520" w:type="dxa"/>
            <w:vAlign w:val="bottom"/>
            <w:gridSpan w:val="8"/>
          </w:tcPr>
          <w:p>
            <w:pPr>
              <w:spacing w:after="0"/>
              <w:rPr>
                <w:sz w:val="20"/>
                <w:szCs w:val="20"/>
                <w:color w:val="auto"/>
              </w:rPr>
            </w:pPr>
            <w:r>
              <w:rPr>
                <w:rFonts w:ascii="Arial" w:cs="Arial" w:eastAsia="Arial" w:hAnsi="Arial"/>
                <w:sz w:val="18"/>
                <w:szCs w:val="18"/>
                <w:b w:val="1"/>
                <w:bCs w:val="1"/>
                <w:i w:val="1"/>
                <w:iCs w:val="1"/>
                <w:color w:val="auto"/>
                <w:w w:val="90"/>
              </w:rPr>
              <w:t>Adjusted EBITDA and Reconciliation to Net Income (Loss) Attributable to Common Shareholders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20" w:type="dxa"/>
            <w:vAlign w:val="bottom"/>
            <w:gridSpan w:val="6"/>
          </w:tcPr>
          <w:p>
            <w:pPr>
              <w:ind w:left="9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24"/>
                <w:szCs w:val="24"/>
                <w:color w:val="auto"/>
              </w:rPr>
            </w:pPr>
          </w:p>
        </w:tc>
        <w:tc>
          <w:tcPr>
            <w:tcW w:w="3520" w:type="dxa"/>
            <w:vAlign w:val="bottom"/>
            <w:gridSpan w:val="8"/>
          </w:tcPr>
          <w:p>
            <w:pPr>
              <w:jc w:val="right"/>
              <w:ind w:right="11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right"/>
              <w:ind w:right="133"/>
              <w:spacing w:after="0"/>
              <w:rPr>
                <w:sz w:val="20"/>
                <w:szCs w:val="20"/>
                <w:color w:val="auto"/>
              </w:rPr>
            </w:pPr>
            <w:r>
              <w:rPr>
                <w:rFonts w:ascii="Arial" w:cs="Arial" w:eastAsia="Arial" w:hAnsi="Arial"/>
                <w:sz w:val="16"/>
                <w:szCs w:val="16"/>
                <w:b w:val="1"/>
                <w:bCs w:val="1"/>
                <w:color w:val="auto"/>
                <w:w w:val="92"/>
              </w:rPr>
              <w:t>September 30, 2020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4"/>
          </w:tcPr>
          <w:p>
            <w:pPr>
              <w:jc w:val="right"/>
              <w:ind w:right="110"/>
              <w:spacing w:after="0"/>
              <w:rPr>
                <w:sz w:val="20"/>
                <w:szCs w:val="20"/>
                <w:color w:val="auto"/>
              </w:rPr>
            </w:pPr>
            <w:r>
              <w:rPr>
                <w:rFonts w:ascii="Arial" w:cs="Arial" w:eastAsia="Arial" w:hAnsi="Arial"/>
                <w:sz w:val="16"/>
                <w:szCs w:val="16"/>
                <w:b w:val="1"/>
                <w:bCs w:val="1"/>
                <w:color w:val="auto"/>
                <w:w w:val="93"/>
              </w:rPr>
              <w:t>September 30, 2021</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w w:val="92"/>
              </w:rPr>
              <w:t>September 30, 2020</w:t>
            </w:r>
          </w:p>
        </w:tc>
        <w:tc>
          <w:tcPr>
            <w:tcW w:w="0" w:type="dxa"/>
            <w:vAlign w:val="bottom"/>
          </w:tcPr>
          <w:p>
            <w:pPr>
              <w:spacing w:after="0"/>
              <w:rPr>
                <w:sz w:val="1"/>
                <w:szCs w:val="1"/>
                <w:color w:val="auto"/>
              </w:rPr>
            </w:pPr>
          </w:p>
        </w:tc>
      </w:tr>
      <w:tr>
        <w:trPr>
          <w:trHeight w:val="22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Vacation Ownership</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465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line="176" w:lineRule="exact"/>
              <w:rPr>
                <w:sz w:val="20"/>
                <w:szCs w:val="20"/>
                <w:color w:val="auto"/>
              </w:rPr>
            </w:pPr>
            <w:r>
              <w:rPr>
                <w:rFonts w:ascii="Arial" w:cs="Arial" w:eastAsia="Arial" w:hAnsi="Arial"/>
                <w:sz w:val="18"/>
                <w:szCs w:val="18"/>
                <w:color w:val="auto"/>
              </w:rPr>
              <w:t>Adjusted EBITDA Exchange &amp; Third-Party</w:t>
            </w:r>
          </w:p>
        </w:tc>
        <w:tc>
          <w:tcPr>
            <w:tcW w:w="16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gridSpan w:val="3"/>
            <w:vMerge w:val="restart"/>
          </w:tcPr>
          <w:p>
            <w:pPr>
              <w:jc w:val="right"/>
              <w:spacing w:after="0"/>
              <w:rPr>
                <w:sz w:val="20"/>
                <w:szCs w:val="20"/>
                <w:color w:val="auto"/>
              </w:rPr>
            </w:pPr>
            <w:r>
              <w:rPr>
                <w:rFonts w:ascii="Arial" w:cs="Arial" w:eastAsia="Arial" w:hAnsi="Arial"/>
                <w:sz w:val="18"/>
                <w:szCs w:val="18"/>
                <w:color w:val="auto"/>
                <w:w w:val="86"/>
              </w:rPr>
              <w:t>113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Management</w:t>
            </w:r>
          </w:p>
        </w:tc>
        <w:tc>
          <w:tcPr>
            <w:tcW w:w="16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Reconciling items: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20"/>
              <w:spacing w:after="0"/>
              <w:rPr>
                <w:sz w:val="20"/>
                <w:szCs w:val="20"/>
                <w:color w:val="auto"/>
              </w:rPr>
            </w:pPr>
            <w:r>
              <w:rPr>
                <w:rFonts w:ascii="Arial" w:cs="Arial" w:eastAsia="Arial" w:hAnsi="Arial"/>
                <w:sz w:val="18"/>
                <w:szCs w:val="18"/>
                <w:color w:val="auto"/>
              </w:rPr>
              <w:t>Corporate and other</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3740" w:type="dxa"/>
            <w:vAlign w:val="bottom"/>
          </w:tcPr>
          <w:p>
            <w:pPr>
              <w:ind w:left="220"/>
              <w:spacing w:after="0"/>
              <w:rPr>
                <w:sz w:val="20"/>
                <w:szCs w:val="20"/>
                <w:color w:val="auto"/>
              </w:rPr>
            </w:pPr>
            <w:r>
              <w:rPr>
                <w:rFonts w:ascii="Arial" w:cs="Arial" w:eastAsia="Arial" w:hAnsi="Arial"/>
                <w:sz w:val="18"/>
                <w:szCs w:val="18"/>
                <w:color w:val="auto"/>
              </w:rPr>
              <w:t>Tax (provision) benefit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93"/>
              </w:rPr>
              <w:t>(63)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374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93"/>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Certain items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55"/>
        </w:trPr>
        <w:tc>
          <w:tcPr>
            <w:tcW w:w="3740" w:type="dxa"/>
            <w:vAlign w:val="bottom"/>
          </w:tcPr>
          <w:p>
            <w:pPr>
              <w:ind w:left="20"/>
              <w:spacing w:after="0" w:line="156" w:lineRule="exact"/>
              <w:rPr>
                <w:sz w:val="20"/>
                <w:szCs w:val="20"/>
                <w:color w:val="auto"/>
              </w:rPr>
            </w:pPr>
            <w:r>
              <w:rPr>
                <w:rFonts w:ascii="Arial" w:cs="Arial" w:eastAsia="Arial" w:hAnsi="Arial"/>
                <w:sz w:val="18"/>
                <w:szCs w:val="18"/>
                <w:color w:val="auto"/>
              </w:rPr>
              <w:t>Net income (loss) attributable to common</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spacing w:after="0"/>
              <w:rPr>
                <w:sz w:val="13"/>
                <w:szCs w:val="13"/>
                <w:color w:val="auto"/>
              </w:rPr>
            </w:pPr>
          </w:p>
        </w:tc>
        <w:tc>
          <w:tcPr>
            <w:tcW w:w="340" w:type="dxa"/>
            <w:vAlign w:val="bottom"/>
            <w:gridSpan w:val="3"/>
            <w:vMerge w:val="restart"/>
          </w:tcPr>
          <w:p>
            <w:pPr>
              <w:jc w:val="right"/>
              <w:spacing w:after="0"/>
              <w:rPr>
                <w:sz w:val="20"/>
                <w:szCs w:val="20"/>
                <w:color w:val="auto"/>
              </w:rPr>
            </w:pPr>
            <w:r>
              <w:rPr>
                <w:rFonts w:ascii="Arial" w:cs="Arial" w:eastAsia="Arial" w:hAnsi="Arial"/>
                <w:sz w:val="18"/>
                <w:szCs w:val="18"/>
                <w:color w:val="auto"/>
                <w:w w:val="93"/>
              </w:rPr>
              <w:t>(12)</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shareholders</w:t>
            </w:r>
          </w:p>
        </w:tc>
        <w:tc>
          <w:tcPr>
            <w:tcW w:w="16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Assets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20" w:type="dxa"/>
            <w:vAlign w:val="bottom"/>
            <w:gridSpan w:val="4"/>
          </w:tcPr>
          <w:p>
            <w:pPr>
              <w:jc w:val="right"/>
              <w:ind w:right="152"/>
              <w:spacing w:after="0"/>
              <w:rPr>
                <w:sz w:val="20"/>
                <w:szCs w:val="20"/>
                <w:color w:val="auto"/>
              </w:rPr>
            </w:pPr>
            <w:r>
              <w:rPr>
                <w:rFonts w:ascii="Arial" w:cs="Arial" w:eastAsia="Arial" w:hAnsi="Arial"/>
                <w:sz w:val="16"/>
                <w:szCs w:val="16"/>
                <w:b w:val="1"/>
                <w:bCs w:val="1"/>
                <w:color w:val="auto"/>
              </w:rPr>
              <w:t>At September 30, 2021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w w:val="95"/>
              </w:rPr>
              <w:t>At December 31, 2020</w:t>
            </w:r>
          </w:p>
        </w:tc>
        <w:tc>
          <w:tcPr>
            <w:tcW w:w="0" w:type="dxa"/>
            <w:vAlign w:val="bottom"/>
          </w:tcPr>
          <w:p>
            <w:pPr>
              <w:spacing w:after="0"/>
              <w:rPr>
                <w:sz w:val="1"/>
                <w:szCs w:val="1"/>
                <w:color w:val="auto"/>
              </w:rPr>
            </w:pPr>
          </w:p>
        </w:tc>
      </w:tr>
      <w:tr>
        <w:trPr>
          <w:trHeight w:val="22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16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16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conduct business globally, and our operations outside the United States represented approximately 10 percent and 8 percent of our revenues, excluding cost reimbursements, for the three months ended September 30, 2021 and September 30, 2020, respectively, and 10 percent of our revenues, excluding cost reimbursements, for each of the nine months ended September 30, 2021 and September 30, 2020.</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make forward-looking statements in this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such as our plans to continue to increase focus on sales to first-time buyers; financing plans; competitive position; potential growth opportunities; potential operating performance improvements, including expectations that contract sales and rental occupancies will continue to improve throughout the remainder of 2021 and that interest income will begin to increase in the remainder of 2021 and into 2022; the effects of competition; and the ongoing effect of the COVID-19 pandemic and actions we or others may take in response to the COVID-19 pandemic.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0"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We caution you that these statements are not guarantees of future performance and are subject to numerous and evolving risks and uncertainties that we may not be able to predict or assess, such as: the effects of the COVID-19 pandemic, including reduced demand for vacation ownership and exchange products and services, volatility in the international and national economy and credit markets, worker absenteeism, quarantines or other government-imposed travel or health-related restrictions; the length and severity of the COVID-19 pandemic, including its short and longer-term impact on the demand for travel and on consumer confidence; the impact of the availability and distribution of effective vaccines on the demand for travel and consumer confidence; the effectiveness of available vaccines against variants of the virus, including the Delta variant; the pace of recovery following the COVID-19 pandemic or as effective treatments or vaccines become widely available; competitive conditions; the availability of capital to finance growth; the effects of steps we have taken and may continue to take to reduce operating costs and/or enhance health and cleanliness protocols at our resorts due to the COVID-19 pandemic; political or social strife, and other matters referred to under the heading “Risk Factors” contained herein and also in our most recent Annual Report on Form 10-K, and which may be discussed in our periodic filings with the U.S. Securities and Exchange Commission (the “SEC”), any of which could cause actual results to differ materially from those expressed or implied herein. There may be other risks and uncertainties that we cannot predict at this time or that we currently do not expect will have a material adverse effect on our financial position, results of operations or cash flows. We do not undertake any obligation to publicly update or revise any forward-looking statement, whether as a result of new information, future events, or otherwise.</w:t>
      </w:r>
    </w:p>
    <w:p>
      <w:pPr>
        <w:spacing w:after="0" w:line="81"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of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7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Vacation Ownership segment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we have a license to use the St. Regis brand for specified fractional ownership resorts. In addition, as part of our acquisition of Welk Hospitality Group, Inc. (“Welk”) through a series of transactions (the “Welk Acquisition”), we acquired a short-term license to use the Welk brand in connection with the continued operations of that business. We intend to rebrand all Welk resorts as Hyatt-branded resorts once we obtain all necessary approvals.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7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Exchange &amp; Third-Party Management segment includes exchange networks and membership programs, as well as management of resorts and lodging properties. We provide these services through a variety of brands including Interval International, Trading Places International (“TPI”), Vacation Resorts International (“VRI”), and Aqua-Aston. Exchange &amp; Third-Party Management revenue generally is fee-based and derived from membership, exchange and rental transactions, property and association management, and other related products and services.</w:t>
      </w:r>
    </w:p>
    <w:p>
      <w:pPr>
        <w:spacing w:after="0" w:line="6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Corporate and other represents that portion of our results that are not allocable to our segments, including those relating to property owners’ associations consolidated under the voting interest model (“Consolidated Property Owners’ Associations”).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Welk</w:t>
      </w:r>
    </w:p>
    <w:p>
      <w:pPr>
        <w:spacing w:after="0" w:line="11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On April 1, 2021, we completed the Welk Acquisition, after which Welk became our indirect wholly-owned subsidiary. The Financial Statements in this report include Welk’s results of operations for the second and third quarters of 2021 and reflect the financial position of our combined company at September 30, 2021. We refer to Welk’s business and brands that we acquired as “Legacy-Welk.”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 Update</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COVID-19 pandemic has caused significant disruptions in international and U.S. economies and markets. At this time, our businesses continue to ramp up, with the majority of our sales centers, resorts, and other properties having reopened. While our contract sales and financial results remain below pre-pandemic levels, we have continued to experience significant sequential improvement each quarter as we progressed through 2020 and the first three quarters of 2021. We expect that sequential improvement to continue across our businesses during the fourth quarter of 2021. We discuss the COVID-19 pandemic and its current and potential future implications in this report; however, the COVID-19 pandemic, and any recovery therefrom, is evolving and its potential impact on our business in the future remains uncertain.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Used in Describing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recognize revenues from the sale of vacation ownership products (“VOIs”) when control of the vacation ownership product is transferred to the customer and the transaction price is deemed collectible. Based upon the different terms of the contracts with the customer and business practices, control of the vacation ownership product is transferred to the customer at closing for Legacy-MVW and Legacy-Welk transactions and upon expiration of the statutory rescission period for Legacy-ILG transactions. 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also provide sales incentives to certain purchasers. These sales incentives typically include Marriott Bonvoy points, World of Hyatt points or an alternative sales incentive that we refer to as “plus points.” These plus points are redeemable for stays at our resorts or for use in other third-party offerings, generally up to two years from the date of issuance. Typically, sales incentives are only awarded if the sale is closed.</w:t>
      </w:r>
    </w:p>
    <w:p>
      <w:pPr>
        <w:spacing w:after="0" w:line="57"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There may be timing differences between the date of the contract with the customer and when revenue is recognized. When comparing results year-over-year, this timing difference may generate significant variances, which we refer to as the impact of revenue reportability.</w:t>
      </w:r>
    </w:p>
    <w:p>
      <w:pPr>
        <w:spacing w:after="0" w:line="3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Finally, as more fully described in “</w:t>
      </w:r>
      <w:r>
        <w:rPr>
          <w:rFonts w:ascii="Arial" w:cs="Arial" w:eastAsia="Arial" w:hAnsi="Arial"/>
          <w:sz w:val="18"/>
          <w:szCs w:val="18"/>
          <w:i w:val="1"/>
          <w:iCs w:val="1"/>
          <w:color w:val="auto"/>
        </w:rPr>
        <w:t>Financing</w:t>
      </w:r>
      <w:r>
        <w:rPr>
          <w:rFonts w:ascii="Arial" w:cs="Arial" w:eastAsia="Arial" w:hAnsi="Arial"/>
          <w:sz w:val="18"/>
          <w:szCs w:val="18"/>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7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report, on a supplemental basis, contract sales for our Vacation Ownership segment. Contract sales consist of the total amount of vacation ownership product sales under contract signed during the period where we have generally received a down payment of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requirements for revenue recognition described above. We consider contract sales to be an important operating measure because it reflects the pace of sales in our business.</w:t>
      </w:r>
    </w:p>
    <w:p>
      <w:pPr>
        <w:spacing w:after="0" w:line="62" w:lineRule="exact"/>
        <w:rPr>
          <w:sz w:val="20"/>
          <w:szCs w:val="20"/>
          <w:color w:val="auto"/>
        </w:rPr>
      </w:pPr>
    </w:p>
    <w:p>
      <w:pPr>
        <w:jc w:val="both"/>
        <w:ind w:right="120" w:firstLine="648"/>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70"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We refer to revenues from the sale of vacation ownership products less the cost of vacation ownership products and marketing and sales costs as Development profit. Development profit margin is calculated by dividing Development profit by revenues from the Sale of vacation ownership products. We previously used the term Development margin to refer to revenues from the Sale of vacation ownership products less the Cost of vacation ownership products and marketing and sales costs. Beginning in the first quarter of 2021, we now refer to this financial measure as Development profit. While the calculation remains unchanged, we believe the revised term better depicts the financial results being presented.</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and Exchange</w:t>
      </w:r>
    </w:p>
    <w:p>
      <w:pPr>
        <w:spacing w:after="0" w:line="117"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Our management and exchange revenues include revenues generated from fees we earn for managing each of our vacation ownership resorts, providing property management, property owners’ association management and related services to third-party vacation ownership resorts and fees we earn for providing rental services and related hotel, condominium resort, and property owners’ association management services to vacation property owners.</w:t>
      </w:r>
    </w:p>
    <w:p>
      <w:pPr>
        <w:spacing w:after="0" w:line="4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76"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Management and exchange expenses include costs to operate food and beverage outlets and other ancillary operations and to provide overall customer support services, including reservations, and certain transaction-based expenses relating to external exchange service providers.</w:t>
      </w:r>
    </w:p>
    <w:p>
      <w:pPr>
        <w:spacing w:after="0" w:line="1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our Vacation Ownership segment and Consolidated Property Owners’ Associations, we refer to these activities as “Resort Management and Other Services.”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720" w:firstLine="648"/>
        <w:spacing w:after="0" w:line="274"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tbl>
      <w:tblPr>
        <w:tblLayout w:type="fixed"/>
        <w:tblInd w:w="66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31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6"/>
                <w:szCs w:val="16"/>
                <w:b w:val="1"/>
                <w:bCs w:val="1"/>
                <w:color w:val="auto"/>
              </w:rPr>
              <w:t>Nine Months Ended</w:t>
            </w:r>
          </w:p>
        </w:tc>
      </w:tr>
      <w:tr>
        <w:trPr>
          <w:trHeight w:val="159"/>
        </w:trPr>
        <w:tc>
          <w:tcPr>
            <w:tcW w:w="5540" w:type="dxa"/>
            <w:vAlign w:val="bottom"/>
          </w:tcPr>
          <w:p>
            <w:pPr>
              <w:spacing w:after="0"/>
              <w:rPr>
                <w:sz w:val="13"/>
                <w:szCs w:val="13"/>
                <w:color w:val="auto"/>
              </w:rPr>
            </w:pPr>
          </w:p>
        </w:tc>
        <w:tc>
          <w:tcPr>
            <w:tcW w:w="1640" w:type="dxa"/>
            <w:vAlign w:val="bottom"/>
            <w:gridSpan w:val="2"/>
          </w:tcPr>
          <w:p>
            <w:pPr>
              <w:jc w:val="center"/>
              <w:ind w:left="457"/>
              <w:spacing w:after="0" w:line="158" w:lineRule="exact"/>
              <w:rPr>
                <w:sz w:val="20"/>
                <w:szCs w:val="20"/>
                <w:color w:val="auto"/>
              </w:rPr>
            </w:pPr>
            <w:r>
              <w:rPr>
                <w:rFonts w:ascii="Arial" w:cs="Arial" w:eastAsia="Arial" w:hAnsi="Arial"/>
                <w:sz w:val="16"/>
                <w:szCs w:val="16"/>
                <w:b w:val="1"/>
                <w:bCs w:val="1"/>
                <w:color w:val="auto"/>
                <w:w w:val="89"/>
              </w:rPr>
              <w:t>September</w:t>
            </w:r>
          </w:p>
        </w:tc>
        <w:tc>
          <w:tcPr>
            <w:tcW w:w="1540" w:type="dxa"/>
            <w:vAlign w:val="bottom"/>
          </w:tcPr>
          <w:p>
            <w:pPr>
              <w:jc w:val="center"/>
              <w:ind w:left="556"/>
              <w:spacing w:after="0" w:line="158" w:lineRule="exact"/>
              <w:rPr>
                <w:sz w:val="20"/>
                <w:szCs w:val="20"/>
                <w:color w:val="auto"/>
              </w:rPr>
            </w:pPr>
            <w:r>
              <w:rPr>
                <w:rFonts w:ascii="Arial" w:cs="Arial" w:eastAsia="Arial" w:hAnsi="Arial"/>
                <w:sz w:val="16"/>
                <w:szCs w:val="16"/>
                <w:b w:val="1"/>
                <w:bCs w:val="1"/>
                <w:color w:val="auto"/>
                <w:w w:val="89"/>
              </w:rPr>
              <w:t>September</w:t>
            </w:r>
          </w:p>
        </w:tc>
      </w:tr>
      <w:tr>
        <w:trPr>
          <w:trHeight w:val="213"/>
        </w:trPr>
        <w:tc>
          <w:tcPr>
            <w:tcW w:w="55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30, 2021</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30, 2020</w:t>
            </w:r>
          </w:p>
        </w:tc>
      </w:tr>
      <w:tr>
        <w:trPr>
          <w:trHeight w:val="226"/>
        </w:trPr>
        <w:tc>
          <w:tcPr>
            <w:tcW w:w="5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Average FICO score</w:t>
            </w:r>
          </w:p>
        </w:tc>
        <w:tc>
          <w:tcPr>
            <w:tcW w:w="15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731</w:t>
            </w:r>
          </w:p>
        </w:tc>
      </w:tr>
    </w:tbl>
    <w:p>
      <w:pPr>
        <w:spacing w:after="0" w:line="20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typical financing agreement provides for monthly payments of principal and interest with the principal balance of the loan fully amortizing over the term of the related vacation ownership note receivable, which is generally ten to fifteen years. Included within our vacation ownership notes receivable are originated vacation ownership notes receivable and vacation ownership notes receivable acquired in connection with the ILG Acquisition and the Welk Acquisition.</w:t>
      </w:r>
    </w:p>
    <w:p>
      <w:pPr>
        <w:spacing w:after="0" w:line="7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interest income earned from the originated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The amount of interest income earned in a period depends on the amount of outstanding vacation ownership notes receivable, which is impacted positively by the origination of new vacation ownership notes receivable and negatively by principal collections. We calculate financing propensity as contract sales volume of finance contracts originated in the period divided by contract sales volume of all contracts originated in the period. We do not include resales contract sales in the financing propensity calculation. Financing propensity was 60 percent in the third quarter of 2021 and 43 percent in the third quarter of 2020; the higher financing propensity in the third quarter of 2021 is due to a higher percentage of sales during this period to first-time-buyers, who tend to have a higher financing propensity. As we proceed into 2022, we expect to continue to shift back to an increased focus on sales to first-time buyers, which should further increase propensity and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increase interest income as new originations of vacation ownership notes receivable outpace the decline in principal of existing vacation ownership notes receivable.</w:t>
      </w:r>
    </w:p>
    <w:p>
      <w:pPr>
        <w:spacing w:after="0" w:line="6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Historical default rates, which represent defaults as a percentage of each year’s beginning gross vacation ownership notes receivable balance, were as follows:</w:t>
      </w:r>
    </w:p>
    <w:p>
      <w:pPr>
        <w:spacing w:after="0" w:line="90"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31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5540" w:type="dxa"/>
            <w:vAlign w:val="bottom"/>
          </w:tcPr>
          <w:p>
            <w:pPr>
              <w:spacing w:after="0"/>
              <w:rPr>
                <w:sz w:val="13"/>
                <w:szCs w:val="13"/>
                <w:color w:val="auto"/>
              </w:rPr>
            </w:pPr>
          </w:p>
        </w:tc>
        <w:tc>
          <w:tcPr>
            <w:tcW w:w="1640" w:type="dxa"/>
            <w:vAlign w:val="bottom"/>
            <w:gridSpan w:val="2"/>
          </w:tcPr>
          <w:p>
            <w:pPr>
              <w:jc w:val="center"/>
              <w:ind w:left="457"/>
              <w:spacing w:after="0" w:line="158" w:lineRule="exact"/>
              <w:rPr>
                <w:sz w:val="20"/>
                <w:szCs w:val="20"/>
                <w:color w:val="auto"/>
              </w:rPr>
            </w:pPr>
            <w:r>
              <w:rPr>
                <w:rFonts w:ascii="Arial" w:cs="Arial" w:eastAsia="Arial" w:hAnsi="Arial"/>
                <w:sz w:val="16"/>
                <w:szCs w:val="16"/>
                <w:b w:val="1"/>
                <w:bCs w:val="1"/>
                <w:color w:val="auto"/>
                <w:w w:val="89"/>
              </w:rPr>
              <w:t>September</w:t>
            </w:r>
          </w:p>
        </w:tc>
        <w:tc>
          <w:tcPr>
            <w:tcW w:w="1540" w:type="dxa"/>
            <w:vAlign w:val="bottom"/>
          </w:tcPr>
          <w:p>
            <w:pPr>
              <w:jc w:val="center"/>
              <w:ind w:left="556"/>
              <w:spacing w:after="0" w:line="158" w:lineRule="exact"/>
              <w:rPr>
                <w:sz w:val="20"/>
                <w:szCs w:val="20"/>
                <w:color w:val="auto"/>
              </w:rPr>
            </w:pPr>
            <w:r>
              <w:rPr>
                <w:rFonts w:ascii="Arial" w:cs="Arial" w:eastAsia="Arial" w:hAnsi="Arial"/>
                <w:sz w:val="16"/>
                <w:szCs w:val="16"/>
                <w:b w:val="1"/>
                <w:bCs w:val="1"/>
                <w:color w:val="auto"/>
                <w:w w:val="89"/>
              </w:rPr>
              <w:t>September</w:t>
            </w:r>
          </w:p>
        </w:tc>
      </w:tr>
      <w:tr>
        <w:trPr>
          <w:trHeight w:val="213"/>
        </w:trPr>
        <w:tc>
          <w:tcPr>
            <w:tcW w:w="55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30, 2021</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30, 2020</w:t>
            </w:r>
          </w:p>
        </w:tc>
      </w:tr>
      <w:tr>
        <w:trPr>
          <w:trHeight w:val="226"/>
        </w:trPr>
        <w:tc>
          <w:tcPr>
            <w:tcW w:w="5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Historical default rates</w:t>
            </w:r>
          </w:p>
        </w:tc>
        <w:tc>
          <w:tcPr>
            <w:tcW w:w="15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4.9%</w:t>
            </w:r>
          </w:p>
        </w:tc>
      </w:tr>
    </w:tbl>
    <w:p>
      <w:pPr>
        <w:spacing w:after="0" w:line="20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Financing expenses include consumer financing interest expense, which represents interest expense associated with the securitization of our vacation ownership notes receivable, costs to support the financing, servicing and securitization processes and changes in expected credit losses related to acquired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We also recognize rental revenue from the utilization of plus points under our points-based products when the points are redeemed for rental stays at one of our resorts or in other third-party offerings.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ASC Topic 978, “</w:t>
      </w:r>
      <w:r>
        <w:rPr>
          <w:rFonts w:ascii="Arial" w:cs="Arial" w:eastAsia="Arial" w:hAnsi="Arial"/>
          <w:sz w:val="16"/>
          <w:szCs w:val="16"/>
          <w:i w:val="1"/>
          <w:iCs w:val="1"/>
          <w:color w:val="auto"/>
        </w:rPr>
        <w:t>Real Estate - Time-Sharing Activities</w:t>
      </w:r>
      <w:r>
        <w:rPr>
          <w:rFonts w:ascii="Arial" w:cs="Arial" w:eastAsia="Arial" w:hAnsi="Arial"/>
          <w:sz w:val="16"/>
          <w:szCs w:val="16"/>
          <w:color w:val="auto"/>
        </w:rPr>
        <w:t>” (“ASC 978”). The rental activity associated with discounted vacation packages requiring a tour (“preview stays”) is not included in transient rental metrics, and because the majority of these preview stays are sourced directly or indirectly from unsold inventory, the associated revenues and expenses are reported net in Marketing and sales expense.</w:t>
      </w:r>
    </w:p>
    <w:p>
      <w:pPr>
        <w:spacing w:after="0" w:line="60"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In our Exchange &amp; Third-Party Management segment, we offer vacation rental opportunities at managed properties through VRI, TPI, and Aqua-Aston. We also offer vacation rental offers knows as Getaways to members of the Interval International Network and certain other membership programs. The offering of Getaways allows us to monetize excess availability of resort accommodations within the applicable exchange network, as well as provide additional vacation opportunities to members. Resort accommodations available as Getaways typically result from seasonal oversupply or underutilized space in the applicable exchange program, as well as resort accommodations specifically sourced for the Getaways program.</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include:</w:t>
      </w:r>
    </w:p>
    <w:p>
      <w:pPr>
        <w:spacing w:after="0" w:line="63" w:lineRule="exact"/>
        <w:rPr>
          <w:sz w:val="20"/>
          <w:szCs w:val="20"/>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Maintenance and other fees on unsold inventory;</w:t>
      </w:r>
    </w:p>
    <w:p>
      <w:pPr>
        <w:spacing w:after="0" w:line="63" w:lineRule="exact"/>
        <w:rPr>
          <w:rFonts w:ascii="Arial" w:cs="Arial" w:eastAsia="Arial" w:hAnsi="Arial"/>
          <w:sz w:val="18"/>
          <w:szCs w:val="18"/>
          <w:color w:val="auto"/>
        </w:rPr>
      </w:pPr>
    </w:p>
    <w:p>
      <w:pPr>
        <w:ind w:left="1300" w:right="300" w:hanging="320"/>
        <w:spacing w:after="0" w:line="277" w:lineRule="auto"/>
        <w:tabs>
          <w:tab w:leader="none" w:pos="12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Bonvoy points, World of Hyatt points and offerings available as part of third-party offerings, for owners who elect to exchange their inventory;</w:t>
      </w:r>
    </w:p>
    <w:p>
      <w:pPr>
        <w:spacing w:after="0" w:line="8" w:lineRule="exact"/>
        <w:rPr>
          <w:rFonts w:ascii="Arial" w:cs="Arial" w:eastAsia="Arial" w:hAnsi="Arial"/>
          <w:sz w:val="18"/>
          <w:szCs w:val="18"/>
          <w:color w:val="auto"/>
        </w:rPr>
      </w:pPr>
    </w:p>
    <w:p>
      <w:pPr>
        <w:ind w:left="1300" w:right="400" w:hanging="320"/>
        <w:spacing w:after="0" w:line="277" w:lineRule="auto"/>
        <w:tabs>
          <w:tab w:leader="none" w:pos="12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labor costs, credit card expenses and reservation services); and</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to secure resort accommodations for use in Getaways.</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In addition, rental metrics may not correlate with rental revenues due to the requirement to report certain rental revenues net of rental expenses in accordance with ASC 978 (as discussed above). Further, as our ability to rent certain luxury and other inventory is often limited on a site-by-site basis, rental operations may not generate adequate rental revenues to cover associated costs. Our Vacation Ownership segment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typically represent two keys and non-lock-off</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villas represent one key. The “transient keys” metric represents the blended mix of occupancy available for rent and includes all of the combined inventory configurations available in our resort system.</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Cost reimbursements include direct and indirect costs that are reimbursed to us by customers under management contracts. All costs, with the exception of taxes assessed by a governmental authority, reimbursed to us by customers are reported on a gross basis. We recognize cost reimbursements when we incur the related reimbursable costs. Cost reimbursements consist of actual expenses with no added margin.</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consists of all interest expense other than consumer financing interest expense, which is included within Financing expense.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and Integration Costs</w:t>
      </w:r>
    </w:p>
    <w:p>
      <w:pPr>
        <w:spacing w:after="0" w:line="11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Transaction and integration costs represent costs related to the acquisitions of ILG and Welk, primarily for financial advisory, legal, and other professional service fees, as well as certain tax related accruals. Transaction and integration costs also include charges for employee retention, severance and other termination related benefits, fees paid to change management consultants and technology-related costs related to the integration and transformation of ILG and Welk.</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17" w:lineRule="exact"/>
        <w:rPr>
          <w:sz w:val="20"/>
          <w:szCs w:val="20"/>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17" w:lineRule="exact"/>
        <w:rPr>
          <w:rFonts w:ascii="Arial" w:cs="Arial" w:eastAsia="Arial" w:hAnsi="Arial"/>
          <w:sz w:val="18"/>
          <w:szCs w:val="18"/>
          <w:color w:val="auto"/>
        </w:rPr>
      </w:pPr>
    </w:p>
    <w:p>
      <w:pPr>
        <w:ind w:left="1940" w:hanging="312"/>
        <w:spacing w:after="0"/>
        <w:tabs>
          <w:tab w:leader="none" w:pos="19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Total contract sales include contract sales from the sale of vacation ownership products including joint ventures, and</w:t>
      </w:r>
    </w:p>
    <w:p>
      <w:pPr>
        <w:spacing w:after="0" w:line="74" w:lineRule="exact"/>
        <w:rPr>
          <w:rFonts w:ascii="Arial" w:cs="Arial" w:eastAsia="Arial" w:hAnsi="Arial"/>
          <w:sz w:val="17"/>
          <w:szCs w:val="17"/>
          <w:color w:val="auto"/>
        </w:rPr>
      </w:pPr>
    </w:p>
    <w:p>
      <w:pPr>
        <w:ind w:left="1960" w:right="420" w:hanging="332"/>
        <w:spacing w:after="0" w:line="277" w:lineRule="auto"/>
        <w:tabs>
          <w:tab w:leader="none" w:pos="19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Consolidated contract sales exclude contract sales from the sale of vacation ownership products for non-consolidated joint ventures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 profit margin;</w:t>
      </w:r>
    </w:p>
    <w:p>
      <w:pPr>
        <w:spacing w:after="0" w:line="117" w:lineRule="exact"/>
        <w:rPr>
          <w:rFonts w:ascii="Arial" w:cs="Arial" w:eastAsia="Arial" w:hAnsi="Arial"/>
          <w:sz w:val="18"/>
          <w:szCs w:val="18"/>
          <w:color w:val="auto"/>
        </w:rPr>
      </w:pPr>
    </w:p>
    <w:p>
      <w:pPr>
        <w:ind w:left="1300" w:right="180" w:hanging="320"/>
        <w:spacing w:after="0" w:line="25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consolidated vacation ownership contract sales, excluding fractional sales, telesales, resales, joint venture sales and other sales that are not attributed to a tour at a sales location, by the number of tours at sales locations in a given period (which we refer to as “tour flow”). We believe that this operating metric is valuable in evaluating the effectiveness of the sales process as it combines the impact of average contract price with the number of touring guests who make a purchase;</w:t>
      </w:r>
    </w:p>
    <w:p>
      <w:pPr>
        <w:spacing w:after="0" w:line="79"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Total active members, which is the number of Interval International network active members at the end of the applicable period; and</w:t>
      </w:r>
    </w:p>
    <w:p>
      <w:pPr>
        <w:spacing w:after="0" w:line="140" w:lineRule="exact"/>
        <w:rPr>
          <w:rFonts w:ascii="Arial" w:cs="Arial" w:eastAsia="Arial" w:hAnsi="Arial"/>
          <w:sz w:val="16"/>
          <w:szCs w:val="16"/>
          <w:color w:val="auto"/>
        </w:rPr>
      </w:pPr>
    </w:p>
    <w:p>
      <w:pPr>
        <w:ind w:left="1300" w:right="40" w:hanging="320"/>
        <w:spacing w:after="0" w:line="263"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Average revenue per member, which we calculate by dividing membership fee revenue, transaction revenue and other member revenue for the Interval International network by the monthly weighted average number of Interval International network active members during the applicable period.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30, 2020</w:t>
            </w:r>
          </w:p>
        </w:tc>
        <w:tc>
          <w:tcPr>
            <w:tcW w:w="0" w:type="dxa"/>
            <w:vAlign w:val="bottom"/>
          </w:tcPr>
          <w:p>
            <w:pPr>
              <w:spacing w:after="0"/>
              <w:rPr>
                <w:sz w:val="1"/>
                <w:szCs w:val="1"/>
                <w:color w:val="auto"/>
              </w:rPr>
            </w:pPr>
          </w:p>
        </w:tc>
      </w:tr>
      <w:tr>
        <w:trPr>
          <w:trHeight w:val="212"/>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Pr>
          <w:p>
            <w:pPr>
              <w:jc w:val="right"/>
              <w:ind w:right="23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500" w:type="dxa"/>
            <w:vAlign w:val="bottom"/>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Rental</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vacation ownership products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Marketing and sales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Rental</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Litigation charges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w:t>
            </w: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Royalty fee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EXPENSES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23"/>
        </w:trPr>
        <w:tc>
          <w:tcPr>
            <w:tcW w:w="4780" w:type="dxa"/>
            <w:vAlign w:val="bottom"/>
          </w:tcPr>
          <w:p>
            <w:pPr>
              <w:ind w:left="220"/>
              <w:spacing w:after="0"/>
              <w:rPr>
                <w:sz w:val="20"/>
                <w:szCs w:val="20"/>
                <w:color w:val="auto"/>
              </w:rPr>
            </w:pPr>
            <w:r>
              <w:rPr>
                <w:rFonts w:ascii="Arial" w:cs="Arial" w:eastAsia="Arial" w:hAnsi="Arial"/>
                <w:sz w:val="18"/>
                <w:szCs w:val="18"/>
                <w:color w:val="auto"/>
              </w:rPr>
              <w:t>Losses and other expense, net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Transaction and integration costs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7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INCOME (LOSS) BEFORE INCOME TAXES AND</w:t>
            </w:r>
          </w:p>
        </w:tc>
        <w:tc>
          <w:tcPr>
            <w:tcW w:w="4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4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55"/>
        </w:trPr>
        <w:tc>
          <w:tcPr>
            <w:tcW w:w="47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 (LOSS) ATTRIBUTABLE TO COMMON</w:t>
            </w:r>
          </w:p>
        </w:tc>
        <w:tc>
          <w:tcPr>
            <w:tcW w:w="420" w:type="dxa"/>
            <w:vAlign w:val="bottom"/>
            <w:vMerge w:val="restart"/>
          </w:tcPr>
          <w:p>
            <w:pPr>
              <w:jc w:val="right"/>
              <w:ind w:right="233"/>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3"/>
                <w:szCs w:val="13"/>
                <w:color w:val="auto"/>
              </w:rPr>
            </w:pPr>
          </w:p>
        </w:tc>
        <w:tc>
          <w:tcPr>
            <w:tcW w:w="960" w:type="dxa"/>
            <w:vAlign w:val="bottom"/>
            <w:vMerge w:val="restart"/>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3"/>
                <w:szCs w:val="13"/>
                <w:color w:val="auto"/>
              </w:rPr>
            </w:pPr>
          </w:p>
        </w:tc>
        <w:tc>
          <w:tcPr>
            <w:tcW w:w="500" w:type="dxa"/>
            <w:vAlign w:val="bottom"/>
            <w:vMerge w:val="restart"/>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3"/>
                <w:szCs w:val="13"/>
                <w:color w:val="auto"/>
              </w:rPr>
            </w:pPr>
          </w:p>
        </w:tc>
        <w:tc>
          <w:tcPr>
            <w:tcW w:w="860" w:type="dxa"/>
            <w:vAlign w:val="bottom"/>
            <w:vMerge w:val="restart"/>
          </w:tcPr>
          <w:p>
            <w:pPr>
              <w:jc w:val="right"/>
              <w:ind w:right="673"/>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8"/>
        </w:trPr>
        <w:tc>
          <w:tcPr>
            <w:tcW w:w="47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4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4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12"/>
              <w:spacing w:after="0"/>
              <w:rPr>
                <w:sz w:val="20"/>
                <w:szCs w:val="20"/>
                <w:color w:val="auto"/>
              </w:rPr>
            </w:pPr>
            <w:r>
              <w:rPr>
                <w:rFonts w:ascii="Arial" w:cs="Arial" w:eastAsia="Arial" w:hAnsi="Arial"/>
                <w:sz w:val="16"/>
                <w:szCs w:val="16"/>
                <w:b w:val="1"/>
                <w:bCs w:val="1"/>
                <w:color w:val="auto"/>
              </w:rPr>
              <w:t>% Change</w:t>
            </w:r>
          </w:p>
        </w:tc>
      </w:tr>
      <w:tr>
        <w:trPr>
          <w:trHeight w:val="212"/>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Vacation Ownership</w:t>
            </w:r>
          </w:p>
        </w:tc>
        <w:tc>
          <w:tcPr>
            <w:tcW w:w="4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Total contract sales</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880" w:type="dxa"/>
            <w:vAlign w:val="bottom"/>
          </w:tcPr>
          <w:p>
            <w:pPr>
              <w:jc w:val="right"/>
              <w:ind w:right="67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540" w:type="dxa"/>
            <w:vAlign w:val="bottom"/>
          </w:tcPr>
          <w:p>
            <w:pPr>
              <w:jc w:val="right"/>
              <w:ind w:right="532"/>
              <w:spacing w:after="0"/>
              <w:rPr>
                <w:sz w:val="20"/>
                <w:szCs w:val="20"/>
                <w:color w:val="auto"/>
              </w:rPr>
            </w:pPr>
            <w:r>
              <w:rPr>
                <w:rFonts w:ascii="Arial" w:cs="Arial" w:eastAsia="Arial" w:hAnsi="Arial"/>
                <w:sz w:val="18"/>
                <w:szCs w:val="18"/>
                <w:color w:val="auto"/>
              </w:rPr>
              <w:t>NM</w:t>
            </w: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contract sales</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NM</w:t>
            </w: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Joint venture contract sales</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880" w:type="dxa"/>
            <w:vAlign w:val="bottom"/>
          </w:tcPr>
          <w:p>
            <w:pPr>
              <w:jc w:val="right"/>
              <w:ind w:right="67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540" w:type="dxa"/>
            <w:vAlign w:val="bottom"/>
          </w:tcPr>
          <w:p>
            <w:pPr>
              <w:jc w:val="right"/>
              <w:ind w:right="532"/>
              <w:spacing w:after="0"/>
              <w:rPr>
                <w:sz w:val="20"/>
                <w:szCs w:val="20"/>
                <w:color w:val="auto"/>
              </w:rPr>
            </w:pPr>
            <w:r>
              <w:rPr>
                <w:rFonts w:ascii="Arial" w:cs="Arial" w:eastAsia="Arial" w:hAnsi="Arial"/>
                <w:sz w:val="18"/>
                <w:szCs w:val="18"/>
                <w:color w:val="auto"/>
              </w:rPr>
              <w:t>NM</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Exchange &amp; Third-Party Management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Total active members at end of period (000's)</w:t>
            </w:r>
            <w:r>
              <w:rPr>
                <w:rFonts w:ascii="Arial" w:cs="Arial" w:eastAsia="Arial" w:hAnsi="Arial"/>
                <w:sz w:val="9"/>
                <w:szCs w:val="9"/>
                <w:color w:val="auto"/>
              </w:rPr>
              <w:t>(1)</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(223)</w:t>
            </w:r>
          </w:p>
        </w:tc>
        <w:tc>
          <w:tcPr>
            <w:tcW w:w="100" w:type="dxa"/>
            <w:vAlign w:val="bottom"/>
          </w:tcPr>
          <w:p>
            <w:pPr>
              <w:spacing w:after="0"/>
              <w:rPr>
                <w:sz w:val="19"/>
                <w:szCs w:val="19"/>
                <w:color w:val="auto"/>
              </w:rPr>
            </w:pPr>
          </w:p>
        </w:tc>
        <w:tc>
          <w:tcPr>
            <w:tcW w:w="1540" w:type="dxa"/>
            <w:vAlign w:val="bottom"/>
          </w:tcPr>
          <w:p>
            <w:pPr>
              <w:jc w:val="right"/>
              <w:ind w:right="452"/>
              <w:spacing w:after="0"/>
              <w:rPr>
                <w:sz w:val="20"/>
                <w:szCs w:val="20"/>
                <w:color w:val="auto"/>
              </w:rPr>
            </w:pPr>
            <w:r>
              <w:rPr>
                <w:rFonts w:ascii="Arial" w:cs="Arial" w:eastAsia="Arial" w:hAnsi="Arial"/>
                <w:sz w:val="18"/>
                <w:szCs w:val="18"/>
                <w:color w:val="auto"/>
              </w:rPr>
              <w:t>(15%)</w:t>
            </w: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revenue per member</w:t>
            </w:r>
            <w:r>
              <w:rPr>
                <w:rFonts w:ascii="Arial" w:cs="Arial" w:eastAsia="Arial" w:hAnsi="Arial"/>
                <w:sz w:val="9"/>
                <w:szCs w:val="9"/>
                <w:color w:val="auto"/>
              </w:rPr>
              <w:t>(1)</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17%</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3" w:lineRule="exact"/>
        <w:rPr>
          <w:sz w:val="20"/>
          <w:szCs w:val="20"/>
          <w:color w:val="auto"/>
        </w:rPr>
      </w:pPr>
    </w:p>
    <w:p>
      <w:pPr>
        <w:ind w:right="5460" w:firstLine="8"/>
        <w:spacing w:after="0" w:line="273" w:lineRule="auto"/>
        <w:tabs>
          <w:tab w:leader="none" w:pos="636"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Only includes members of the Interval International exchange network. NM Not meaningful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6"/>
                <w:szCs w:val="16"/>
                <w:b w:val="1"/>
                <w:bCs w:val="1"/>
                <w:color w:val="auto"/>
              </w:rPr>
              <w:t>Nine Months Ended</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12"/>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Vacation Ownership</w:t>
            </w: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Total contract sales</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105%</w:t>
            </w: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contract sales</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103%</w:t>
            </w: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Joint venture contract sales</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NM</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Exchange &amp; Third-Party Management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Total active members at end of period (000's)</w:t>
            </w:r>
            <w:r>
              <w:rPr>
                <w:rFonts w:ascii="Arial" w:cs="Arial" w:eastAsia="Arial" w:hAnsi="Arial"/>
                <w:sz w:val="9"/>
                <w:szCs w:val="9"/>
                <w:color w:val="auto"/>
              </w:rPr>
              <w:t>(1)</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(15%)</w:t>
            </w: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revenue per member</w:t>
            </w:r>
            <w:r>
              <w:rPr>
                <w:rFonts w:ascii="Arial" w:cs="Arial" w:eastAsia="Arial" w:hAnsi="Arial"/>
                <w:sz w:val="9"/>
                <w:szCs w:val="9"/>
                <w:color w:val="auto"/>
              </w:rPr>
              <w:t>(1)</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26%</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9"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Only includes members of the Interval International exchange network.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for the third quarter of 2021 compared to the third quarter of 2020.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71%</w:t>
            </w:r>
          </w:p>
        </w:tc>
      </w:tr>
      <w:tr>
        <w:trPr>
          <w:trHeight w:val="23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2"/>
              </w:rPr>
              <w:t>5%</w:t>
            </w:r>
          </w:p>
        </w:tc>
      </w:tr>
      <w:tr>
        <w:trPr>
          <w:trHeight w:val="223"/>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Revenues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63%</w:t>
            </w:r>
          </w:p>
        </w:tc>
      </w:tr>
      <w:tr>
        <w:trPr>
          <w:trHeight w:val="23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Consolidated Property Owners’ Associations</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5"/>
              </w:rPr>
              <w:t>(84%)</w:t>
            </w:r>
          </w:p>
        </w:tc>
      </w:tr>
      <w:tr>
        <w:trPr>
          <w:trHeight w:val="248"/>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6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62%</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487"/>
        </w:trPr>
        <w:tc>
          <w:tcPr>
            <w:tcW w:w="4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ind w:right="49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66"/>
        </w:trPr>
        <w:tc>
          <w:tcPr>
            <w:tcW w:w="4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for the first three quarters of 2021 compared to the first three quarters of 2020.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34%</w:t>
            </w: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2"/>
              </w:rPr>
              <w:t>5%</w:t>
            </w:r>
          </w:p>
        </w:tc>
      </w:tr>
      <w:tr>
        <w:trPr>
          <w:trHeight w:val="223"/>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Revenues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31%</w:t>
            </w: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Consolidated Property Owners’ Associations</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22%</w:t>
            </w:r>
          </w:p>
        </w:tc>
      </w:tr>
      <w:tr>
        <w:trPr>
          <w:trHeight w:val="248"/>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6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30%</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EBITDA, a financial measure that is not prescribed by GAAP, is defined as earnings, or net income or loss attributable to common shareholders, before interest expense (excluding consumer financing interest expense associated with term loan securitization transactions), income taxes, depreciation and amortization. Adjusted EBITDA reflects additional adjustments for certain items described below,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loan securitization transactions because we consider it to be an operating expense of our business. We consider Adjusted EBITDA to be an indicator of operating performance, which we use to measure our ability to service debt, fund capital expenditures and expand our business.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vacation companies.</w:t>
      </w:r>
    </w:p>
    <w:p>
      <w:pPr>
        <w:spacing w:after="0" w:line="66"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(loss) attributable to common shareholders, which is the most directly comparable GAAP financial measure.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58"/>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2020</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116%</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10%</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15%</w:t>
            </w:r>
          </w:p>
        </w:tc>
      </w:tr>
      <w:tr>
        <w:trPr>
          <w:trHeight w:val="223"/>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items</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85%</w:t>
            </w:r>
          </w:p>
        </w:tc>
      </w:tr>
      <w:tr>
        <w:trPr>
          <w:trHeight w:val="223"/>
        </w:trPr>
        <w:tc>
          <w:tcPr>
            <w:tcW w:w="478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NM</w:t>
            </w:r>
          </w:p>
        </w:tc>
      </w:tr>
      <w:tr>
        <w:trPr>
          <w:trHeight w:val="20"/>
        </w:trPr>
        <w:tc>
          <w:tcPr>
            <w:tcW w:w="4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Certain items for the third quarter of 2021 consisted of $31 million of losses and other expense (including $36 million related to the early redemption of our 2026 Notes, $2 million of foreign currency translation losses, and $1 million of miscellaneous losses and other expenses, partially offset by $8 million related to a true-up to a Marriott International indemnification receivable upon settlement (the true-up to the offsetting accrual is included in the (Provision for) benefit from income taxes line), $27 million of transaction and integration costs (including $22 million of ILG Acquisition and integration related costs, $3 million of Welk Acquisition related costs, and $2 million of other transaction costs), $2 million of litigation charges, and $5 million of purchase accounting adjustments, partially offset by $3 million to eliminate the impact of consolidating certain property owners’ associations and $1 million of miscellaneous other adjustments.</w:t>
      </w:r>
    </w:p>
    <w:p>
      <w:pPr>
        <w:spacing w:after="0" w:line="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Certain items for the third quarter of 2020 consisted of $20 million of restructuring costs, $11 million of ILG Acquisition related costs, a $5 million loss and other expense related to the disposition of a formerly consolidated subsidiary, $2 million of purchase price adjustments, $2 million of litigation charges, $2 million of asset impairment charges, and $1 million of foreign currency translation losses, partially offset by $6 million of gains and other income related to the disposition of excess land parcels in Orlando, Florida and Steamboat Springs, Colorado and $4 million related to the change in accrual for health and welfare costs for furloughed associates.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Nine Months Ended</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58"/>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2020</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312"/>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95%</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640" w:type="dxa"/>
            <w:vAlign w:val="bottom"/>
            <w:gridSpan w:val="2"/>
          </w:tcPr>
          <w:p>
            <w:pPr>
              <w:jc w:val="right"/>
              <w:ind w:right="512"/>
              <w:spacing w:after="0"/>
              <w:rPr>
                <w:sz w:val="20"/>
                <w:szCs w:val="20"/>
                <w:color w:val="auto"/>
              </w:rPr>
            </w:pPr>
            <w:r>
              <w:rPr>
                <w:rFonts w:ascii="Arial" w:cs="Arial" w:eastAsia="Arial" w:hAnsi="Arial"/>
                <w:sz w:val="18"/>
                <w:szCs w:val="18"/>
                <w:color w:val="auto"/>
              </w:rPr>
              <w:t>14%</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NM</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40" w:type="dxa"/>
            <w:vAlign w:val="bottom"/>
            <w:tcBorders>
              <w:bottom w:val="single" w:sz="8" w:color="CCEEFF"/>
            </w:tcBorders>
            <w:gridSpan w:val="2"/>
          </w:tcPr>
          <w:p>
            <w:pPr>
              <w:jc w:val="right"/>
              <w:ind w:right="512"/>
              <w:spacing w:after="0"/>
              <w:rPr>
                <w:sz w:val="20"/>
                <w:szCs w:val="20"/>
                <w:color w:val="auto"/>
              </w:rPr>
            </w:pPr>
            <w:r>
              <w:rPr>
                <w:rFonts w:ascii="Arial" w:cs="Arial" w:eastAsia="Arial" w:hAnsi="Arial"/>
                <w:sz w:val="18"/>
                <w:szCs w:val="18"/>
                <w:color w:val="auto"/>
              </w:rPr>
              <w:t>20%</w:t>
            </w:r>
          </w:p>
        </w:tc>
      </w:tr>
      <w:tr>
        <w:trPr>
          <w:trHeight w:val="223"/>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NM</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640" w:type="dxa"/>
            <w:vAlign w:val="bottom"/>
            <w:gridSpan w:val="2"/>
          </w:tcPr>
          <w:p>
            <w:pPr>
              <w:jc w:val="right"/>
              <w:ind w:right="512"/>
              <w:spacing w:after="0"/>
              <w:rPr>
                <w:sz w:val="20"/>
                <w:szCs w:val="20"/>
                <w:color w:val="auto"/>
              </w:rPr>
            </w:pPr>
            <w:r>
              <w:rPr>
                <w:rFonts w:ascii="Arial" w:cs="Arial" w:eastAsia="Arial" w:hAnsi="Arial"/>
                <w:sz w:val="18"/>
                <w:szCs w:val="18"/>
                <w:color w:val="auto"/>
              </w:rPr>
              <w:t>37%</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items</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(149)</w:t>
            </w:r>
          </w:p>
        </w:tc>
        <w:tc>
          <w:tcPr>
            <w:tcW w:w="16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(56%)</w:t>
            </w:r>
          </w:p>
        </w:tc>
      </w:tr>
      <w:tr>
        <w:trPr>
          <w:trHeight w:val="223"/>
        </w:trPr>
        <w:tc>
          <w:tcPr>
            <w:tcW w:w="478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5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540" w:type="dxa"/>
            <w:vAlign w:val="bottom"/>
          </w:tcPr>
          <w:p>
            <w:pPr>
              <w:jc w:val="right"/>
              <w:ind w:right="532"/>
              <w:spacing w:after="0"/>
              <w:rPr>
                <w:sz w:val="20"/>
                <w:szCs w:val="20"/>
                <w:color w:val="auto"/>
              </w:rPr>
            </w:pPr>
            <w:r>
              <w:rPr>
                <w:rFonts w:ascii="Arial" w:cs="Arial" w:eastAsia="Arial" w:hAnsi="Arial"/>
                <w:sz w:val="18"/>
                <w:szCs w:val="18"/>
                <w:color w:val="auto"/>
              </w:rPr>
              <w:t>NM</w:t>
            </w:r>
          </w:p>
        </w:tc>
      </w:tr>
      <w:tr>
        <w:trPr>
          <w:trHeight w:val="20"/>
        </w:trPr>
        <w:tc>
          <w:tcPr>
            <w:tcW w:w="4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Certain items for the first three quarters of 2021 consisted of $75 million of transaction and integration costs (including $64 million of ILG Acquisition and integration related costs, $8 million of Welk Acquisition related costs, and $3 million of other transaction costs), $27 million of losses and other expense (including $36 million related to the early redemption of our 2026 Notes, and $1 million of miscellaneous losses and other expense, partially offset by $6 million related to a true-up to a Marriott International indemnification receivable upon settlement (the true-up to the offsetting accrual is included in the (Provision for) benefit from income taxes line, and $4 million of foreign currency translation gains), $8 million of litigation charges, $5 million of impairment charges, and $7 million of purchase accounting adjustments, partially offset by $5 million to eliminate the impact of consolidating certain property owners’ associations, $2 million of activity related to the accrual for health and welfare costs for furloughed associates, and $1 million of miscellaneous other adjustments.</w:t>
      </w:r>
    </w:p>
    <w:p>
      <w:pPr>
        <w:spacing w:after="0" w:line="8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Certain items for the first three quarters of 2020 consisted of $98 million of asset impairment charges, $47 million of transaction and integration costs (including $44 million of ILG Acquisition related costs and $3 million of transaction costs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related to our asset light inventory arrangements), $44 million of other charges (including $37 million related to the net sales reserve adjustment and $7 million related to an accrual for the health and welfare costs for furloughed associates), $42 million of losses and other expense, $20 million of restructuring costs, $4 million related to VAT charges, $4 million of purchase accounting adjustments, and $4 million of litigation charges.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Adjusted EBITDA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30, 2020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adjusted EBITDA</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property owners’ associations</w:t>
            </w:r>
          </w:p>
        </w:tc>
        <w:tc>
          <w:tcPr>
            <w:tcW w:w="4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78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4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Arial" w:cs="Arial" w:eastAsia="Arial" w:hAnsi="Arial"/>
                <w:sz w:val="18"/>
                <w:szCs w:val="18"/>
                <w:i w:val="1"/>
                <w:iCs w:val="1"/>
                <w:color w:val="auto"/>
              </w:rPr>
              <w:t>2021 First Three Quarters</w:t>
            </w: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7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30, 2020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adjusted EBITDA</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134%</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property owners’ associations</w:t>
            </w:r>
          </w:p>
        </w:tc>
        <w:tc>
          <w:tcPr>
            <w:tcW w:w="4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78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4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Adjusted EBITDA for our reportable segments reconciled to segment financial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30, 2020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12"/>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NM</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640" w:type="dxa"/>
            <w:vAlign w:val="bottom"/>
            <w:gridSpan w:val="2"/>
          </w:tcPr>
          <w:p>
            <w:pPr>
              <w:jc w:val="right"/>
              <w:ind w:right="452"/>
              <w:spacing w:after="0"/>
              <w:rPr>
                <w:sz w:val="20"/>
                <w:szCs w:val="20"/>
                <w:color w:val="auto"/>
              </w:rPr>
            </w:pPr>
            <w:r>
              <w:rPr>
                <w:rFonts w:ascii="Arial" w:cs="Arial" w:eastAsia="Arial" w:hAnsi="Arial"/>
                <w:sz w:val="18"/>
                <w:szCs w:val="18"/>
                <w:color w:val="auto"/>
              </w:rPr>
              <w:t>(21%)</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NM</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Certain items</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40" w:type="dxa"/>
            <w:vAlign w:val="bottom"/>
            <w:tcBorders>
              <w:bottom w:val="single" w:sz="8" w:color="CCEEFF"/>
            </w:tcBorders>
            <w:gridSpan w:val="2"/>
          </w:tcPr>
          <w:p>
            <w:pPr>
              <w:jc w:val="right"/>
              <w:ind w:right="512"/>
              <w:spacing w:after="0"/>
              <w:rPr>
                <w:sz w:val="20"/>
                <w:szCs w:val="20"/>
                <w:color w:val="auto"/>
              </w:rPr>
            </w:pPr>
            <w:r>
              <w:rPr>
                <w:rFonts w:ascii="Arial" w:cs="Arial" w:eastAsia="Arial" w:hAnsi="Arial"/>
                <w:sz w:val="18"/>
                <w:szCs w:val="18"/>
                <w:color w:val="auto"/>
              </w:rPr>
              <w:t>44%</w:t>
            </w: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32"/>
              <w:spacing w:after="0"/>
              <w:rPr>
                <w:sz w:val="20"/>
                <w:szCs w:val="20"/>
                <w:color w:val="auto"/>
              </w:rPr>
            </w:pPr>
            <w:r>
              <w:rPr>
                <w:rFonts w:ascii="Arial" w:cs="Arial" w:eastAsia="Arial" w:hAnsi="Arial"/>
                <w:sz w:val="18"/>
                <w:szCs w:val="18"/>
                <w:color w:val="auto"/>
              </w:rPr>
              <w:t>NM</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Certain items in the Vacation Ownership segment for the third quarter of 2021 consisted primarily of $5 million of purchase accounting adjustments.</w:t>
      </w:r>
    </w:p>
    <w:p>
      <w:pPr>
        <w:spacing w:after="0" w:line="62"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Certain items in the Vacation Ownership segment for the third quarter of 2020 consisted of $11 million of restructuring costs, $2 million of litigation charges, a $1 million asset impairment charge, and $1 million of purchase accounting adjustments, partially offset by $6 million of gains and other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6"/>
                <w:szCs w:val="16"/>
                <w:b w:val="1"/>
                <w:bCs w:val="1"/>
                <w:color w:val="auto"/>
              </w:rPr>
              <w:t>Nine Months Ended</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30, 2020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12"/>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NM</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640" w:type="dxa"/>
            <w:vAlign w:val="bottom"/>
            <w:gridSpan w:val="2"/>
          </w:tcPr>
          <w:p>
            <w:pPr>
              <w:jc w:val="right"/>
              <w:ind w:right="452"/>
              <w:spacing w:after="0"/>
              <w:rPr>
                <w:sz w:val="20"/>
                <w:szCs w:val="20"/>
                <w:color w:val="auto"/>
              </w:rPr>
            </w:pPr>
            <w:r>
              <w:rPr>
                <w:rFonts w:ascii="Arial" w:cs="Arial" w:eastAsia="Arial" w:hAnsi="Arial"/>
                <w:sz w:val="18"/>
                <w:szCs w:val="18"/>
                <w:color w:val="auto"/>
              </w:rPr>
              <w:t>(10%)</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NM</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Certain items</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40" w:type="dxa"/>
            <w:vAlign w:val="bottom"/>
            <w:tcBorders>
              <w:bottom w:val="single" w:sz="8" w:color="CCEEFF"/>
            </w:tcBorders>
            <w:gridSpan w:val="2"/>
          </w:tcPr>
          <w:p>
            <w:pPr>
              <w:jc w:val="right"/>
              <w:ind w:right="512"/>
              <w:spacing w:after="0"/>
              <w:rPr>
                <w:sz w:val="20"/>
                <w:szCs w:val="20"/>
                <w:color w:val="auto"/>
              </w:rPr>
            </w:pPr>
            <w:r>
              <w:rPr>
                <w:rFonts w:ascii="Arial" w:cs="Arial" w:eastAsia="Arial" w:hAnsi="Arial"/>
                <w:sz w:val="18"/>
                <w:szCs w:val="18"/>
                <w:color w:val="auto"/>
              </w:rPr>
              <w:t>70%</w:t>
            </w: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32"/>
              <w:spacing w:after="0"/>
              <w:rPr>
                <w:sz w:val="20"/>
                <w:szCs w:val="20"/>
                <w:color w:val="auto"/>
              </w:rPr>
            </w:pPr>
            <w:r>
              <w:rPr>
                <w:rFonts w:ascii="Arial" w:cs="Arial" w:eastAsia="Arial" w:hAnsi="Arial"/>
                <w:sz w:val="18"/>
                <w:szCs w:val="18"/>
                <w:color w:val="auto"/>
              </w:rPr>
              <w:t>NM</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Certain items in the Vacation Ownership segment for the first three quarters of 2021 consisted primarily of $7 million of litigation charges and $7 million of purchase accounting adjustments.</w:t>
      </w:r>
    </w:p>
    <w:p>
      <w:pPr>
        <w:spacing w:after="0" w:line="6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Certain items in the Vacation Ownership segment for the first three quarters of 2020 consisted of $37 million related to a net sales reserve adjustment due primarily to the impact of the COVID-19 pandemic, $11 million of restructuring costs, $6 million of asset impairment charges, $4 million of litigation charges, $3 million related to transaction costs associated with our asset light inventory arrangements, and $3 million of purchase accounting adjustments, partially offset by $12 million of gains and other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30, 2020</w:t>
            </w:r>
          </w:p>
        </w:tc>
        <w:tc>
          <w:tcPr>
            <w:tcW w:w="10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13%</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(42%)</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4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Certain items</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97%</w:t>
            </w: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Certain items in the Exchange &amp; Third-Party Management segment for the third quarter of 2020 consisted of $5 million of losses and other expenses, $3 million of restructuring costs, $1 million of purchase accounting adjustments, and a $1 million asset impairment charge.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Nine Months Ended</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30, 2020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(60%)</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8%</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Certain items</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99%</w:t>
            </w: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Certain items in the Exchange &amp; Third-Party Management segment for the first three quarters of 2020 consisted of $92 million of impairment charges related to Goodwill and certain trademarks resulting from the impact of the COVID-19 pandemic, $5 million of losses and other expenses, $3 million of restructuring costs, and $1 million of purchase accounting adjustments.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business is grouped into two reportable business segments: Vacation Ownership and Exchange &amp; Third-Party Management. See Footnote 17 “Business Segments” to our Financial Statements for further information on our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center"/>
              <w:ind w:left="71"/>
              <w:spacing w:after="0"/>
              <w:rPr>
                <w:sz w:val="20"/>
                <w:szCs w:val="20"/>
                <w:color w:val="auto"/>
              </w:rPr>
            </w:pPr>
            <w:r>
              <w:rPr>
                <w:rFonts w:ascii="Arial" w:cs="Arial" w:eastAsia="Arial" w:hAnsi="Arial"/>
                <w:sz w:val="16"/>
                <w:szCs w:val="16"/>
                <w:b w:val="1"/>
                <w:bCs w:val="1"/>
                <w:color w:val="auto"/>
                <w:w w:val="93"/>
              </w:rPr>
              <w:t>Three Months Ended</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7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September 30, 2021</w:t>
            </w: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September 30, 2020</w:t>
            </w:r>
          </w:p>
        </w:tc>
        <w:tc>
          <w:tcPr>
            <w:tcW w:w="0" w:type="dxa"/>
            <w:vAlign w:val="bottom"/>
          </w:tcPr>
          <w:p>
            <w:pPr>
              <w:spacing w:after="0"/>
              <w:rPr>
                <w:sz w:val="1"/>
                <w:szCs w:val="1"/>
                <w:color w:val="auto"/>
              </w:rPr>
            </w:pPr>
          </w:p>
        </w:tc>
      </w:tr>
      <w:tr>
        <w:trPr>
          <w:trHeight w:val="212"/>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Pr>
          <w:p>
            <w:pPr>
              <w:jc w:val="right"/>
              <w:ind w:right="24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Resort management and other services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Rental</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Cost reimbursements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3"/>
        </w:trPr>
        <w:tc>
          <w:tcPr>
            <w:tcW w:w="47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09"/>
        </w:trPr>
        <w:tc>
          <w:tcPr>
            <w:tcW w:w="4780" w:type="dxa"/>
            <w:vAlign w:val="bottom"/>
            <w:gridSpan w:val="2"/>
          </w:tcPr>
          <w:p>
            <w:pPr>
              <w:ind w:left="20"/>
              <w:spacing w:after="0"/>
              <w:rPr>
                <w:sz w:val="20"/>
                <w:szCs w:val="20"/>
                <w:color w:val="auto"/>
              </w:rPr>
            </w:pPr>
            <w:r>
              <w:rPr>
                <w:rFonts w:ascii="Arial" w:cs="Arial" w:eastAsia="Arial" w:hAnsi="Arial"/>
                <w:sz w:val="18"/>
                <w:szCs w:val="18"/>
                <w:b w:val="1"/>
                <w:bCs w:val="1"/>
                <w:color w:val="auto"/>
              </w:rPr>
              <w:t>EXPENSES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Cost of vacation ownership products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Marketing and sales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Resort management and other services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Rental</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Litigation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Restructuring</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Royalty fee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Impairment</w:t>
            </w:r>
          </w:p>
        </w:tc>
        <w:tc>
          <w:tcPr>
            <w:tcW w:w="4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b w:val="1"/>
                <w:bCs w:val="1"/>
                <w:color w:val="auto"/>
              </w:rPr>
              <w:t>TOTAL EXPENSES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23"/>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Gains and other income, net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Transaction and integration costs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780" w:type="dxa"/>
            <w:vAlign w:val="bottom"/>
            <w:gridSpan w:val="2"/>
          </w:tcPr>
          <w:p>
            <w:pPr>
              <w:ind w:left="20"/>
              <w:spacing w:after="0" w:line="156" w:lineRule="exact"/>
              <w:rPr>
                <w:sz w:val="20"/>
                <w:szCs w:val="20"/>
                <w:color w:val="auto"/>
              </w:rPr>
            </w:pPr>
            <w:r>
              <w:rPr>
                <w:rFonts w:ascii="Arial" w:cs="Arial" w:eastAsia="Arial" w:hAnsi="Arial"/>
                <w:sz w:val="18"/>
                <w:szCs w:val="18"/>
                <w:b w:val="1"/>
                <w:bCs w:val="1"/>
                <w:color w:val="auto"/>
              </w:rPr>
              <w:t>SEGMENT FINANCIAL RESULTS ATTRIBUTABLE TO</w:t>
            </w:r>
          </w:p>
        </w:tc>
        <w:tc>
          <w:tcPr>
            <w:tcW w:w="420" w:type="dxa"/>
            <w:vAlign w:val="bottom"/>
            <w:tcBorders>
              <w:top w:val="single" w:sz="8" w:color="auto"/>
            </w:tcBorders>
            <w:vMerge w:val="restart"/>
          </w:tcPr>
          <w:p>
            <w:pPr>
              <w:jc w:val="right"/>
              <w:ind w:right="24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3"/>
                <w:szCs w:val="13"/>
                <w:color w:val="auto"/>
              </w:rPr>
            </w:pPr>
          </w:p>
        </w:tc>
        <w:tc>
          <w:tcPr>
            <w:tcW w:w="960" w:type="dxa"/>
            <w:vAlign w:val="bottom"/>
            <w:tcBorders>
              <w:top w:val="single" w:sz="8" w:color="auto"/>
            </w:tcBorders>
            <w:vMerge w:val="restart"/>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8"/>
        </w:trPr>
        <w:tc>
          <w:tcPr>
            <w:tcW w:w="478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COMMON SHAREHOLDERS</w:t>
            </w:r>
          </w:p>
        </w:tc>
        <w:tc>
          <w:tcPr>
            <w:tcW w:w="4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7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i w:val="1"/>
                <w:iCs w:val="1"/>
                <w:color w:val="auto"/>
              </w:rPr>
              <w:t>2021 Third Quarter</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left="51"/>
              <w:spacing w:after="0"/>
              <w:rPr>
                <w:sz w:val="20"/>
                <w:szCs w:val="20"/>
                <w:color w:val="auto"/>
              </w:rPr>
            </w:pPr>
            <w:r>
              <w:rPr>
                <w:rFonts w:ascii="Arial" w:cs="Arial" w:eastAsia="Arial" w:hAnsi="Arial"/>
                <w:sz w:val="16"/>
                <w:szCs w:val="16"/>
                <w:b w:val="1"/>
                <w:bCs w:val="1"/>
                <w:color w:val="auto"/>
                <w:w w:val="92"/>
              </w:rPr>
              <w:t>Three Months Ended</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Change</w:t>
            </w:r>
          </w:p>
        </w:tc>
        <w:tc>
          <w:tcPr>
            <w:tcW w:w="260" w:type="dxa"/>
            <w:vAlign w:val="bottom"/>
          </w:tcPr>
          <w:p>
            <w:pPr>
              <w:spacing w:after="0"/>
              <w:rPr>
                <w:sz w:val="18"/>
                <w:szCs w:val="18"/>
                <w:color w:val="auto"/>
              </w:rPr>
            </w:pPr>
          </w:p>
        </w:tc>
        <w:tc>
          <w:tcPr>
            <w:tcW w:w="1280" w:type="dxa"/>
            <w:vAlign w:val="bottom"/>
          </w:tcPr>
          <w:p>
            <w:pPr>
              <w:jc w:val="center"/>
              <w:ind w:right="171"/>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contract sales</w:t>
            </w:r>
          </w:p>
        </w:tc>
        <w:tc>
          <w:tcPr>
            <w:tcW w:w="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ind w:right="17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Joint venture contract sales</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center"/>
              <w:ind w:right="17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contract sales</w:t>
            </w:r>
          </w:p>
        </w:tc>
        <w:tc>
          <w:tcPr>
            <w:tcW w:w="420" w:type="dxa"/>
            <w:vAlign w:val="bottom"/>
            <w:shd w:val="clear" w:color="auto" w:fill="CCEEFF"/>
          </w:tcPr>
          <w:p>
            <w:pPr>
              <w:jc w:val="right"/>
              <w:ind w:right="261"/>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780" w:type="dxa"/>
            <w:vAlign w:val="bottom"/>
            <w:gridSpan w:val="2"/>
          </w:tcPr>
          <w:p>
            <w:pPr>
              <w:spacing w:after="0"/>
              <w:rPr>
                <w:sz w:val="20"/>
                <w:szCs w:val="20"/>
                <w:color w:val="auto"/>
              </w:rPr>
            </w:pPr>
            <w:r>
              <w:rPr>
                <w:rFonts w:ascii="Arial" w:cs="Arial" w:eastAsia="Arial" w:hAnsi="Arial"/>
                <w:sz w:val="18"/>
                <w:szCs w:val="18"/>
                <w:i w:val="1"/>
                <w:iCs w:val="1"/>
                <w:color w:val="auto"/>
              </w:rPr>
              <w:t>2021 First Three Quarters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left="51"/>
              <w:spacing w:after="0"/>
              <w:rPr>
                <w:sz w:val="20"/>
                <w:szCs w:val="20"/>
                <w:color w:val="auto"/>
              </w:rPr>
            </w:pPr>
            <w:r>
              <w:rPr>
                <w:rFonts w:ascii="Arial" w:cs="Arial" w:eastAsia="Arial" w:hAnsi="Arial"/>
                <w:sz w:val="16"/>
                <w:szCs w:val="16"/>
                <w:b w:val="1"/>
                <w:bCs w:val="1"/>
                <w:color w:val="auto"/>
                <w:w w:val="92"/>
              </w:rPr>
              <w:t>Nine Months Ended</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Change</w:t>
            </w:r>
          </w:p>
        </w:tc>
        <w:tc>
          <w:tcPr>
            <w:tcW w:w="260" w:type="dxa"/>
            <w:vAlign w:val="bottom"/>
          </w:tcPr>
          <w:p>
            <w:pPr>
              <w:spacing w:after="0"/>
              <w:rPr>
                <w:sz w:val="18"/>
                <w:szCs w:val="18"/>
                <w:color w:val="auto"/>
              </w:rPr>
            </w:pPr>
          </w:p>
        </w:tc>
        <w:tc>
          <w:tcPr>
            <w:tcW w:w="1280" w:type="dxa"/>
            <w:vAlign w:val="bottom"/>
          </w:tcPr>
          <w:p>
            <w:pPr>
              <w:jc w:val="center"/>
              <w:ind w:right="171"/>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contract sales</w:t>
            </w:r>
          </w:p>
        </w:tc>
        <w:tc>
          <w:tcPr>
            <w:tcW w:w="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ind w:right="171"/>
              <w:spacing w:after="0"/>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Joint venture contract sales</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center"/>
              <w:ind w:right="17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contract sales</w:t>
            </w:r>
          </w:p>
        </w:tc>
        <w:tc>
          <w:tcPr>
            <w:tcW w:w="420" w:type="dxa"/>
            <w:vAlign w:val="bottom"/>
            <w:shd w:val="clear" w:color="auto" w:fill="CCEEFF"/>
          </w:tcPr>
          <w:p>
            <w:pPr>
              <w:jc w:val="right"/>
              <w:ind w:right="261"/>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91"/>
              </w:rPr>
              <w:t>105%</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ind w:right="49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6"/>
                <w:szCs w:val="16"/>
                <w:b w:val="1"/>
                <w:bCs w:val="1"/>
                <w:color w:val="auto"/>
              </w:rPr>
              <w:t>Change</w:t>
            </w:r>
          </w:p>
        </w:tc>
      </w:tr>
      <w:tr>
        <w:trPr>
          <w:trHeight w:val="228"/>
        </w:trPr>
        <w:tc>
          <w:tcPr>
            <w:tcW w:w="4740" w:type="dxa"/>
            <w:vAlign w:val="bottom"/>
          </w:tcPr>
          <w:p>
            <w:pPr>
              <w:spacing w:after="0"/>
              <w:rPr>
                <w:sz w:val="20"/>
                <w:szCs w:val="20"/>
                <w:color w:val="auto"/>
              </w:rPr>
            </w:pPr>
            <w:r>
              <w:rPr>
                <w:rFonts w:ascii="Arial" w:cs="Arial" w:eastAsia="Arial" w:hAnsi="Arial"/>
                <w:sz w:val="18"/>
                <w:szCs w:val="18"/>
                <w:color w:val="auto"/>
              </w:rPr>
              <w:t>Total contract sales</w:t>
            </w:r>
          </w:p>
        </w:tc>
        <w:tc>
          <w:tcPr>
            <w:tcW w:w="480" w:type="dxa"/>
            <w:vAlign w:val="bottom"/>
            <w:tcBorders>
              <w:top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Less: resales contract sales</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Less: joint venture contract sales</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Consolidated contract sales, net of resales</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Plus:</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740" w:type="dxa"/>
            <w:vAlign w:val="bottom"/>
          </w:tcPr>
          <w:p>
            <w:pPr>
              <w:ind w:left="200"/>
              <w:spacing w:after="0"/>
              <w:rPr>
                <w:sz w:val="20"/>
                <w:szCs w:val="20"/>
                <w:color w:val="auto"/>
              </w:rPr>
            </w:pPr>
            <w:r>
              <w:rPr>
                <w:rFonts w:ascii="Arial" w:cs="Arial" w:eastAsia="Arial" w:hAnsi="Arial"/>
                <w:sz w:val="18"/>
                <w:szCs w:val="18"/>
                <w:color w:val="auto"/>
              </w:rPr>
              <w:t>Settlement revenue</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740" w:type="dxa"/>
            <w:vAlign w:val="bottom"/>
          </w:tcPr>
          <w:p>
            <w:pPr>
              <w:ind w:left="200"/>
              <w:spacing w:after="0"/>
              <w:rPr>
                <w:sz w:val="20"/>
                <w:szCs w:val="20"/>
                <w:color w:val="auto"/>
              </w:rPr>
            </w:pPr>
            <w:r>
              <w:rPr>
                <w:rFonts w:ascii="Arial" w:cs="Arial" w:eastAsia="Arial" w:hAnsi="Arial"/>
                <w:sz w:val="18"/>
                <w:szCs w:val="18"/>
                <w:color w:val="auto"/>
              </w:rPr>
              <w:t>Resales revenue</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740" w:type="dxa"/>
            <w:vAlign w:val="bottom"/>
          </w:tcPr>
          <w:p>
            <w:pPr>
              <w:ind w:left="200"/>
              <w:spacing w:after="0"/>
              <w:rPr>
                <w:sz w:val="20"/>
                <w:szCs w:val="20"/>
                <w:color w:val="auto"/>
              </w:rPr>
            </w:pPr>
            <w:r>
              <w:rPr>
                <w:rFonts w:ascii="Arial" w:cs="Arial" w:eastAsia="Arial" w:hAnsi="Arial"/>
                <w:sz w:val="18"/>
                <w:szCs w:val="18"/>
                <w:color w:val="auto"/>
              </w:rPr>
              <w:t>Reportability</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740" w:type="dxa"/>
            <w:vAlign w:val="bottom"/>
          </w:tcPr>
          <w:p>
            <w:pPr>
              <w:ind w:left="200"/>
              <w:spacing w:after="0"/>
              <w:rPr>
                <w:sz w:val="20"/>
                <w:szCs w:val="20"/>
                <w:color w:val="auto"/>
              </w:rPr>
            </w:pPr>
            <w:r>
              <w:rPr>
                <w:rFonts w:ascii="Arial" w:cs="Arial" w:eastAsia="Arial" w:hAnsi="Arial"/>
                <w:sz w:val="18"/>
                <w:szCs w:val="18"/>
                <w:color w:val="auto"/>
              </w:rPr>
              <w:t>Sales reserve</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4740" w:type="dxa"/>
            <w:vAlign w:val="bottom"/>
          </w:tcPr>
          <w:p>
            <w:pPr>
              <w:ind w:left="20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(1)</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1"/>
        </w:trPr>
        <w:tc>
          <w:tcPr>
            <w:tcW w:w="4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-1207770</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-916305</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-1807845</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96" w:hanging="196"/>
        <w:spacing w:after="0"/>
        <w:tabs>
          <w:tab w:leader="none" w:pos="196"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Change</w:t>
      </w:r>
    </w:p>
    <w:p>
      <w:pPr>
        <w:spacing w:after="0" w:line="68" w:lineRule="exact"/>
        <w:rPr>
          <w:rFonts w:ascii="Arial" w:cs="Arial" w:eastAsia="Arial" w:hAnsi="Arial"/>
          <w:sz w:val="14"/>
          <w:szCs w:val="14"/>
          <w:b w:val="1"/>
          <w:bCs w:val="1"/>
          <w:color w:val="auto"/>
        </w:rPr>
      </w:pPr>
    </w:p>
    <w:p>
      <w:pPr>
        <w:ind w:left="216"/>
        <w:spacing w:after="0"/>
        <w:rPr>
          <w:rFonts w:ascii="Arial" w:cs="Arial" w:eastAsia="Arial" w:hAnsi="Arial"/>
          <w:sz w:val="14"/>
          <w:szCs w:val="14"/>
          <w:b w:val="1"/>
          <w:bCs w:val="1"/>
          <w:color w:val="auto"/>
        </w:rPr>
      </w:pPr>
      <w:r>
        <w:rPr>
          <w:rFonts w:ascii="Arial" w:cs="Arial" w:eastAsia="Arial" w:hAnsi="Arial"/>
          <w:sz w:val="18"/>
          <w:szCs w:val="18"/>
          <w:color w:val="auto"/>
        </w:rPr>
        <w:t>NM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16"/>
        <w:spacing w:after="0"/>
        <w:rPr>
          <w:sz w:val="20"/>
          <w:szCs w:val="20"/>
          <w:color w:val="auto"/>
        </w:rPr>
      </w:pPr>
      <w:r>
        <w:rPr>
          <w:rFonts w:ascii="Arial" w:cs="Arial" w:eastAsia="Arial" w:hAnsi="Arial"/>
          <w:sz w:val="18"/>
          <w:szCs w:val="18"/>
          <w:color w:val="auto"/>
        </w:rPr>
        <w:t>NM</w:t>
      </w:r>
    </w:p>
    <w:p>
      <w:pPr>
        <w:spacing w:after="0" w:line="400" w:lineRule="exact"/>
        <w:rPr>
          <w:sz w:val="20"/>
          <w:szCs w:val="20"/>
          <w:color w:val="auto"/>
        </w:rPr>
      </w:pPr>
    </w:p>
    <w:p>
      <w:pPr>
        <w:sectPr>
          <w:pgSz w:w="11900" w:h="16838" w:orient="portrait"/>
          <w:cols w:equalWidth="0" w:num="2">
            <w:col w:w="9600" w:space="504"/>
            <w:col w:w="1096"/>
          </w:cols>
          <w:pgMar w:left="320" w:top="341" w:right="379" w:bottom="1440" w:gutter="0" w:footer="0" w:header="0"/>
        </w:sectPr>
      </w:pPr>
    </w:p>
    <w:p>
      <w:pPr>
        <w:ind w:left="660" w:right="500" w:hanging="652"/>
        <w:spacing w:after="0" w:line="227" w:lineRule="auto"/>
        <w:tabs>
          <w:tab w:leader="none" w:pos="648"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14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Sale of vacation ownership products increased $232 million due primarily to $234 million of higher consolidated contract sales volume, net of resales (including $30 million from the acquisition of Welk), a $20 million favorable change in revenue reportability, $4 million of higher settlement revenue, and $4 million of higher resales activity, offset partially by $21 million of higher sales reserve activity and $9 million of higher sales incentives issued (higher settlement revenue, sales incentives issued, and sales reserve activity were driven primarily by the higher contract sales volumes year-over-year).</w:t>
      </w:r>
    </w:p>
    <w:p>
      <w:pPr>
        <w:spacing w:after="0" w:line="8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higher contract sales performance reflects the continued ramp-up of the business subsequent to the initial impact of the COVID-19 pandemic late in the prior year first quarter, as well as the inclusion of Welk beginning in the second quarter of 2021. With the reopening of many of our sales centers throughout 2020 and during 2021, and the Welk Acquisition, our contract sales volumes have continued to improve on a sequential basis each quarter and we expect that sequential improvement to continue during the fourth quarter of 2021.</w:t>
      </w:r>
    </w:p>
    <w:p>
      <w:pPr>
        <w:spacing w:after="0" w:line="79"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Revenue reportability was slightly positive in the third quarter of 2021 as compared to a negative position historically. While we benefited from contract sales in the second quarter of 2021 being recognized as revenue in the third quarter of 2021, due to the impact of the Delta variant that negatively impacted contract sales late in the third quarter, we did not see a corresponding shift of revenues into the fourth quarter of 2021.</w:t>
      </w:r>
    </w:p>
    <w:p>
      <w:pPr>
        <w:spacing w:after="0" w:line="5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Revenue reportability was negative in the third quarter of 2020 as a result of contract sales late in the third quarter of 2020 that were recognized as revenue in the fourth quarter. Given the low sales volumes in June 2020 due to the impact of the COVID-19 pandemic, we did not benefit from a shift of revenues from sales late in the second quarter into the third quarter.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6"/>
                <w:szCs w:val="16"/>
                <w:b w:val="1"/>
                <w:bCs w:val="1"/>
                <w:color w:val="auto"/>
              </w:rPr>
              <w:t>Nine Months Ended</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 sales</w:t>
            </w: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105%</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Less: resales contract sales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joint venture contract sales</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Consolidated contract sales, net of resales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Settlement revenue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Resales revenue</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Revenue recognition adjustments:</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Reportability</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Sales reserve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(1)</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Sale of vacation ownership products</w:t>
            </w:r>
          </w:p>
        </w:tc>
        <w:tc>
          <w:tcPr>
            <w:tcW w:w="5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93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640" w:type="dxa"/>
            <w:vAlign w:val="bottom"/>
            <w:gridSpan w:val="2"/>
          </w:tcPr>
          <w:p>
            <w:pPr>
              <w:jc w:val="right"/>
              <w:ind w:right="515"/>
              <w:spacing w:after="0"/>
              <w:rPr>
                <w:sz w:val="20"/>
                <w:szCs w:val="20"/>
                <w:color w:val="auto"/>
              </w:rPr>
            </w:pPr>
            <w:r>
              <w:rPr>
                <w:rFonts w:ascii="Arial" w:cs="Arial" w:eastAsia="Arial" w:hAnsi="Arial"/>
                <w:sz w:val="18"/>
                <w:szCs w:val="18"/>
                <w:color w:val="auto"/>
              </w:rPr>
              <w:t>93%</w:t>
            </w:r>
          </w:p>
        </w:tc>
      </w:tr>
      <w:tr>
        <w:trPr>
          <w:trHeight w:val="21"/>
        </w:trPr>
        <w:tc>
          <w:tcPr>
            <w:tcW w:w="4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3" w:lineRule="exact"/>
        <w:rPr>
          <w:sz w:val="20"/>
          <w:szCs w:val="20"/>
          <w:color w:val="auto"/>
        </w:rPr>
      </w:pPr>
    </w:p>
    <w:p>
      <w:pPr>
        <w:ind w:left="660" w:right="540" w:hanging="652"/>
        <w:spacing w:after="0" w:line="227" w:lineRule="auto"/>
        <w:tabs>
          <w:tab w:leader="none" w:pos="64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Sale of vacation ownership products increased $380 million due primarily to $482 million of higher consolidated contract sales volume, net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resales (including $61 million from the acquisition of Welk), $17 million of lower sales reserve activity, and $9 million of higher settlement revenue,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 million of higher resales activity, offset partially by a $99 million unfavorable change in revenue reportability, and $31 million of higher sales incentives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issued (higher settlement revenue and sales incentives issued were driven by the higher contract sales volumes year-over-year).</w:t>
      </w:r>
    </w:p>
    <w:p>
      <w:pPr>
        <w:spacing w:after="0" w:line="1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higher contract sales performance reflects the continued ramp-up of the business subsequent to the initial impact of the COVID-19 pandemic late in the prior year first quarter. With the reopening of the majority of our sales centers throughout 2020 and during the first three quarters of 2021, and the Welk Acquisition, our contract sales volumes have continued to improve on a sequential basis each quarter and we expect that improvement to continue through the remainder of 2021.</w:t>
      </w:r>
    </w:p>
    <w:p>
      <w:pPr>
        <w:spacing w:after="0" w:line="7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lower sales reserve recorded in the first three quarters of 2021 reflects the prior year increase to the sales reserve to take into account higher expected default and delinquency activity as a result of the COVID-19 pandemic.</w:t>
      </w:r>
    </w:p>
    <w:p>
      <w:pPr>
        <w:spacing w:after="0" w:line="6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Revenue reportability was negative in the first three quarters of 2021. While we benefited from contract sales in the fourth quarter of 2020 being recognized as revenue in the first three quarters of 2021, given the increasing contract sales volumes due to the reopening of our sales centers as our business continued to ramp-up throughout the first three quarters of 2021, we saw a higher shift of contract sales in the third quarter of 2021 into the fourth quarter for revenue recognition. In contrast, revenue reportability was significantly positive in the first three quarters of 2020. The first three quarters of 2020 benefited from the contract sales from late in the fourth quarter of 2019 that were recognized as revenue in 2020. However, the first three quarters of 2020 were not impacted by a corresponding shift of revenues into the fourth quarter, given the low contract sales volumes in the third quarter of 2020 resulting from the impact of the COVID-19 pandemic.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Profit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Cost of vacation ownership products</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9"/>
              </w:rPr>
              <w:t>(44)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NM</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and sales</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(88)</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(113%)</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Development profit</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93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NM</w:t>
            </w:r>
          </w:p>
        </w:tc>
      </w:tr>
      <w:tr>
        <w:trPr>
          <w:trHeight w:val="21"/>
        </w:trPr>
        <w:tc>
          <w:tcPr>
            <w:tcW w:w="4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Development profit increased $100 million year-over-year. The change reflected $78 million from the benefit of higher contract sales volumes and lower marketing and sales spending as a percentage of revenue, $17 million of favorable revenue reportability, and $4 million of favorable product cost, due to the sale of lower cost inventory as well as favorable product cost true-up activity, and $1 million related to lower sales reserve rate due to the mix of products being sold.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Nine Months Ended</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13"/>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center"/>
              <w:ind w:left="532"/>
              <w:spacing w:after="0"/>
              <w:rPr>
                <w:sz w:val="20"/>
                <w:szCs w:val="20"/>
                <w:color w:val="auto"/>
              </w:rPr>
            </w:pPr>
            <w:r>
              <w:rPr>
                <w:rFonts w:ascii="Arial" w:cs="Arial" w:eastAsia="Arial" w:hAnsi="Arial"/>
                <w:sz w:val="18"/>
                <w:szCs w:val="18"/>
                <w:color w:val="auto"/>
                <w:w w:val="86"/>
              </w:rPr>
              <w:t>789</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rPr>
              <w:t>93%</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Cost of vacation ownership products</w:t>
            </w:r>
          </w:p>
        </w:tc>
        <w:tc>
          <w:tcPr>
            <w:tcW w:w="500" w:type="dxa"/>
            <w:vAlign w:val="bottom"/>
          </w:tcPr>
          <w:p>
            <w:pPr>
              <w:spacing w:after="0"/>
              <w:rPr>
                <w:sz w:val="19"/>
                <w:szCs w:val="19"/>
                <w:color w:val="auto"/>
              </w:rPr>
            </w:pPr>
          </w:p>
        </w:tc>
        <w:tc>
          <w:tcPr>
            <w:tcW w:w="1040" w:type="dxa"/>
            <w:vAlign w:val="bottom"/>
          </w:tcPr>
          <w:p>
            <w:pPr>
              <w:jc w:val="center"/>
              <w:ind w:left="512"/>
              <w:spacing w:after="0"/>
              <w:rPr>
                <w:sz w:val="20"/>
                <w:szCs w:val="20"/>
                <w:color w:val="auto"/>
              </w:rPr>
            </w:pPr>
            <w:r>
              <w:rPr>
                <w:rFonts w:ascii="Arial" w:cs="Arial" w:eastAsia="Arial" w:hAnsi="Arial"/>
                <w:sz w:val="18"/>
                <w:szCs w:val="18"/>
                <w:color w:val="auto"/>
                <w:w w:val="95"/>
              </w:rPr>
              <w:t>(178)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1640" w:type="dxa"/>
            <w:vAlign w:val="bottom"/>
            <w:gridSpan w:val="2"/>
          </w:tcPr>
          <w:p>
            <w:pPr>
              <w:jc w:val="right"/>
              <w:ind w:right="453"/>
              <w:spacing w:after="0"/>
              <w:rPr>
                <w:sz w:val="20"/>
                <w:szCs w:val="20"/>
                <w:color w:val="auto"/>
              </w:rPr>
            </w:pPr>
            <w:r>
              <w:rPr>
                <w:rFonts w:ascii="Arial" w:cs="Arial" w:eastAsia="Arial" w:hAnsi="Arial"/>
                <w:sz w:val="18"/>
                <w:szCs w:val="18"/>
                <w:color w:val="auto"/>
              </w:rPr>
              <w:t>(61%)</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and sales</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12"/>
              <w:spacing w:after="0"/>
              <w:rPr>
                <w:sz w:val="20"/>
                <w:szCs w:val="20"/>
                <w:color w:val="auto"/>
              </w:rPr>
            </w:pPr>
            <w:r>
              <w:rPr>
                <w:rFonts w:ascii="Arial" w:cs="Arial" w:eastAsia="Arial" w:hAnsi="Arial"/>
                <w:sz w:val="18"/>
                <w:szCs w:val="18"/>
                <w:color w:val="auto"/>
                <w:w w:val="95"/>
              </w:rPr>
              <w:t>(439)</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(142)</w:t>
            </w:r>
          </w:p>
        </w:tc>
        <w:tc>
          <w:tcPr>
            <w:tcW w:w="1640" w:type="dxa"/>
            <w:vAlign w:val="bottom"/>
            <w:gridSpan w:val="2"/>
            <w:shd w:val="clear" w:color="auto" w:fill="CCEEFF"/>
          </w:tcPr>
          <w:p>
            <w:pPr>
              <w:jc w:val="right"/>
              <w:ind w:right="453"/>
              <w:spacing w:after="0"/>
              <w:rPr>
                <w:sz w:val="20"/>
                <w:szCs w:val="20"/>
                <w:color w:val="auto"/>
              </w:rPr>
            </w:pPr>
            <w:r>
              <w:rPr>
                <w:rFonts w:ascii="Arial" w:cs="Arial" w:eastAsia="Arial" w:hAnsi="Arial"/>
                <w:sz w:val="18"/>
                <w:szCs w:val="18"/>
                <w:color w:val="auto"/>
              </w:rPr>
              <w:t>(48%)</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Development profit</w:t>
            </w:r>
          </w:p>
        </w:tc>
        <w:tc>
          <w:tcPr>
            <w:tcW w:w="5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center"/>
              <w:ind w:left="532"/>
              <w:spacing w:after="0"/>
              <w:rPr>
                <w:sz w:val="20"/>
                <w:szCs w:val="20"/>
                <w:color w:val="auto"/>
              </w:rPr>
            </w:pPr>
            <w:r>
              <w:rPr>
                <w:rFonts w:ascii="Arial" w:cs="Arial" w:eastAsia="Arial" w:hAnsi="Arial"/>
                <w:sz w:val="18"/>
                <w:szCs w:val="18"/>
                <w:color w:val="auto"/>
                <w:w w:val="86"/>
              </w:rPr>
              <w:t>172</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540" w:type="dxa"/>
            <w:vAlign w:val="bottom"/>
          </w:tcPr>
          <w:p>
            <w:pPr>
              <w:jc w:val="right"/>
              <w:ind w:right="533"/>
              <w:spacing w:after="0"/>
              <w:rPr>
                <w:sz w:val="20"/>
                <w:szCs w:val="20"/>
                <w:color w:val="auto"/>
              </w:rPr>
            </w:pPr>
            <w:r>
              <w:rPr>
                <w:rFonts w:ascii="Arial" w:cs="Arial" w:eastAsia="Arial" w:hAnsi="Arial"/>
                <w:sz w:val="18"/>
                <w:szCs w:val="18"/>
                <w:color w:val="auto"/>
              </w:rPr>
              <w:t>NM</w:t>
            </w:r>
          </w:p>
        </w:tc>
      </w:tr>
      <w:tr>
        <w:trPr>
          <w:trHeight w:val="20"/>
        </w:trPr>
        <w:tc>
          <w:tcPr>
            <w:tcW w:w="4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Development profit increased $170 million year-over-year. The change reflected $167 million from the benefit of higher contract sales volumes and lower marketing and sales spending as a percentage of revenue, $82 million related to lower sales reserve activity, and $1 million of favorable product cost, due mainly to the sale of lower cost inventory and, to a lesser extent, favorable product cost true-up activity, partially offset by $81 million of unfavorable revenue reportability year-over-year.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Profit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w w:val="95"/>
              </w:rPr>
              <w:t>September 30, 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431"/>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 revenues</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37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10%</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Ancillary revenues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center"/>
              <w:ind w:left="30"/>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NM</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management and exchange revenues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11%</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Resort management and other services revenues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center"/>
              <w:ind w:left="30"/>
              <w:spacing w:after="0"/>
              <w:rPr>
                <w:sz w:val="20"/>
                <w:szCs w:val="20"/>
                <w:color w:val="auto"/>
              </w:rPr>
            </w:pPr>
            <w:r>
              <w:rPr>
                <w:rFonts w:ascii="Arial" w:cs="Arial" w:eastAsia="Arial" w:hAnsi="Arial"/>
                <w:sz w:val="18"/>
                <w:szCs w:val="18"/>
                <w:color w:val="auto"/>
                <w:w w:val="89"/>
              </w:rPr>
              <w:t>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54%</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Resort management and other services expenses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(107%)</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Resort management and other services profit</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29%</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Resort management and other services profit margin</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67.2%</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(11.3 pts)</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24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Resort management and other services revenues reflected higher ancillary revenues, including revenues from food and beverage and golf offerings, as a result of the continued ramp-up of the business subsequent to the initial impact of the COVID-19 pandemic late in the prior year first quarter, as well as higher management fees and $8 million of revenues from the Welk Acquisition. Resort occupancies have continued to increase throughout 2021 as our resorts that were closed at the start of the COVID-19 pandemic have reopened. We expect this trend in business improvement to continue throughout the remainder of 2021.</w:t>
      </w:r>
    </w:p>
    <w:p>
      <w:pPr>
        <w:spacing w:after="0" w:line="8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increase in resort management and other services profit reflected the higher ancillary expenses as a result of the higher ancillary revenues mentioned above.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431"/>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 revenues</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Ancillary revenues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96%</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management and exchange revenues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Resort management and other services revenues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29%</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Resort management and other services expenses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(31%)</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Resort management and other services profit</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27%</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Resort management and other services profit margin</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(0.6 pts)</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24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Resort management and other services revenues reflected higher ancillary revenues, including revenues from food and beverage and golf offerings, as a result of the continued ramp-up of the business subsequent to the initial impact of the COVID-19 pandemic late in the prior year first quarter, as well as higher management fees and $16 million from the Welk Acquisition. Resort occupancies have continued to increase throughout 2021 as an increasing number of resorts that were closed at the start of the COVID-19 pandemic have reopened. We expect this trend in business improvement to continue throughout the remainder of 2021.</w:t>
      </w:r>
    </w:p>
    <w:p>
      <w:pPr>
        <w:spacing w:after="0" w:line="8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increase in resort management and other services profit reflected the higher ancillary expenses as a result of the higher ancillary revenues mentioned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Profit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 30, 2021</w:t>
            </w: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September 30, 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ind w:left="20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profit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Rental profit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center"/>
              <w:ind w:right="232"/>
              <w:spacing w:after="0" w:line="204" w:lineRule="exact"/>
              <w:rPr>
                <w:sz w:val="20"/>
                <w:szCs w:val="20"/>
                <w:color w:val="auto"/>
              </w:rPr>
            </w:pPr>
            <w:r>
              <w:rPr>
                <w:rFonts w:ascii="Arial" w:cs="Arial" w:eastAsia="Arial" w:hAnsi="Arial"/>
                <w:sz w:val="18"/>
                <w:szCs w:val="18"/>
                <w:color w:val="auto"/>
                <w:w w:val="90"/>
              </w:rPr>
              <w:t>20.6%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center"/>
              <w:ind w:right="210"/>
              <w:spacing w:after="0" w:line="204" w:lineRule="exact"/>
              <w:rPr>
                <w:sz w:val="20"/>
                <w:szCs w:val="20"/>
                <w:color w:val="auto"/>
              </w:rPr>
            </w:pPr>
            <w:r>
              <w:rPr>
                <w:rFonts w:ascii="Arial" w:cs="Arial" w:eastAsia="Arial" w:hAnsi="Arial"/>
                <w:sz w:val="18"/>
                <w:szCs w:val="18"/>
                <w:color w:val="auto"/>
                <w:w w:val="99"/>
              </w:rPr>
              <w:t>NM</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4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760" w:type="dxa"/>
            <w:vAlign w:val="bottom"/>
          </w:tcPr>
          <w:p>
            <w:pPr>
              <w:spacing w:after="0"/>
              <w:rPr>
                <w:sz w:val="18"/>
                <w:szCs w:val="18"/>
                <w:color w:val="auto"/>
              </w:rPr>
            </w:pPr>
          </w:p>
        </w:tc>
        <w:tc>
          <w:tcPr>
            <w:tcW w:w="16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 30, 2021</w:t>
            </w: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September 30, 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ind w:left="20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10"/>
                <w:szCs w:val="10"/>
                <w:color w:val="auto"/>
              </w:rPr>
              <w:t>(1)</w:t>
            </w: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500,952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237,749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263,203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111%</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198.84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61.16</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0"/>
              </w:rPr>
              <w:t>85.0%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0"/>
              </w:rPr>
              <w:t>24.5%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60.5 pts</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9"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9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improvement in rental profit resulted from an increase in transient keys rented and a higher average transient rate due to the continued ramp-up of the business subsequent to the initial impact of the COVID-19 pandemic late in the prior year first quarter as well as from higher plus point revenue as COVID-19-related restrictions continued to ease. These increases were partially offset by higher inventory carrying costs (due to low sales volumes as a result of the COVID-19 pandemic, the acquisition of new inventory in the first quarter of 2021, and higher utilization of third-party vacation offerings for owners who elect to exchange their inventory).</w:t>
      </w:r>
    </w:p>
    <w:p>
      <w:pPr>
        <w:spacing w:after="0" w:line="80"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As the majority of the governmental restrictions in response to the pandemic that caused rental activity to decline, such as travel restrictions and quarantine requirements, have been lifted, we expect rental occupancies to continue to increase throughout the remainder of 2021.</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5"/>
          </w:tcPr>
          <w:p>
            <w:pPr>
              <w:ind w:left="580"/>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September 30, 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ind w:left="20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71%</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profit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120%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Rental profit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492"/>
              <w:spacing w:after="0" w:line="204"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center"/>
              <w:ind w:right="210"/>
              <w:spacing w:after="0" w:line="204" w:lineRule="exact"/>
              <w:rPr>
                <w:sz w:val="20"/>
                <w:szCs w:val="20"/>
                <w:color w:val="auto"/>
              </w:rPr>
            </w:pPr>
            <w:r>
              <w:rPr>
                <w:rFonts w:ascii="Arial" w:cs="Arial" w:eastAsia="Arial" w:hAnsi="Arial"/>
                <w:sz w:val="18"/>
                <w:szCs w:val="18"/>
                <w:color w:val="auto"/>
                <w:w w:val="99"/>
              </w:rPr>
              <w:t>NM</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4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5"/>
          </w:tcPr>
          <w:p>
            <w:pPr>
              <w:ind w:left="580"/>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760" w:type="dxa"/>
            <w:vAlign w:val="bottom"/>
          </w:tcPr>
          <w:p>
            <w:pPr>
              <w:spacing w:after="0"/>
              <w:rPr>
                <w:sz w:val="18"/>
                <w:szCs w:val="18"/>
                <w:color w:val="auto"/>
              </w:rPr>
            </w:pPr>
          </w:p>
        </w:tc>
        <w:tc>
          <w:tcPr>
            <w:tcW w:w="164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September 30, 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ind w:left="20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476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1,433,738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816,404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617,334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76%</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240.48</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227.07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13.41</w:t>
            </w:r>
          </w:p>
        </w:tc>
        <w:tc>
          <w:tcPr>
            <w:tcW w:w="16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0"/>
              </w:rPr>
              <w:t>53.8%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25.3 pts</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9"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9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improvement in rental profit resulted from an increase in transient keys rented and a higher average transient rate due to the continued ramp-up of the business subsequent to the initial impact of the COVID-19 pandemic late in the prior year first quarter as well as from higher plus point revenue as COVID-19-related restrictions continued to ease. These increases were partially offset by higher inventory carrying costs (due to low sales volumes as a result of the COVID-19 pandemic, the acquisition of new inventory in the first quarter of 2021, and higher utilization of third-party vacation offerings for owners who elect to exchange their inventory).</w:t>
      </w:r>
    </w:p>
    <w:p>
      <w:pPr>
        <w:spacing w:after="0" w:line="80"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As the majority of the governmental restrictions in response to the pandemic that caused rental activity to decline, such as travel restrictions and quarantine requirements, have been lifted, we expect rental occupancies to continue to increase throughout the remainder of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Profit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3"/>
        </w:trPr>
        <w:tc>
          <w:tcPr>
            <w:tcW w:w="4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 30, 2021</w:t>
            </w: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September 30, 2020</w:t>
            </w:r>
          </w:p>
        </w:tc>
        <w:tc>
          <w:tcPr>
            <w:tcW w:w="1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revenues</w:t>
            </w: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ind w:left="792"/>
              <w:spacing w:after="0"/>
              <w:rPr>
                <w:sz w:val="20"/>
                <w:szCs w:val="20"/>
                <w:color w:val="auto"/>
              </w:rPr>
            </w:pPr>
            <w:r>
              <w:rPr>
                <w:rFonts w:ascii="Arial" w:cs="Arial" w:eastAsia="Arial" w:hAnsi="Arial"/>
                <w:sz w:val="18"/>
                <w:szCs w:val="18"/>
                <w:color w:val="auto"/>
                <w:w w:val="89"/>
              </w:rPr>
              <w:t>69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79"/>
              </w:rPr>
              <w:t>5</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Financing expenses</w:t>
            </w:r>
          </w:p>
        </w:tc>
        <w:tc>
          <w:tcPr>
            <w:tcW w:w="320" w:type="dxa"/>
            <w:vAlign w:val="bottom"/>
          </w:tcPr>
          <w:p>
            <w:pPr>
              <w:spacing w:after="0"/>
              <w:rPr>
                <w:sz w:val="19"/>
                <w:szCs w:val="19"/>
                <w:color w:val="auto"/>
              </w:rPr>
            </w:pPr>
          </w:p>
        </w:tc>
        <w:tc>
          <w:tcPr>
            <w:tcW w:w="1220" w:type="dxa"/>
            <w:vAlign w:val="bottom"/>
          </w:tcPr>
          <w:p>
            <w:pPr>
              <w:jc w:val="center"/>
              <w:ind w:left="792"/>
              <w:spacing w:after="0"/>
              <w:rPr>
                <w:sz w:val="20"/>
                <w:szCs w:val="20"/>
                <w:color w:val="auto"/>
              </w:rPr>
            </w:pPr>
            <w:r>
              <w:rPr>
                <w:rFonts w:ascii="Arial" w:cs="Arial" w:eastAsia="Arial" w:hAnsi="Arial"/>
                <w:sz w:val="18"/>
                <w:szCs w:val="18"/>
                <w:color w:val="auto"/>
                <w:w w:val="93"/>
              </w:rPr>
              <w:t>(10)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(18%)</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financing 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92"/>
              <w:spacing w:after="0"/>
              <w:rPr>
                <w:sz w:val="20"/>
                <w:szCs w:val="20"/>
                <w:color w:val="auto"/>
              </w:rPr>
            </w:pPr>
            <w:r>
              <w:rPr>
                <w:rFonts w:ascii="Arial" w:cs="Arial" w:eastAsia="Arial" w:hAnsi="Arial"/>
                <w:sz w:val="18"/>
                <w:szCs w:val="18"/>
                <w:color w:val="auto"/>
                <w:w w:val="93"/>
              </w:rPr>
              <w:t>(12)</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79"/>
              </w:rPr>
              <w:t>3</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21%</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Financing profit</w:t>
            </w: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792"/>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5"/>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79"/>
              </w:rPr>
              <w:t>7</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16%</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propensity</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42.9%</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bl>
    <w:p>
      <w:pPr>
        <w:spacing w:after="0" w:line="24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Financing revenues increased due to the Welk Acquisition, which contributed $11 million for the third quarter of 2021. Excluding the impact of the Welk Acquisition, financing revenues declined $6 million due to a $200 million decrease in the average net vacation ownership notes receivable balance resulting from the continued pay-down of the existing vacation ownership notes receivable portfolio without a corresponding increase in the portfolio from new loan originations. As contract sales volumes continue to grow throughout the fourth quarter of 2021, we expect that this growth from new loan originations should more than offset the normal decline from loan payment activity, which would cause interest income to increase. Financing expenses increased due to higher salaries and wages and foreclosure costs as well as less than $1 million of higher costs from the Welk Acquisition. Lower consumer financing interest expense resulted from the continued pay-down of securitized debt balances. The higher financing propensity reflects a higher mix of sales to first time buyers, who tend to have a higher financing propensity. The low propensity in the prior year reflected the impact of sales programs that incented cash purchases during the initial periods of the COVID-19 pandemic. As we move into 2022, we expect to continue to shift back to an increased focus on sales to first-time buyers, which should increase propensity (60 percent or higher) and increase interest income as new originations of vacation ownership notes receivable outpace the decline in principal of existing vacation ownership notes receivable.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3"/>
        </w:trPr>
        <w:tc>
          <w:tcPr>
            <w:tcW w:w="4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September 30, 2020</w:t>
            </w:r>
          </w:p>
        </w:tc>
        <w:tc>
          <w:tcPr>
            <w:tcW w:w="1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revenues</w:t>
            </w: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204</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Financing expenses</w:t>
            </w:r>
          </w:p>
        </w:tc>
        <w:tc>
          <w:tcPr>
            <w:tcW w:w="320" w:type="dxa"/>
            <w:vAlign w:val="bottom"/>
          </w:tcPr>
          <w:p>
            <w:pPr>
              <w:spacing w:after="0"/>
              <w:rPr>
                <w:sz w:val="19"/>
                <w:szCs w:val="19"/>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w w:val="93"/>
              </w:rPr>
              <w:t>(26)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93"/>
              </w:rPr>
              <w:t>(40)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33%</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financing 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3"/>
              </w:rPr>
              <w:t>(38)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3"/>
              </w:rPr>
              <w:t>(44)</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13%</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Financing profit</w:t>
            </w: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5"/>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9%</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propensity</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bl>
    <w:p>
      <w:pPr>
        <w:spacing w:after="0" w:line="242"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The Welk Acquisition provided $21 million of incremental revenues in the first three quarters of 2021. Excluding the impact of Welk activity, financing revenues decreased due to a $296 million decrease in the average net vacation ownership notes receivable balance resulting from the continued pay-down of the existing vacation ownership notes receivable portfolio without a corresponding increase from new loan originations. As contract sales volumes continue to grow through the remainder of 2021, we expect that this growth should begin to more than offset the normal decline from loan payment activity, which would cause interest income to increase. Financing expenses decreased due to $14 million of higher credit losses associated with acquired vacation ownership notes receivable in the prior year quarter. Lower consumer financing interest expense resulted from the continued pay-down of securitized debt balances, offset partially by $1 million of costs from the Welk Acquisition. The higher financing propensity reflects a higher mix of sales to first time buyers, who tend to have a higher financing propensity.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Royalty fee</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79"/>
              </w:rPr>
              <w:t>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14%</w:t>
            </w:r>
          </w:p>
        </w:tc>
      </w:tr>
      <w:tr>
        <w:trPr>
          <w:trHeight w:val="459"/>
        </w:trPr>
        <w:tc>
          <w:tcPr>
            <w:tcW w:w="4760" w:type="dxa"/>
            <w:vAlign w:val="bottom"/>
          </w:tcPr>
          <w:p>
            <w:pPr>
              <w:spacing w:after="0"/>
              <w:rPr>
                <w:sz w:val="20"/>
                <w:szCs w:val="20"/>
                <w:color w:val="auto"/>
              </w:rPr>
            </w:pPr>
            <w:r>
              <w:rPr>
                <w:rFonts w:ascii="Arial" w:cs="Arial" w:eastAsia="Arial" w:hAnsi="Arial"/>
                <w:sz w:val="18"/>
                <w:szCs w:val="18"/>
                <w:i w:val="1"/>
                <w:iCs w:val="1"/>
                <w:color w:val="auto"/>
              </w:rPr>
              <w:t>2021 First Three Quarters</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47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Nine Months Ended</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Royalty fee</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79"/>
              </w:rPr>
              <w:t>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w:t>
            </w:r>
          </w:p>
        </w:tc>
      </w:tr>
      <w:tr>
        <w:trPr>
          <w:trHeight w:val="458"/>
        </w:trPr>
        <w:tc>
          <w:tcPr>
            <w:tcW w:w="11240" w:type="dxa"/>
            <w:vAlign w:val="bottom"/>
            <w:gridSpan w:val="11"/>
          </w:tcPr>
          <w:p>
            <w:pPr>
              <w:ind w:left="660"/>
              <w:spacing w:after="0"/>
              <w:rPr>
                <w:sz w:val="20"/>
                <w:szCs w:val="20"/>
                <w:color w:val="auto"/>
              </w:rPr>
            </w:pPr>
            <w:r>
              <w:rPr>
                <w:rFonts w:ascii="Arial" w:cs="Arial" w:eastAsia="Arial" w:hAnsi="Arial"/>
                <w:sz w:val="18"/>
                <w:szCs w:val="18"/>
                <w:color w:val="auto"/>
                <w:w w:val="92"/>
              </w:rPr>
              <w:t>Royalty fee expense increased in the third quarter and first three quarters of 2021 as a result of higher contract closings compared to prior year</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periods.</w:t>
            </w: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b w:val="1"/>
                <w:bCs w:val="1"/>
                <w:color w:val="auto"/>
              </w:rPr>
              <w:t>Litigation Charges</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4"/>
        </w:trPr>
        <w:tc>
          <w:tcPr>
            <w:tcW w:w="4760" w:type="dxa"/>
            <w:vAlign w:val="bottom"/>
          </w:tcPr>
          <w:p>
            <w:pPr>
              <w:spacing w:after="0"/>
              <w:rPr>
                <w:sz w:val="20"/>
                <w:szCs w:val="20"/>
                <w:color w:val="auto"/>
              </w:rPr>
            </w:pPr>
            <w:r>
              <w:rPr>
                <w:rFonts w:ascii="Arial" w:cs="Arial" w:eastAsia="Arial" w:hAnsi="Arial"/>
                <w:sz w:val="18"/>
                <w:szCs w:val="18"/>
                <w:i w:val="1"/>
                <w:iCs w:val="1"/>
                <w:color w:val="auto"/>
              </w:rPr>
              <w:t>2021 Third Quarter</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47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Litigation charges</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r>
    </w:tbl>
    <w:p>
      <w:pPr>
        <w:spacing w:after="0" w:line="134" w:lineRule="exact"/>
        <w:rPr>
          <w:sz w:val="20"/>
          <w:szCs w:val="20"/>
          <w:color w:val="auto"/>
        </w:rPr>
      </w:pPr>
    </w:p>
    <w:p>
      <w:pPr>
        <w:jc w:val="both"/>
        <w:ind w:right="320" w:firstLine="648"/>
        <w:spacing w:after="0" w:line="277" w:lineRule="auto"/>
        <w:rPr>
          <w:sz w:val="20"/>
          <w:szCs w:val="20"/>
          <w:color w:val="auto"/>
        </w:rPr>
      </w:pPr>
      <w:r>
        <w:rPr>
          <w:rFonts w:ascii="Arial" w:cs="Arial" w:eastAsia="Arial" w:hAnsi="Arial"/>
          <w:sz w:val="18"/>
          <w:szCs w:val="18"/>
          <w:color w:val="auto"/>
        </w:rPr>
        <w:t>During the third quarter of 2021 and the third quarter of 2020, we incurred $1 million and $2 million, respectively, of litigation charges related primarily to projects in Europe.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6"/>
                <w:szCs w:val="16"/>
                <w:b w:val="1"/>
                <w:bCs w:val="1"/>
                <w:color w:val="auto"/>
              </w:rPr>
              <w:t>Nine Months Ended</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200" w:type="dxa"/>
            <w:vAlign w:val="bottom"/>
          </w:tcPr>
          <w:p>
            <w:pPr>
              <w:jc w:val="right"/>
              <w:ind w:right="95"/>
              <w:spacing w:after="0"/>
              <w:rPr>
                <w:sz w:val="20"/>
                <w:szCs w:val="20"/>
                <w:color w:val="auto"/>
              </w:rPr>
            </w:pPr>
            <w:r>
              <w:rPr>
                <w:rFonts w:ascii="Arial" w:cs="Arial" w:eastAsia="Arial" w:hAnsi="Arial"/>
                <w:sz w:val="16"/>
                <w:szCs w:val="16"/>
                <w:b w:val="1"/>
                <w:bCs w:val="1"/>
                <w:color w:val="auto"/>
              </w:rPr>
              <w:t>Change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Litigation charges</w:t>
            </w:r>
          </w:p>
        </w:tc>
        <w:tc>
          <w:tcPr>
            <w:tcW w:w="50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1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106%</w:t>
            </w:r>
          </w:p>
        </w:tc>
      </w:tr>
    </w:tbl>
    <w:p>
      <w:pPr>
        <w:spacing w:after="0" w:line="12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During the first three quarters of 2021 and first three quarters of 2020, we incurred $7 million and $4 million, respectively, of litigation charges related primarily to projects in Europe.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(106%)</w:t>
            </w:r>
          </w:p>
        </w:tc>
      </w:tr>
      <w:tr>
        <w:trPr>
          <w:trHeight w:val="473"/>
        </w:trPr>
        <w:tc>
          <w:tcPr>
            <w:tcW w:w="4760" w:type="dxa"/>
            <w:vAlign w:val="bottom"/>
          </w:tcPr>
          <w:p>
            <w:pPr>
              <w:spacing w:after="0"/>
              <w:rPr>
                <w:sz w:val="20"/>
                <w:szCs w:val="20"/>
                <w:color w:val="auto"/>
              </w:rPr>
            </w:pPr>
            <w:r>
              <w:rPr>
                <w:rFonts w:ascii="Arial" w:cs="Arial" w:eastAsia="Arial" w:hAnsi="Arial"/>
                <w:sz w:val="18"/>
                <w:szCs w:val="18"/>
                <w:i w:val="1"/>
                <w:iCs w:val="1"/>
                <w:color w:val="auto"/>
              </w:rPr>
              <w:t>2021 First Three Quarters</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47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6"/>
                <w:szCs w:val="16"/>
                <w:b w:val="1"/>
                <w:bCs w:val="1"/>
                <w:color w:val="auto"/>
              </w:rPr>
              <w:t>Nine Months Ended</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(100%)</w:t>
            </w:r>
          </w:p>
        </w:tc>
      </w:tr>
    </w:tbl>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During the third quarter and first three quarters of 2020, we incurred $11 million in restructuring costs primarily related to a workforce reduction plan that we adopted as a result of the COVID-19 pandemic. During the third quarter of 2021, we trued up this restructuring accrual based upon current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(99%)</w:t>
            </w:r>
          </w:p>
        </w:tc>
      </w:tr>
      <w:tr>
        <w:trPr>
          <w:trHeight w:val="473"/>
        </w:trPr>
        <w:tc>
          <w:tcPr>
            <w:tcW w:w="4760" w:type="dxa"/>
            <w:vAlign w:val="bottom"/>
          </w:tcPr>
          <w:p>
            <w:pPr>
              <w:spacing w:after="0"/>
              <w:rPr>
                <w:sz w:val="20"/>
                <w:szCs w:val="20"/>
                <w:color w:val="auto"/>
              </w:rPr>
            </w:pPr>
            <w:r>
              <w:rPr>
                <w:rFonts w:ascii="Arial" w:cs="Arial" w:eastAsia="Arial" w:hAnsi="Arial"/>
                <w:sz w:val="18"/>
                <w:szCs w:val="18"/>
                <w:i w:val="1"/>
                <w:iCs w:val="1"/>
                <w:color w:val="auto"/>
              </w:rPr>
              <w:t>2021 First Three Quarters</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47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Nine Months Ended</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rPr>
              <w:t>(100%)</w:t>
            </w:r>
          </w:p>
        </w:tc>
      </w:tr>
    </w:tbl>
    <w:p>
      <w:pPr>
        <w:spacing w:after="0" w:line="18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No asset impairment charges were recorded for the third quarter of 2021 or the first three quarters of 2021. During the third quarter and first three quarters of 2020, we recorded non-cash impairment charges of $1 million and $6 million, respectively, related to our Asia Pacific inventory as a result of the impact of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2020</w:t>
            </w:r>
          </w:p>
        </w:tc>
        <w:tc>
          <w:tcPr>
            <w:tcW w:w="10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Gains and other income, net</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55"/>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rPr>
              <w:t>(101%)</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gains and other income were recorded for the third quarter of 2021. During the third quarter of 2020, we recorded $6 million of gains and other income related to the disposition of excess land parcels in Orlando, Florida and Steamboat Springs, Colorado.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b w:val="1"/>
                <w:bCs w:val="1"/>
                <w:color w:val="auto"/>
              </w:rPr>
              <w:t>Nine Months Ended</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2020</w:t>
            </w:r>
          </w:p>
        </w:tc>
        <w:tc>
          <w:tcPr>
            <w:tcW w:w="10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Gains and other income, net</w:t>
            </w:r>
          </w:p>
        </w:tc>
        <w:tc>
          <w:tcPr>
            <w:tcW w:w="50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 gains and other income were recorded for the first three quarters of 2021. During the first three quarters of 2020, we recorded $12 million of gains and other income, including $6 million of gains and other income related to the disposition of excess land parcels in Orlando, Florida and Steamboat Springs, Colorado and $4 million of net insurance proceeds related to the settlement of Legacy-MVW business interruption insurance claims arising from a prior year hurricane.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Pr>
          <w:p>
            <w:pPr>
              <w:spacing w:after="0"/>
              <w:rPr>
                <w:sz w:val="18"/>
                <w:szCs w:val="18"/>
                <w:color w:val="auto"/>
              </w:rPr>
            </w:pPr>
          </w:p>
        </w:tc>
        <w:tc>
          <w:tcPr>
            <w:tcW w:w="1580" w:type="dxa"/>
            <w:vAlign w:val="bottom"/>
            <w:gridSpan w:val="4"/>
          </w:tcPr>
          <w:p>
            <w:pPr>
              <w:ind w:left="40"/>
              <w:spacing w:after="0"/>
              <w:rPr>
                <w:sz w:val="20"/>
                <w:szCs w:val="20"/>
                <w:color w:val="auto"/>
              </w:rPr>
            </w:pPr>
            <w:r>
              <w:rPr>
                <w:rFonts w:ascii="Arial" w:cs="Arial" w:eastAsia="Arial" w:hAnsi="Arial"/>
                <w:sz w:val="16"/>
                <w:szCs w:val="16"/>
                <w:b w:val="1"/>
                <w:bCs w:val="1"/>
                <w:color w:val="auto"/>
              </w:rPr>
              <w:t>September 30, 2021</w:t>
            </w:r>
          </w:p>
        </w:tc>
        <w:tc>
          <w:tcPr>
            <w:tcW w:w="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0"/>
              </w:rPr>
              <w:t>September 30, 2021</w:t>
            </w:r>
          </w:p>
        </w:tc>
        <w:tc>
          <w:tcPr>
            <w:tcW w:w="2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3"/>
              </w:rPr>
              <w:t>September 30, 2020</w:t>
            </w:r>
          </w:p>
        </w:tc>
        <w:tc>
          <w:tcPr>
            <w:tcW w:w="0" w:type="dxa"/>
            <w:vAlign w:val="bottom"/>
          </w:tcPr>
          <w:p>
            <w:pPr>
              <w:spacing w:after="0"/>
              <w:rPr>
                <w:sz w:val="1"/>
                <w:szCs w:val="1"/>
                <w:color w:val="auto"/>
              </w:rPr>
            </w:pPr>
          </w:p>
        </w:tc>
      </w:tr>
      <w:tr>
        <w:trPr>
          <w:trHeight w:val="212"/>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Management and exchange</w:t>
            </w:r>
          </w:p>
        </w:tc>
        <w:tc>
          <w:tcPr>
            <w:tcW w:w="340" w:type="dxa"/>
            <w:vAlign w:val="bottom"/>
            <w:gridSpan w:val="2"/>
          </w:tcPr>
          <w:p>
            <w:pPr>
              <w:jc w:val="right"/>
              <w:ind w:right="155"/>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2"/>
          </w:tcPr>
          <w:p>
            <w:pPr>
              <w:jc w:val="right"/>
              <w:ind w:right="95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33"/>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99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160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Financing</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REVENUES</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236</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Management and exchange</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Financing</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EXPENSES</w:t>
            </w: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266</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Losses and other expense, net</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6"/>
        </w:trPr>
        <w:tc>
          <w:tcPr>
            <w:tcW w:w="47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SEGMENT FINANCIAL RESULTS ATTRIBUTABLE TO</w:t>
            </w:r>
          </w:p>
        </w:tc>
        <w:tc>
          <w:tcPr>
            <w:tcW w:w="340" w:type="dxa"/>
            <w:vAlign w:val="bottom"/>
            <w:gridSpan w:val="2"/>
            <w:vMerge w:val="restart"/>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COMMON SHAREHOLDERS</w:t>
            </w:r>
          </w:p>
        </w:tc>
        <w:tc>
          <w:tcPr>
            <w:tcW w:w="340" w:type="dxa"/>
            <w:vAlign w:val="bottom"/>
            <w:tcBorders>
              <w:bottom w:val="single" w:sz="8" w:color="auto"/>
            </w:tcBorders>
            <w:gridSpan w:val="2"/>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gridSpan w:val="2"/>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gridSpan w:val="2"/>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Rental Revenues, Expenses and Profit</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7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80" w:type="dxa"/>
            <w:vAlign w:val="bottom"/>
          </w:tcPr>
          <w:p>
            <w:pPr>
              <w:spacing w:after="0"/>
              <w:rPr>
                <w:sz w:val="20"/>
                <w:szCs w:val="20"/>
                <w:color w:val="auto"/>
              </w:rPr>
            </w:pPr>
            <w:r>
              <w:rPr>
                <w:rFonts w:ascii="Arial" w:cs="Arial" w:eastAsia="Arial" w:hAnsi="Arial"/>
                <w:sz w:val="18"/>
                <w:szCs w:val="18"/>
                <w:i w:val="1"/>
                <w:iCs w:val="1"/>
                <w:color w:val="auto"/>
              </w:rPr>
              <w:t>2021 Third Quarter</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Pr>
          <w:p>
            <w:pPr>
              <w:spacing w:after="0"/>
              <w:rPr>
                <w:sz w:val="18"/>
                <w:szCs w:val="18"/>
                <w:color w:val="auto"/>
              </w:rPr>
            </w:pPr>
          </w:p>
        </w:tc>
        <w:tc>
          <w:tcPr>
            <w:tcW w:w="1580" w:type="dxa"/>
            <w:vAlign w:val="bottom"/>
            <w:gridSpan w:val="4"/>
          </w:tcPr>
          <w:p>
            <w:pPr>
              <w:ind w:left="80"/>
              <w:spacing w:after="0"/>
              <w:rPr>
                <w:sz w:val="20"/>
                <w:szCs w:val="20"/>
                <w:color w:val="auto"/>
              </w:rPr>
            </w:pPr>
            <w:r>
              <w:rPr>
                <w:rFonts w:ascii="Arial" w:cs="Arial" w:eastAsia="Arial" w:hAnsi="Arial"/>
                <w:sz w:val="16"/>
                <w:szCs w:val="16"/>
                <w:b w:val="1"/>
                <w:bCs w:val="1"/>
                <w:color w:val="auto"/>
                <w:w w:val="99"/>
              </w:rPr>
              <w:t>September 30, 2021</w:t>
            </w:r>
          </w:p>
        </w:tc>
        <w:tc>
          <w:tcPr>
            <w:tcW w:w="4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5"/>
              </w:rPr>
              <w:t>September 30, 2020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ind w:left="276"/>
              <w:spacing w:after="0"/>
              <w:rPr>
                <w:sz w:val="20"/>
                <w:szCs w:val="20"/>
                <w:color w:val="auto"/>
              </w:rPr>
            </w:pPr>
            <w:r>
              <w:rPr>
                <w:rFonts w:ascii="Arial" w:cs="Arial" w:eastAsia="Arial" w:hAnsi="Arial"/>
                <w:sz w:val="18"/>
                <w:szCs w:val="18"/>
                <w:color w:val="auto"/>
                <w:w w:val="91"/>
              </w:rPr>
              <w:t>(12%)</w:t>
            </w:r>
          </w:p>
        </w:tc>
        <w:tc>
          <w:tcPr>
            <w:tcW w:w="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101%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profit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8"/>
              </w:rPr>
              <w:t>13%</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Rental profit margin</w:t>
            </w: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tcBorders>
              <w:top w:val="single" w:sz="8" w:color="CCEEFF"/>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351"/>
              <w:spacing w:after="0" w:line="204" w:lineRule="exact"/>
              <w:rPr>
                <w:sz w:val="20"/>
                <w:szCs w:val="20"/>
                <w:color w:val="auto"/>
              </w:rPr>
            </w:pPr>
            <w:r>
              <w:rPr>
                <w:rFonts w:ascii="Arial" w:cs="Arial" w:eastAsia="Arial" w:hAnsi="Arial"/>
                <w:sz w:val="18"/>
                <w:szCs w:val="18"/>
                <w:color w:val="auto"/>
              </w:rPr>
              <w:t>100.2%</w:t>
            </w: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Borders>
              <w:top w:val="single" w:sz="8" w:color="auto"/>
            </w:tcBorders>
          </w:tcPr>
          <w:p>
            <w:pPr>
              <w:jc w:val="right"/>
              <w:ind w:right="34"/>
              <w:spacing w:after="0" w:line="204" w:lineRule="exact"/>
              <w:rPr>
                <w:sz w:val="20"/>
                <w:szCs w:val="20"/>
                <w:color w:val="auto"/>
              </w:rPr>
            </w:pPr>
            <w:r>
              <w:rPr>
                <w:rFonts w:ascii="Arial" w:cs="Arial" w:eastAsia="Arial" w:hAnsi="Arial"/>
                <w:sz w:val="18"/>
                <w:szCs w:val="18"/>
                <w:color w:val="auto"/>
              </w:rPr>
              <w:t>78.1%</w:t>
            </w:r>
          </w:p>
        </w:tc>
        <w:tc>
          <w:tcPr>
            <w:tcW w:w="3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20"/>
              <w:spacing w:after="0" w:line="204" w:lineRule="exact"/>
              <w:rPr>
                <w:sz w:val="20"/>
                <w:szCs w:val="20"/>
                <w:color w:val="auto"/>
              </w:rPr>
            </w:pPr>
            <w:r>
              <w:rPr>
                <w:rFonts w:ascii="Arial" w:cs="Arial" w:eastAsia="Arial" w:hAnsi="Arial"/>
                <w:sz w:val="18"/>
                <w:szCs w:val="18"/>
                <w:color w:val="auto"/>
                <w:w w:val="87"/>
              </w:rPr>
              <w:t>22.1 pts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increase in rental profit reflected a 4 percent increase in Getaway program transactions and a 13 percent increase in average fee, reflecting customers’ desire to travel and pent-up demand due to COVID-19-related restrictions. Late in the first quarter of 2021, we also introduced Getaway rentals of less than seven nights, providing members more opportunities to use their membership in ways that better fit their lifestyles.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September 30, 2021</w:t>
            </w: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w w:val="95"/>
              </w:rPr>
              <w:t>September 30, 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5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5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8"/>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profit</w:t>
            </w: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5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40" w:type="dxa"/>
            <w:vAlign w:val="bottom"/>
            <w:tcBorders>
              <w:top w:val="single" w:sz="8" w:color="CCEEFF"/>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54%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Rental profit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92"/>
              <w:spacing w:after="0" w:line="204" w:lineRule="exact"/>
              <w:rPr>
                <w:sz w:val="20"/>
                <w:szCs w:val="20"/>
                <w:color w:val="auto"/>
              </w:rPr>
            </w:pPr>
            <w:r>
              <w:rPr>
                <w:rFonts w:ascii="Arial" w:cs="Arial" w:eastAsia="Arial" w:hAnsi="Arial"/>
                <w:sz w:val="18"/>
                <w:szCs w:val="18"/>
                <w:color w:val="auto"/>
              </w:rPr>
              <w:t>100.1%</w:t>
            </w:r>
          </w:p>
        </w:tc>
        <w:tc>
          <w:tcPr>
            <w:tcW w:w="100" w:type="dxa"/>
            <w:vAlign w:val="bottom"/>
          </w:tcPr>
          <w:p>
            <w:pPr>
              <w:spacing w:after="0"/>
              <w:rPr>
                <w:sz w:val="17"/>
                <w:szCs w:val="17"/>
                <w:color w:val="auto"/>
              </w:rPr>
            </w:pPr>
          </w:p>
        </w:tc>
        <w:tc>
          <w:tcPr>
            <w:tcW w:w="1140" w:type="dxa"/>
            <w:vAlign w:val="bottom"/>
          </w:tcPr>
          <w:p>
            <w:pPr>
              <w:jc w:val="right"/>
              <w:ind w:right="52"/>
              <w:spacing w:after="0" w:line="204" w:lineRule="exact"/>
              <w:rPr>
                <w:sz w:val="20"/>
                <w:szCs w:val="20"/>
                <w:color w:val="auto"/>
              </w:rPr>
            </w:pPr>
            <w:r>
              <w:rPr>
                <w:rFonts w:ascii="Arial" w:cs="Arial" w:eastAsia="Arial" w:hAnsi="Arial"/>
                <w:sz w:val="18"/>
                <w:szCs w:val="18"/>
                <w:color w:val="auto"/>
              </w:rPr>
              <w:t>72.8%</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432"/>
              <w:spacing w:after="0" w:line="204" w:lineRule="exact"/>
              <w:rPr>
                <w:sz w:val="20"/>
                <w:szCs w:val="20"/>
                <w:color w:val="auto"/>
              </w:rPr>
            </w:pPr>
            <w:r>
              <w:rPr>
                <w:rFonts w:ascii="Arial" w:cs="Arial" w:eastAsia="Arial" w:hAnsi="Arial"/>
                <w:sz w:val="18"/>
                <w:szCs w:val="18"/>
                <w:color w:val="auto"/>
              </w:rPr>
              <w:t>27.3%</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increase in rental profit reflected a 42 percent increase in Getaway program transactions and a 10 percent increase in average fee, reflecting customers’ desire to travel and pent up-demand due to COVID-19-related restrictions. Late in the first quarter of 2021, we also introduced Getaway rentals of less than seven nights, providing members more opportunities to use their membership in ways that better fit their lifestyles.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Exchange Profit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September 30, 2021</w:t>
            </w: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w w:val="95"/>
              </w:rPr>
              <w:t>September 30, 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40" w:type="dxa"/>
            <w:vAlign w:val="bottom"/>
          </w:tcPr>
          <w:p>
            <w:pPr>
              <w:jc w:val="right"/>
              <w:ind w:right="31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and exchange revenue</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center"/>
              <w:ind w:left="772"/>
              <w:spacing w:after="0"/>
              <w:rPr>
                <w:sz w:val="20"/>
                <w:szCs w:val="20"/>
                <w:color w:val="auto"/>
              </w:rPr>
            </w:pPr>
            <w:r>
              <w:rPr>
                <w:rFonts w:ascii="Arial" w:cs="Arial" w:eastAsia="Arial" w:hAnsi="Arial"/>
                <w:sz w:val="18"/>
                <w:szCs w:val="18"/>
                <w:color w:val="auto"/>
                <w:w w:val="89"/>
              </w:rPr>
              <w:t>59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49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Management and exchange expense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2"/>
              <w:spacing w:after="0"/>
              <w:rPr>
                <w:sz w:val="20"/>
                <w:szCs w:val="20"/>
                <w:color w:val="auto"/>
              </w:rPr>
            </w:pPr>
            <w:r>
              <w:rPr>
                <w:rFonts w:ascii="Arial" w:cs="Arial" w:eastAsia="Arial" w:hAnsi="Arial"/>
                <w:sz w:val="18"/>
                <w:szCs w:val="18"/>
                <w:color w:val="auto"/>
                <w:w w:val="93"/>
              </w:rPr>
              <w:t>(33)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40" w:type="dxa"/>
            <w:vAlign w:val="bottom"/>
            <w:tcBorders>
              <w:bottom w:val="single" w:sz="8" w:color="CCEEFF"/>
            </w:tcBorders>
            <w:gridSpan w:val="2"/>
          </w:tcPr>
          <w:p>
            <w:pPr>
              <w:jc w:val="right"/>
              <w:ind w:right="45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and exchange profit</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772"/>
              <w:spacing w:after="0"/>
              <w:rPr>
                <w:sz w:val="20"/>
                <w:szCs w:val="20"/>
                <w:color w:val="auto"/>
              </w:rPr>
            </w:pPr>
            <w:r>
              <w:rPr>
                <w:rFonts w:ascii="Arial" w:cs="Arial" w:eastAsia="Arial" w:hAnsi="Arial"/>
                <w:sz w:val="18"/>
                <w:szCs w:val="18"/>
                <w:color w:val="auto"/>
                <w:w w:val="89"/>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40" w:type="dxa"/>
            <w:vAlign w:val="bottom"/>
            <w:tcBorders>
              <w:bottom w:val="single" w:sz="8" w:color="CCEEFF"/>
            </w:tcBorders>
            <w:gridSpan w:val="2"/>
            <w:shd w:val="clear" w:color="auto" w:fill="CCEEFF"/>
          </w:tcPr>
          <w:p>
            <w:pPr>
              <w:jc w:val="right"/>
              <w:ind w:right="51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Management and exchange profit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452"/>
              <w:spacing w:after="0" w:line="204" w:lineRule="exact"/>
              <w:rPr>
                <w:sz w:val="20"/>
                <w:szCs w:val="20"/>
                <w:color w:val="auto"/>
              </w:rPr>
            </w:pPr>
            <w:r>
              <w:rPr>
                <w:rFonts w:ascii="Arial" w:cs="Arial" w:eastAsia="Arial" w:hAnsi="Arial"/>
                <w:sz w:val="18"/>
                <w:szCs w:val="18"/>
                <w:color w:val="auto"/>
              </w:rPr>
              <w:t>44.7%</w:t>
            </w:r>
          </w:p>
        </w:tc>
        <w:tc>
          <w:tcPr>
            <w:tcW w:w="100" w:type="dxa"/>
            <w:vAlign w:val="bottom"/>
          </w:tcPr>
          <w:p>
            <w:pPr>
              <w:spacing w:after="0"/>
              <w:rPr>
                <w:sz w:val="17"/>
                <w:szCs w:val="17"/>
                <w:color w:val="auto"/>
              </w:rPr>
            </w:pPr>
          </w:p>
        </w:tc>
        <w:tc>
          <w:tcPr>
            <w:tcW w:w="1120" w:type="dxa"/>
            <w:vAlign w:val="bottom"/>
          </w:tcPr>
          <w:p>
            <w:pPr>
              <w:jc w:val="right"/>
              <w:ind w:right="32"/>
              <w:spacing w:after="0" w:line="204" w:lineRule="exact"/>
              <w:rPr>
                <w:sz w:val="20"/>
                <w:szCs w:val="20"/>
                <w:color w:val="auto"/>
              </w:rPr>
            </w:pPr>
            <w:r>
              <w:rPr>
                <w:rFonts w:ascii="Arial" w:cs="Arial" w:eastAsia="Arial" w:hAnsi="Arial"/>
                <w:sz w:val="18"/>
                <w:szCs w:val="18"/>
                <w:color w:val="auto"/>
              </w:rPr>
              <w:t>44.3%</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452"/>
              <w:spacing w:after="0" w:line="204" w:lineRule="exact"/>
              <w:rPr>
                <w:sz w:val="20"/>
                <w:szCs w:val="20"/>
                <w:color w:val="auto"/>
              </w:rPr>
            </w:pPr>
            <w:r>
              <w:rPr>
                <w:rFonts w:ascii="Arial" w:cs="Arial" w:eastAsia="Arial" w:hAnsi="Arial"/>
                <w:sz w:val="18"/>
                <w:szCs w:val="18"/>
                <w:color w:val="auto"/>
              </w:rPr>
              <w:t>0.4 pts</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increase in management and exchange revenue and profit reflected higher management fees and membership revenue due to the continued ramp-up of the business subsequent to the initial impact of the COVID-19 pandemic late in the prior year first quarter. For Interval International, average revenue per member increased 17 percent over the prior year comparable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and exchange revenue</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Management and exchange expense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99"/>
              </w:rPr>
              <w:t>(6)</w:t>
            </w:r>
          </w:p>
        </w:tc>
        <w:tc>
          <w:tcPr>
            <w:tcW w:w="16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and exchange profit</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13</w:t>
            </w:r>
          </w:p>
        </w:tc>
        <w:tc>
          <w:tcPr>
            <w:tcW w:w="16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Management and exchange profit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452"/>
              <w:spacing w:after="0" w:line="204" w:lineRule="exact"/>
              <w:rPr>
                <w:sz w:val="20"/>
                <w:szCs w:val="20"/>
                <w:color w:val="auto"/>
              </w:rPr>
            </w:pPr>
            <w:r>
              <w:rPr>
                <w:rFonts w:ascii="Arial" w:cs="Arial" w:eastAsia="Arial" w:hAnsi="Arial"/>
                <w:sz w:val="18"/>
                <w:szCs w:val="18"/>
                <w:color w:val="auto"/>
              </w:rPr>
              <w:t>44.9%</w:t>
            </w:r>
          </w:p>
        </w:tc>
        <w:tc>
          <w:tcPr>
            <w:tcW w:w="100" w:type="dxa"/>
            <w:vAlign w:val="bottom"/>
          </w:tcPr>
          <w:p>
            <w:pPr>
              <w:spacing w:after="0"/>
              <w:rPr>
                <w:sz w:val="17"/>
                <w:szCs w:val="17"/>
                <w:color w:val="auto"/>
              </w:rPr>
            </w:pPr>
          </w:p>
        </w:tc>
        <w:tc>
          <w:tcPr>
            <w:tcW w:w="1100" w:type="dxa"/>
            <w:vAlign w:val="bottom"/>
          </w:tcPr>
          <w:p>
            <w:pPr>
              <w:jc w:val="right"/>
              <w:ind w:right="12"/>
              <w:spacing w:after="0" w:line="204" w:lineRule="exact"/>
              <w:rPr>
                <w:sz w:val="20"/>
                <w:szCs w:val="20"/>
                <w:color w:val="auto"/>
              </w:rPr>
            </w:pPr>
            <w:r>
              <w:rPr>
                <w:rFonts w:ascii="Arial" w:cs="Arial" w:eastAsia="Arial" w:hAnsi="Arial"/>
                <w:sz w:val="18"/>
                <w:szCs w:val="18"/>
                <w:color w:val="auto"/>
              </w:rPr>
              <w:t>41.5%</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center"/>
              <w:ind w:right="232"/>
              <w:spacing w:after="0" w:line="204" w:lineRule="exact"/>
              <w:rPr>
                <w:sz w:val="20"/>
                <w:szCs w:val="20"/>
                <w:color w:val="auto"/>
              </w:rPr>
            </w:pPr>
            <w:r>
              <w:rPr>
                <w:rFonts w:ascii="Arial" w:cs="Arial" w:eastAsia="Arial" w:hAnsi="Arial"/>
                <w:sz w:val="18"/>
                <w:szCs w:val="18"/>
                <w:color w:val="auto"/>
                <w:w w:val="88"/>
              </w:rPr>
              <w:t>3.4 pts</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increase in management and exchange revenue and profit reflected higher management fees and exchange revenue due to the continued ramp-up of the business subsequent to the initial impact of the COVID-19 pandemic late in the prior year first quarter. These increases were partially offset by lower membership revenue as a result of lower renewal activity, driven by a 15% decline in active members in the third quarter and first three quarters of 2021, primarily due to the non-renewal of one of Interval International’s corporate customers which the Company announced in February of 2021. For Interval International, exchange transactions and average exchange fee increased 5 percent and 3 percent, respectively, over the prior year comparable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42%</w:t>
            </w:r>
          </w:p>
        </w:tc>
      </w:tr>
      <w:tr>
        <w:trPr>
          <w:trHeight w:val="473"/>
        </w:trPr>
        <w:tc>
          <w:tcPr>
            <w:tcW w:w="4760" w:type="dxa"/>
            <w:vAlign w:val="bottom"/>
          </w:tcPr>
          <w:p>
            <w:pPr>
              <w:spacing w:after="0"/>
              <w:rPr>
                <w:sz w:val="20"/>
                <w:szCs w:val="20"/>
                <w:color w:val="auto"/>
              </w:rPr>
            </w:pPr>
            <w:r>
              <w:rPr>
                <w:rFonts w:ascii="Arial" w:cs="Arial" w:eastAsia="Arial" w:hAnsi="Arial"/>
                <w:sz w:val="18"/>
                <w:szCs w:val="18"/>
                <w:i w:val="1"/>
                <w:iCs w:val="1"/>
                <w:color w:val="auto"/>
              </w:rPr>
              <w:t>2021 First Three Quarters</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47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6"/>
                <w:szCs w:val="16"/>
                <w:b w:val="1"/>
                <w:bCs w:val="1"/>
                <w:color w:val="auto"/>
              </w:rPr>
              <w:t>Nine Months Ended</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60%</w:t>
            </w:r>
          </w:p>
        </w:tc>
      </w:tr>
    </w:tbl>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Increase in depreciation expense in the third quarter and the first three quarters of 2021 relates to a true-up made to accelerate depreciation on a technology asset.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(94%)</w:t>
            </w:r>
          </w:p>
        </w:tc>
      </w:tr>
      <w:tr>
        <w:trPr>
          <w:trHeight w:val="473"/>
        </w:trPr>
        <w:tc>
          <w:tcPr>
            <w:tcW w:w="4760" w:type="dxa"/>
            <w:vAlign w:val="bottom"/>
          </w:tcPr>
          <w:p>
            <w:pPr>
              <w:spacing w:after="0"/>
              <w:rPr>
                <w:sz w:val="20"/>
                <w:szCs w:val="20"/>
                <w:color w:val="auto"/>
              </w:rPr>
            </w:pPr>
            <w:r>
              <w:rPr>
                <w:rFonts w:ascii="Arial" w:cs="Arial" w:eastAsia="Arial" w:hAnsi="Arial"/>
                <w:sz w:val="18"/>
                <w:szCs w:val="18"/>
                <w:i w:val="1"/>
                <w:iCs w:val="1"/>
                <w:color w:val="auto"/>
              </w:rPr>
              <w:t>2021 First Three Quarters</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47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(87%)</w:t>
            </w:r>
          </w:p>
        </w:tc>
      </w:tr>
    </w:tbl>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During the third quarter and first three quarters of 2020, we incurred $3 million in restructuring costs primarily related to a workforce reduction plan that we adopted as a result of the COVID-19 pandemic. During the third quarter and first three quarters of 2021, we incurred $1 million of additional restructuring costs related to this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(100%)</w:t>
            </w:r>
          </w:p>
        </w:tc>
      </w:tr>
      <w:tr>
        <w:trPr>
          <w:trHeight w:val="473"/>
        </w:trPr>
        <w:tc>
          <w:tcPr>
            <w:tcW w:w="4760" w:type="dxa"/>
            <w:vAlign w:val="bottom"/>
          </w:tcPr>
          <w:p>
            <w:pPr>
              <w:spacing w:after="0"/>
              <w:rPr>
                <w:sz w:val="20"/>
                <w:szCs w:val="20"/>
                <w:color w:val="auto"/>
              </w:rPr>
            </w:pPr>
            <w:r>
              <w:rPr>
                <w:rFonts w:ascii="Arial" w:cs="Arial" w:eastAsia="Arial" w:hAnsi="Arial"/>
                <w:sz w:val="18"/>
                <w:szCs w:val="18"/>
                <w:i w:val="1"/>
                <w:iCs w:val="1"/>
                <w:color w:val="auto"/>
              </w:rPr>
              <w:t>2021 First Three Quarters</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47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Nine Months Ended</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(100%)</w:t>
            </w:r>
          </w:p>
        </w:tc>
      </w:tr>
    </w:tbl>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 asset impairment charges were recorded for the third quarter or the first three quarters of 2021. During the first three quarters of 2020, we recorded a non-cash impairment of $92 million primarily related to a decrease in the fair value of goodwill and certain trademarks resulting from the impact of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and Other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200" w:type="dxa"/>
            <w:vAlign w:val="bottom"/>
          </w:tcPr>
          <w:p>
            <w:pPr>
              <w:jc w:val="right"/>
              <w:ind w:right="95"/>
              <w:spacing w:after="0"/>
              <w:rPr>
                <w:sz w:val="20"/>
                <w:szCs w:val="20"/>
                <w:color w:val="auto"/>
              </w:rPr>
            </w:pPr>
            <w:r>
              <w:rPr>
                <w:rFonts w:ascii="Arial" w:cs="Arial" w:eastAsia="Arial" w:hAnsi="Arial"/>
                <w:sz w:val="16"/>
                <w:szCs w:val="16"/>
                <w:b w:val="1"/>
                <w:bCs w:val="1"/>
                <w:color w:val="auto"/>
              </w:rPr>
              <w:t>Change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and other expense, net</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1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(99%)</w:t>
            </w:r>
          </w:p>
        </w:tc>
      </w:tr>
      <w:tr>
        <w:trPr>
          <w:trHeight w:val="513"/>
        </w:trPr>
        <w:tc>
          <w:tcPr>
            <w:tcW w:w="4760" w:type="dxa"/>
            <w:vAlign w:val="bottom"/>
          </w:tcPr>
          <w:p>
            <w:pPr>
              <w:spacing w:after="0"/>
              <w:rPr>
                <w:sz w:val="20"/>
                <w:szCs w:val="20"/>
                <w:color w:val="auto"/>
              </w:rPr>
            </w:pPr>
            <w:r>
              <w:rPr>
                <w:rFonts w:ascii="Arial" w:cs="Arial" w:eastAsia="Arial" w:hAnsi="Arial"/>
                <w:sz w:val="18"/>
                <w:szCs w:val="18"/>
                <w:i w:val="1"/>
                <w:iCs w:val="1"/>
                <w:color w:val="auto"/>
              </w:rPr>
              <w:t>2021 First Three Quarters</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47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Nine Months Ended</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200" w:type="dxa"/>
            <w:vAlign w:val="bottom"/>
          </w:tcPr>
          <w:p>
            <w:pPr>
              <w:jc w:val="right"/>
              <w:ind w:right="95"/>
              <w:spacing w:after="0"/>
              <w:rPr>
                <w:sz w:val="20"/>
                <w:szCs w:val="20"/>
                <w:color w:val="auto"/>
              </w:rPr>
            </w:pPr>
            <w:r>
              <w:rPr>
                <w:rFonts w:ascii="Arial" w:cs="Arial" w:eastAsia="Arial" w:hAnsi="Arial"/>
                <w:sz w:val="16"/>
                <w:szCs w:val="16"/>
                <w:b w:val="1"/>
                <w:bCs w:val="1"/>
                <w:color w:val="auto"/>
              </w:rPr>
              <w:t>Change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and other expense, net</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1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(98%)</w:t>
            </w:r>
          </w:p>
        </w:tc>
      </w:tr>
    </w:tbl>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 losses and other expenses were recorded for the third quarter or first three quarters of 2021. During the third quarter and first three quarters of 2020, we recorded a $5 million loss related to the disposition of a previously consolidated subsidiary.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2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Corporate and Other consists of results that are not allocable to our segments, including company-wide general and administrative costs, corporate interest expense, transaction and integration costs, and (provision for) benefit from income taxes. In addition, Corporate and Other includes the revenues and expenses from the Consolidated Property Owners’ Associations.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Nine Months Ended</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30, 2020</w:t>
            </w:r>
          </w:p>
        </w:tc>
        <w:tc>
          <w:tcPr>
            <w:tcW w:w="0" w:type="dxa"/>
            <w:vAlign w:val="bottom"/>
          </w:tcPr>
          <w:p>
            <w:pPr>
              <w:spacing w:after="0"/>
              <w:rPr>
                <w:sz w:val="1"/>
                <w:szCs w:val="1"/>
                <w:color w:val="auto"/>
              </w:rPr>
            </w:pPr>
          </w:p>
        </w:tc>
      </w:tr>
      <w:tr>
        <w:trPr>
          <w:trHeight w:val="212"/>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Resort management and other services</w:t>
            </w:r>
          </w:p>
        </w:tc>
        <w:tc>
          <w:tcPr>
            <w:tcW w:w="420" w:type="dxa"/>
            <w:vAlign w:val="bottom"/>
          </w:tcPr>
          <w:p>
            <w:pPr>
              <w:jc w:val="right"/>
              <w:ind w:right="23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500" w:type="dxa"/>
            <w:vAlign w:val="bottom"/>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880" w:type="dxa"/>
            <w:vAlign w:val="bottom"/>
          </w:tcPr>
          <w:p>
            <w:pPr>
              <w:jc w:val="right"/>
              <w:ind w:right="69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Resort management and other services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Litigation charges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w:t>
            </w: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4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EXPENSES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Losses and other expense, net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 and integration costs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55"/>
        </w:trPr>
        <w:tc>
          <w:tcPr>
            <w:tcW w:w="47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FINANCIAL RESULTS BEFORE INCOME TAXES AND</w:t>
            </w:r>
          </w:p>
        </w:tc>
        <w:tc>
          <w:tcPr>
            <w:tcW w:w="4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4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55"/>
        </w:trPr>
        <w:tc>
          <w:tcPr>
            <w:tcW w:w="47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FINANCIAL RESULTS ATTRIBUTABLE TO COMMON</w:t>
            </w:r>
          </w:p>
        </w:tc>
        <w:tc>
          <w:tcPr>
            <w:tcW w:w="420" w:type="dxa"/>
            <w:vAlign w:val="bottom"/>
            <w:vMerge w:val="restart"/>
            <w:shd w:val="clear" w:color="auto" w:fill="CCEEFF"/>
          </w:tcPr>
          <w:p>
            <w:pPr>
              <w:jc w:val="right"/>
              <w:ind w:right="233"/>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Property Owners’ Associations</w:t>
      </w:r>
    </w:p>
    <w:p>
      <w:pPr>
        <w:spacing w:after="0" w:line="12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illustrates the impact of certain Consolidated Property Owners’ Associations under the relevant accounting guidance, which represents the portion related to third-party VOI owners.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Nine Months Ended</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30, 2020</w:t>
            </w:r>
          </w:p>
        </w:tc>
        <w:tc>
          <w:tcPr>
            <w:tcW w:w="0" w:type="dxa"/>
            <w:vAlign w:val="bottom"/>
          </w:tcPr>
          <w:p>
            <w:pPr>
              <w:spacing w:after="0"/>
              <w:rPr>
                <w:sz w:val="1"/>
                <w:szCs w:val="1"/>
                <w:color w:val="auto"/>
              </w:rPr>
            </w:pPr>
          </w:p>
        </w:tc>
      </w:tr>
      <w:tr>
        <w:trPr>
          <w:trHeight w:val="212"/>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Resort management and other services</w:t>
            </w:r>
          </w:p>
        </w:tc>
        <w:tc>
          <w:tcPr>
            <w:tcW w:w="480" w:type="dxa"/>
            <w:vAlign w:val="bottom"/>
          </w:tcPr>
          <w:p>
            <w:pPr>
              <w:jc w:val="right"/>
              <w:ind w:right="29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500" w:type="dxa"/>
            <w:vAlign w:val="bottom"/>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880" w:type="dxa"/>
            <w:vAlign w:val="bottom"/>
          </w:tcPr>
          <w:p>
            <w:pPr>
              <w:jc w:val="right"/>
              <w:ind w:right="69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REVENUES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Resort management and other services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EXPENSES</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Losses and other expense, net</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7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FINANCIAL RESULTS BEFORE NONCONTROLLING</w:t>
            </w:r>
          </w:p>
        </w:tc>
        <w:tc>
          <w:tcPr>
            <w:tcW w:w="4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INTERESTS</w:t>
            </w:r>
          </w:p>
        </w:tc>
        <w:tc>
          <w:tcPr>
            <w:tcW w:w="4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55"/>
        </w:trPr>
        <w:tc>
          <w:tcPr>
            <w:tcW w:w="47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FINANCIAL RESULTS ATTRIBUTABLE TO COMMON</w:t>
            </w:r>
          </w:p>
        </w:tc>
        <w:tc>
          <w:tcPr>
            <w:tcW w:w="480" w:type="dxa"/>
            <w:vAlign w:val="bottom"/>
            <w:vMerge w:val="restart"/>
          </w:tcPr>
          <w:p>
            <w:pPr>
              <w:jc w:val="right"/>
              <w:ind w:right="293"/>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3"/>
                <w:szCs w:val="13"/>
                <w:color w:val="auto"/>
              </w:rPr>
            </w:pPr>
          </w:p>
        </w:tc>
        <w:tc>
          <w:tcPr>
            <w:tcW w:w="500" w:type="dxa"/>
            <w:vAlign w:val="bottom"/>
            <w:vMerge w:val="restart"/>
          </w:tcPr>
          <w:p>
            <w:pPr>
              <w:jc w:val="right"/>
              <w:ind w:right="313"/>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3"/>
                <w:szCs w:val="13"/>
                <w:color w:val="auto"/>
              </w:rPr>
            </w:pPr>
          </w:p>
        </w:tc>
        <w:tc>
          <w:tcPr>
            <w:tcW w:w="880" w:type="dxa"/>
            <w:vAlign w:val="bottom"/>
            <w:vMerge w:val="restart"/>
          </w:tcPr>
          <w:p>
            <w:pPr>
              <w:jc w:val="right"/>
              <w:ind w:right="693"/>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48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Pursuant to a change in control of certain Consolidated Property Owners’ Associations, we recorded a non-cash loss of $1 million in Losses and other expense, net on our Income Statement for the nine months ended September 30, 2021. We continue to act as manager for these property owners’ associations pursuant to existing management contracts and retain membership interests via our ownership of vacation ownership interests.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3"/>
              </w:rPr>
              <w:t>September 30, 2021</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2020</w:t>
            </w: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71%</w:t>
            </w:r>
          </w:p>
        </w:tc>
      </w:tr>
    </w:tbl>
    <w:p>
      <w:pPr>
        <w:spacing w:after="0" w:line="18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For the third quarter of 2021, General and administrative expenses increased $22 million due to $13 million of higher salary and wages costs as the prior year quarter benefited from savings related to the furlough, reduced work week and workforce reduction programs implemented in response to the impact of the COVID-19 pandemic, $9 million related to higher bonus expense, and a $4 million decrease in credits related to incentives under the CARES Act for companies who continued paying associates' benefit costs while they were not working as a result of the COVID-19 pandemic, offset partially by $4 million of lower other spending across the business, including technology, travel, training, and other expenses.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6"/>
                <w:szCs w:val="16"/>
                <w:b w:val="1"/>
                <w:bCs w:val="1"/>
                <w:color w:val="auto"/>
              </w:rPr>
              <w:t>Nine Months Ended</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3"/>
              </w:rPr>
              <w:t>September 30, 2021</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2020</w:t>
            </w: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38%</w:t>
            </w:r>
          </w:p>
        </w:tc>
      </w:tr>
    </w:tbl>
    <w:p>
      <w:pPr>
        <w:spacing w:after="0" w:line="17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For the first three quarters, General and administrative expenses increased $45 million due to $24 million of higher salary and wages costs as the prior year period benefited from savings related to the furlough, reduced work week and workforce reduction programs implemented in response to the impact of the COVID-19 pandemic, $31 million related to higher bonus expense, and an $8 million decrease in credits related to incentives under the CARES Act for companies who continued paying associates' benefit costs while they were not working as a result of the COVID-19 pandemic. These increases were partially offset by $9 million of lower costs as the prior year period included an accrual for health and welfare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costs for furloughed associates and $9 million of lower net overall spending across the business, including technology, travel, training, and other expenses.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rPr>
              <w:t>(100%)</w:t>
            </w:r>
          </w:p>
        </w:tc>
      </w:tr>
    </w:tbl>
    <w:p>
      <w:pPr>
        <w:spacing w:after="0" w:line="24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 restructuring costs were recorded for the third quarter of 2021. During the third quarter of 2020, we incurred $6 million in restructuring costs primarily related to a workforce reduction plan that we adopted as a result of the COVID-19 pandemic.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6"/>
                <w:szCs w:val="16"/>
                <w:b w:val="1"/>
                <w:bCs w:val="1"/>
                <w:color w:val="auto"/>
              </w:rPr>
              <w:t>Nine Months Ended</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50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rPr>
              <w:t>(113%)</w:t>
            </w:r>
          </w:p>
        </w:tc>
      </w:tr>
    </w:tbl>
    <w:p>
      <w:pPr>
        <w:spacing w:after="0" w:line="229"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During the first three quarters of 2020, we incurred $6 million in restructuring costs primarily related to a workforce reduction plan that we adopted as a result of the COVID-19 pandemic. During the first three quarters of 2021, we trued up this restructuring accrual based upon current plans.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6"/>
                <w:szCs w:val="16"/>
                <w:b w:val="1"/>
                <w:bCs w:val="1"/>
                <w:color w:val="auto"/>
              </w:rPr>
              <w:t>Nine Months Ended</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w w:val="95"/>
              </w:rPr>
              <w:t>September 30, 2020</w:t>
            </w:r>
          </w:p>
        </w:tc>
        <w:tc>
          <w:tcPr>
            <w:tcW w:w="120" w:type="dxa"/>
            <w:vAlign w:val="bottom"/>
          </w:tcPr>
          <w:p>
            <w:pPr>
              <w:spacing w:after="0"/>
              <w:rPr>
                <w:sz w:val="18"/>
                <w:szCs w:val="18"/>
                <w:color w:val="auto"/>
              </w:rPr>
            </w:pPr>
          </w:p>
        </w:tc>
        <w:tc>
          <w:tcPr>
            <w:tcW w:w="1200" w:type="dxa"/>
            <w:vAlign w:val="bottom"/>
          </w:tcPr>
          <w:p>
            <w:pPr>
              <w:jc w:val="right"/>
              <w:ind w:right="95"/>
              <w:spacing w:after="0"/>
              <w:rPr>
                <w:sz w:val="20"/>
                <w:szCs w:val="20"/>
                <w:color w:val="auto"/>
              </w:rPr>
            </w:pPr>
            <w:r>
              <w:rPr>
                <w:rFonts w:ascii="Arial" w:cs="Arial" w:eastAsia="Arial" w:hAnsi="Arial"/>
                <w:sz w:val="16"/>
                <w:szCs w:val="16"/>
                <w:b w:val="1"/>
                <w:bCs w:val="1"/>
                <w:color w:val="auto"/>
              </w:rPr>
              <w:t>Change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50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1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bl>
    <w:p>
      <w:pPr>
        <w:spacing w:after="0" w:line="188"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During the first three quarters of 2021, we recorded a $5 million non-cash impairment charge related to an equity method investment. No asset impairment charges were recorded for the third quarter of 2021, the third quarter of 2020, or the first three quarters of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 Losses and Other Income /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and other expense, net</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bl>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the third quarter of 2021, we recorded losses and other expenses of $31 million, including $36 million of expense related to the early redemption of our 2026 Notes, $2 million of foreign currency translation losses, and $1 million of miscellaneous losses and other expense, partially offset by $8 million related to a true-up of a Marriott International indemnification receivable upon settlement (the true-up to the offsetting accrual is included in the (Provision for) benefit from income taxes line).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third quarter of 2020, we recorded a loss of $1 million driven mainly by foreign currency translation.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and other expense, net</w:t>
            </w:r>
          </w:p>
        </w:tc>
        <w:tc>
          <w:tcPr>
            <w:tcW w:w="50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45%</w:t>
            </w:r>
          </w:p>
        </w:tc>
      </w:tr>
    </w:tbl>
    <w:p>
      <w:pPr>
        <w:spacing w:after="0" w:line="18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the first three quarters of 2021, we recorded losses and other expenses of $27 million, including $36 million of expense related to the early redemption of our 2026 Notes, and $1 million of miscellaneous losses and other expense, partially offset by $6 million related to a true-up of a Marriott International indemnification receivable upon settlement (the true-up to the offsetting accrual is included in the (Provision for) benefit from income taxes line), and $4 million of foreign currency translation gains.</w:t>
      </w:r>
    </w:p>
    <w:p>
      <w:pPr>
        <w:spacing w:after="0" w:line="7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the first three quarters of 2020, we recorded losses and other expenses of $49 million, including $32 million for the true-up of an indemnification receivable from Marriott International as a result of the settlement of an indemnified liability with a taxing authority (the true-up to the offsetting accrual is included in the (Provision for) benefit from income taxes line) and $24 million related to foreign currency translation, partially offset by $6 million of other income related to an indemnification payment from Marriott International for VAT penalties and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(10%)</w:t>
            </w:r>
          </w:p>
        </w:tc>
      </w:tr>
    </w:tbl>
    <w:p>
      <w:pPr>
        <w:spacing w:after="0" w:line="17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Interest expense increased $4 million, including $6 million of higher interest expense associated with the 2029 Notes issued in the second quarter of 2021 and $6 million of higher expense associated with the 2026 Convertible Notes issued in the first quarter of 2021. These increases were partially offset by a $9 million decrease in expenses associated with the payoff of the 2026 Notes in the quarter.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6"/>
                <w:szCs w:val="16"/>
                <w:b w:val="1"/>
                <w:bCs w:val="1"/>
                <w:color w:val="auto"/>
              </w:rPr>
              <w:t>Nine Months Ended</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50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(14%)</w:t>
            </w:r>
          </w:p>
        </w:tc>
      </w:tr>
    </w:tbl>
    <w:p>
      <w:pPr>
        <w:spacing w:after="0" w:line="18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Interest expense increased $16 million, including $17 million of higher interest expense associated with the 2026 Convertible Notes issued in the first quarter of 2021, $12 million of higher expense associated with the 2025 Notes issued in the second quarter of 2020, and $6 million of higher interest expense associated with the 2029 Notes issued in the second quarter of 2021. These increases were partially offset by a $9 million decrease in expenses associated with the payoff of the 2026 Notes in the third quarter, $6 million associated with less drawn on the Warehouse Credit Facility and Revolving Corporate Credit Facility, a $3 million decrease in expense associated with the Term Loan due to partial pay-down of the Term Loan in 2021, and other decreases in expenses associated with various other debt facilities.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and Integration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and integration costs</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rPr>
              <w:t>(126%)</w:t>
            </w:r>
          </w:p>
        </w:tc>
      </w:tr>
    </w:tbl>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the third quarter of 2021, Transaction and integration costs included $22 million of costs related to the ILG Acquisition and $3 million of costs related to the Welk Acquisition.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third quarter of 2020, Transaction and integration costs included $11 million of ILG Acquisition related costs.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and integration costs</w:t>
            </w:r>
          </w:p>
        </w:tc>
        <w:tc>
          <w:tcPr>
            <w:tcW w:w="50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(65%)</w:t>
            </w:r>
          </w:p>
        </w:tc>
      </w:tr>
    </w:tbl>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the first three quarters of 2021, Transaction and integration costs included $64 million of costs related to the ILG Acquisition and $8 million of costs related to the Welk Acquisition.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first three quarters of 2020, Transaction and integration costs included $44 million of ILG Acquisition related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bl>
    <w:p>
      <w:pPr>
        <w:spacing w:after="0" w:line="17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change in the (Provision for) benefit from income taxes is predominately attributable to an increase in pre-tax income and an increase in the reserve for unrecognized tax benefits for the three months ended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Three Quarters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6"/>
                <w:szCs w:val="16"/>
                <w:b w:val="1"/>
                <w:bCs w:val="1"/>
                <w:color w:val="auto"/>
              </w:rPr>
              <w:t>Nine Months Ended</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50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bl>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change in the (Provision for) benefit from income taxes is predominately attributable to an increase in pre-tax income and an increase in the reserve for unrecognized tax benefits for the nine months ended September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Typically, our capital needs are supported by cash on hand ($0.4 billion at the end of the third quarter of 2021), cash generated from operations, our ability to raise capital through securitizations in the asset-backed security market, our ability to issue debt and, to the extent necessary, funds available under the Warehouse Credit Facility and the Revolving Corporate Credit Facility with a borrowing capacity of $600 million.</w:t>
      </w:r>
    </w:p>
    <w:p>
      <w:pPr>
        <w:spacing w:after="0" w:line="41"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At September 30, 2021, we had $4.6 billion of total gross debt outstanding, which included $1.6 billion of non-recourse debt associated with vacation ownership notes receivable securitizations, $0.9 billion of senior unsecured notes, $0.8 billion of debt under our Corporate Credit Facility, $0.8 billion of convertible notes, $0.5 billion of senior secured notes, and $9 million related to finance lease obligations.</w:t>
      </w:r>
    </w:p>
    <w:p>
      <w:pPr>
        <w:spacing w:after="0" w:line="5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July 2021, we redeemed, prior to maturity, $500 million aggregate principal amount of the 2026 Notes pursuant to a redemption notice issued in June 2021 and the terms of the indenture governing the 2026 Notes. In September 2021, we issued a redemption notice and redeemed, prior to maturity, the remaining $250 million aggregate principal amount of the 2026 Notes.</w:t>
      </w:r>
    </w:p>
    <w:p>
      <w:pPr>
        <w:spacing w:after="0" w:line="7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Additionally, during the third quarter of 2021, we delivered a redemption notice of $250 million aggregate principal amount of the 2025 Notes pursuant to the terms of the indenture governing the 2025 Notes. Subsequent to the end of the third quarter of 2021, we redeemed, prior to maturity, $250 million aggregate principal amount of the 2025 Notes.</w:t>
      </w:r>
    </w:p>
    <w:p>
      <w:pPr>
        <w:spacing w:after="0" w:line="76"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At September 30, 2021, we had $732 million of completed real estate inventory on hand. In addition, we had $465 million of completed vacation ownership units that have been classified as a component of Property and equipment until the time at which they are legally registered and held for sale as vacation ownership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cash, cash equivalents and restricted cash:</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3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180" w:type="dxa"/>
            <w:vAlign w:val="bottom"/>
          </w:tcPr>
          <w:p>
            <w:pPr>
              <w:spacing w:after="0"/>
              <w:rPr>
                <w:sz w:val="18"/>
                <w:szCs w:val="18"/>
                <w:color w:val="auto"/>
              </w:rPr>
            </w:pPr>
          </w:p>
        </w:tc>
        <w:tc>
          <w:tcPr>
            <w:tcW w:w="170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September 30, 2020</w:t>
            </w:r>
          </w:p>
        </w:tc>
      </w:tr>
      <w:tr>
        <w:trPr>
          <w:trHeight w:val="212"/>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provided by (used in):</w:t>
            </w: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29"/>
        </w:trPr>
        <w:tc>
          <w:tcPr>
            <w:tcW w:w="738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7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738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7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change in exchange rates on cash, cash equivalents and restricted cash</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380" w:type="dxa"/>
            <w:vAlign w:val="bottom"/>
          </w:tcPr>
          <w:p>
            <w:pPr>
              <w:ind w:left="480"/>
              <w:spacing w:after="0"/>
              <w:rPr>
                <w:sz w:val="20"/>
                <w:szCs w:val="20"/>
                <w:color w:val="auto"/>
              </w:rPr>
            </w:pPr>
            <w:r>
              <w:rPr>
                <w:rFonts w:ascii="Arial" w:cs="Arial" w:eastAsia="Arial" w:hAnsi="Arial"/>
                <w:sz w:val="18"/>
                <w:szCs w:val="18"/>
                <w:color w:val="auto"/>
              </w:rPr>
              <w:t>Net change in 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21"/>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from Operating Activities</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 Outflows include spending for the development of new phases of existing resorts, the acquisition of additional inventory, enhancement of our inventory exchange network of resorts and related technology infrastructure and funding our working capital needs.</w:t>
      </w:r>
    </w:p>
    <w:p>
      <w:pPr>
        <w:spacing w:after="0" w:line="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or recording of sales contracts for vacation ownership products, financing propensity and cash outlays for inventory acquisition and development.</w:t>
      </w:r>
    </w:p>
    <w:p>
      <w:pPr>
        <w:spacing w:after="0" w:line="80"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In the first three quarters of 2021, we had $303 million of cash inflows from operating activities, compared to $158 million of cash inflows in the first three quarters of 2020. Excluding the impact of changes in net loss and adjustments for non-cash items, cash flow increased as a result of higher operational expense accruals, higher sales and rental deposits due to the continued ramp-up of the business, and higher collections of vacation ownership notes receivable, partially offset by severance and benefit payments related to cost management activities and higher inventory spending.</w:t>
      </w:r>
    </w:p>
    <w:p>
      <w:pPr>
        <w:spacing w:after="0" w:line="4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addition to net loss and adjustments for non-cash items, the following operating activities are key drivers of our cash flow from operating activities: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 Spending In Excess of Cost of Sales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ind w:left="106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3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1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6"/>
                <w:szCs w:val="16"/>
                <w:b w:val="1"/>
                <w:bCs w:val="1"/>
                <w:color w:val="auto"/>
              </w:rPr>
              <w:t>September 30, 2020</w:t>
            </w:r>
          </w:p>
        </w:tc>
      </w:tr>
      <w:tr>
        <w:trPr>
          <w:trHeight w:val="226"/>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spending</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center"/>
              <w:ind w:left="1272"/>
              <w:spacing w:after="0"/>
              <w:rPr>
                <w:sz w:val="20"/>
                <w:szCs w:val="20"/>
                <w:color w:val="auto"/>
              </w:rPr>
            </w:pPr>
            <w:r>
              <w:rPr>
                <w:rFonts w:ascii="Arial" w:cs="Arial" w:eastAsia="Arial" w:hAnsi="Arial"/>
                <w:sz w:val="18"/>
                <w:szCs w:val="18"/>
                <w:color w:val="auto"/>
                <w:w w:val="93"/>
              </w:rPr>
              <w:t>(88)</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center"/>
              <w:ind w:left="1272"/>
              <w:spacing w:after="0"/>
              <w:rPr>
                <w:sz w:val="20"/>
                <w:szCs w:val="20"/>
                <w:color w:val="auto"/>
              </w:rPr>
            </w:pPr>
            <w:r>
              <w:rPr>
                <w:rFonts w:ascii="Arial" w:cs="Arial" w:eastAsia="Arial" w:hAnsi="Arial"/>
                <w:sz w:val="18"/>
                <w:szCs w:val="18"/>
                <w:color w:val="auto"/>
                <w:w w:val="93"/>
              </w:rPr>
              <w:t>(61)</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costs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1272"/>
              <w:spacing w:after="0"/>
              <w:rPr>
                <w:sz w:val="20"/>
                <w:szCs w:val="20"/>
                <w:color w:val="auto"/>
              </w:rPr>
            </w:pPr>
            <w:r>
              <w:rPr>
                <w:rFonts w:ascii="Arial" w:cs="Arial" w:eastAsia="Arial" w:hAnsi="Arial"/>
                <w:sz w:val="18"/>
                <w:szCs w:val="18"/>
                <w:color w:val="auto"/>
                <w:w w:val="89"/>
              </w:rPr>
              <w:t>86</w:t>
            </w:r>
          </w:p>
        </w:tc>
      </w:tr>
      <w:tr>
        <w:trPr>
          <w:trHeight w:val="223"/>
        </w:trPr>
        <w:tc>
          <w:tcPr>
            <w:tcW w:w="7380" w:type="dxa"/>
            <w:vAlign w:val="bottom"/>
          </w:tcPr>
          <w:p>
            <w:pPr>
              <w:ind w:left="220"/>
              <w:spacing w:after="0"/>
              <w:rPr>
                <w:sz w:val="20"/>
                <w:szCs w:val="20"/>
                <w:color w:val="auto"/>
              </w:rPr>
            </w:pPr>
            <w:r>
              <w:rPr>
                <w:rFonts w:ascii="Arial" w:cs="Arial" w:eastAsia="Arial" w:hAnsi="Arial"/>
                <w:sz w:val="18"/>
                <w:szCs w:val="18"/>
                <w:color w:val="auto"/>
              </w:rPr>
              <w:t>Inventory spending in excess of cost of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center"/>
              <w:ind w:left="1272"/>
              <w:spacing w:after="0"/>
              <w:rPr>
                <w:sz w:val="20"/>
                <w:szCs w:val="20"/>
                <w:color w:val="auto"/>
              </w:rPr>
            </w:pPr>
            <w:r>
              <w:rPr>
                <w:rFonts w:ascii="Arial" w:cs="Arial" w:eastAsia="Arial" w:hAnsi="Arial"/>
                <w:sz w:val="18"/>
                <w:szCs w:val="18"/>
                <w:color w:val="auto"/>
                <w:w w:val="93"/>
              </w:rPr>
              <w:t>(63)</w:t>
            </w: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Vacation Ownership segment product offerings allow us to utilize our inventory efficiently. The majority of our sales are of points-based products, which permits us to sell vacation ownership products at most of our sales locations, including those where little or no weeks-based inventory remains available for sale. Because we do not need specific resort-based inventory at each sales location, we need to have only a few resorts, if any,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enables us to better align our inventory acquisitions with the pace of sales of vacation ownership products.</w:t>
      </w:r>
    </w:p>
    <w:p>
      <w:pPr>
        <w:spacing w:after="0" w:line="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part of our long-term strategy, we selectively pursue growth opportunities in our Vacation Ownership segment by targeting high-quality inventory that allows us to add desirable new destinations to our systems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income statements related to sale of vacation ownership products (a non-cash item).</w:t>
      </w:r>
    </w:p>
    <w:p>
      <w:pPr>
        <w:spacing w:after="0" w:line="1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spending for real estate inventory in the first three quarters of 2021 was higher than the amount of real estate inventory costs given the timing of payments to satisfy our remaining commitments to purchase vacation ownership units and the slowdown in sales pace as a result of the COVID-19 pandemic. We entered into these commitments in prior periods as part of our capital efficient strategy to limit our up-front capital investment and purchase finished inventory closer to the time it is needed for sale. See Footnote 11 “Contingencies and Commitments” to our Financial Statements for additional information regarding our remaining commitments.</w:t>
      </w:r>
    </w:p>
    <w:p>
      <w:pPr>
        <w:spacing w:after="0" w:line="8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we expect to be able to help stabilize the future cost of vacation ownership products.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 Collections In Excess of Originations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ind w:left="106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3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1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6"/>
                <w:szCs w:val="16"/>
                <w:b w:val="1"/>
                <w:bCs w:val="1"/>
                <w:color w:val="auto"/>
              </w:rPr>
              <w:t>September 30, 2020</w:t>
            </w:r>
          </w:p>
        </w:tc>
      </w:tr>
      <w:tr>
        <w:trPr>
          <w:trHeight w:val="226"/>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collections — non-securitized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center"/>
              <w:ind w:left="1192"/>
              <w:spacing w:after="0"/>
              <w:rPr>
                <w:sz w:val="20"/>
                <w:szCs w:val="20"/>
                <w:color w:val="auto"/>
              </w:rPr>
            </w:pPr>
            <w:r>
              <w:rPr>
                <w:rFonts w:ascii="Arial" w:cs="Arial" w:eastAsia="Arial" w:hAnsi="Arial"/>
                <w:sz w:val="18"/>
                <w:szCs w:val="18"/>
                <w:color w:val="auto"/>
                <w:w w:val="86"/>
              </w:rPr>
              <w:t>180</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Vacation ownership notes receivable collections — securitized</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center"/>
              <w:ind w:left="1192"/>
              <w:spacing w:after="0"/>
              <w:rPr>
                <w:sz w:val="20"/>
                <w:szCs w:val="20"/>
                <w:color w:val="auto"/>
              </w:rPr>
            </w:pPr>
            <w:r>
              <w:rPr>
                <w:rFonts w:ascii="Arial" w:cs="Arial" w:eastAsia="Arial" w:hAnsi="Arial"/>
                <w:sz w:val="18"/>
                <w:szCs w:val="18"/>
                <w:color w:val="auto"/>
                <w:w w:val="86"/>
              </w:rPr>
              <w:t>307</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originations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1172"/>
              <w:spacing w:after="0"/>
              <w:rPr>
                <w:sz w:val="20"/>
                <w:szCs w:val="20"/>
                <w:color w:val="auto"/>
              </w:rPr>
            </w:pPr>
            <w:r>
              <w:rPr>
                <w:rFonts w:ascii="Arial" w:cs="Arial" w:eastAsia="Arial" w:hAnsi="Arial"/>
                <w:sz w:val="18"/>
                <w:szCs w:val="18"/>
                <w:color w:val="auto"/>
                <w:w w:val="95"/>
              </w:rPr>
              <w:t>(265)</w:t>
            </w:r>
          </w:p>
        </w:tc>
      </w:tr>
      <w:tr>
        <w:trPr>
          <w:trHeight w:val="223"/>
        </w:trPr>
        <w:tc>
          <w:tcPr>
            <w:tcW w:w="7380" w:type="dxa"/>
            <w:vAlign w:val="bottom"/>
          </w:tcPr>
          <w:p>
            <w:pPr>
              <w:ind w:left="240"/>
              <w:spacing w:after="0"/>
              <w:rPr>
                <w:sz w:val="20"/>
                <w:szCs w:val="20"/>
                <w:color w:val="auto"/>
              </w:rPr>
            </w:pPr>
            <w:r>
              <w:rPr>
                <w:rFonts w:ascii="Arial" w:cs="Arial" w:eastAsia="Arial" w:hAnsi="Arial"/>
                <w:sz w:val="18"/>
                <w:szCs w:val="18"/>
                <w:color w:val="auto"/>
              </w:rPr>
              <w:t>Vacation ownership notes receivable collections in excess of originations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center"/>
              <w:ind w:left="1192"/>
              <w:spacing w:after="0"/>
              <w:rPr>
                <w:sz w:val="20"/>
                <w:szCs w:val="20"/>
                <w:color w:val="auto"/>
              </w:rPr>
            </w:pPr>
            <w:r>
              <w:rPr>
                <w:rFonts w:ascii="Arial" w:cs="Arial" w:eastAsia="Arial" w:hAnsi="Arial"/>
                <w:sz w:val="18"/>
                <w:szCs w:val="18"/>
                <w:color w:val="auto"/>
                <w:w w:val="86"/>
              </w:rPr>
              <w:t>222</w:t>
            </w: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Vacation ownership notes receivable collections include principal from non-securitized and securitized vacation ownership notes receivable. Vacation ownership notes receivable collections increased during the first three quarters of 2021, as compared to the first three quarters of 2020, due to an increase in the portfolio of securitized outstanding vacation ownership notes receivable. Vacation ownership notes receivable originations in the first three quarters of 2021 increased due to higher sales in the first three quarters of 2021 due to the continued ramp-up in the business combined with a higher financing propensity. Financing propensity increased to 53 percent for the first three quarters of 2021, compared to 51 percent for the first three quarters of 2020, reflecting a higher mix of sales to first-time buyers, who tend to have a higher financing propensity.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from Investing Activities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3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180" w:type="dxa"/>
            <w:vAlign w:val="bottom"/>
          </w:tcPr>
          <w:p>
            <w:pPr>
              <w:spacing w:after="0"/>
              <w:rPr>
                <w:sz w:val="18"/>
                <w:szCs w:val="18"/>
                <w:color w:val="auto"/>
              </w:rPr>
            </w:pPr>
          </w:p>
        </w:tc>
        <w:tc>
          <w:tcPr>
            <w:tcW w:w="170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September 30, 2020</w:t>
            </w:r>
          </w:p>
        </w:tc>
      </w:tr>
      <w:tr>
        <w:trPr>
          <w:trHeight w:val="226"/>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of a business, net of cash and restricted cash acquired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company owned life insurance</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Dispositions, net</w:t>
            </w:r>
          </w:p>
        </w:tc>
        <w:tc>
          <w:tcPr>
            <w:tcW w:w="180" w:type="dxa"/>
            <w:vAlign w:val="bottom"/>
          </w:tcPr>
          <w:p>
            <w:pPr>
              <w:spacing w:after="0"/>
              <w:rPr>
                <w:sz w:val="19"/>
                <w:szCs w:val="19"/>
                <w:color w:val="auto"/>
              </w:rPr>
            </w:pPr>
          </w:p>
        </w:tc>
        <w:tc>
          <w:tcPr>
            <w:tcW w:w="180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73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cash, cash equivalents and restricted cash used in investing activities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of a Business, Net of Cash and Restricted Cash Acquired</w:t>
      </w:r>
    </w:p>
    <w:p>
      <w:pPr>
        <w:spacing w:after="0" w:line="117"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Net cash outflows of $157 million in the first three quarters of 2021 were due to the Welk Acquisition. See Footnote 3 “Acquisitions and Dispositions” to our Financial Statements for more information.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 Additionally, it includes spending related to buildings and equipment used in common areas at some of our resorts.</w:t>
      </w:r>
    </w:p>
    <w:p>
      <w:pPr>
        <w:spacing w:after="0" w:line="7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the first three quarters of 2021, capital expenditures for property and equipment of $19 million included $16 million to support business operations (including $11 million for ancillary and other operations assets and $5 million for sales locations) and $3 million for technology. Given the impact of the COVID-19 pandemic, we significantly reduced our spending for property and equipment beginning in the second quarter of 2020. However, during the first quarter of 2021, and continuing into the second and third quarters, we began to add back business critical spending with expected long term strategic benefits for our operations. We expect this trend to continue into the fourth quarter of 2021.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In the first three quarters of 2020, capital expenditures for property and equipment of $36 million included $33 million to support business operations (including $21 million for ancillary and other operations assets and $12 million for sales locations) and $3 million for technology.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Company Owned Life Insurance</w:t>
      </w:r>
    </w:p>
    <w:p>
      <w:pPr>
        <w:spacing w:after="0" w:line="11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We paid $11 million and $3 million to acquire these policies during the first three quarters of 2021 and the first three quarters of 2020,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from Financing Activities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115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3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180" w:type="dxa"/>
            <w:vAlign w:val="bottom"/>
          </w:tcPr>
          <w:p>
            <w:pPr>
              <w:spacing w:after="0"/>
              <w:rPr>
                <w:sz w:val="18"/>
                <w:szCs w:val="18"/>
                <w:color w:val="auto"/>
              </w:rPr>
            </w:pPr>
          </w:p>
        </w:tc>
        <w:tc>
          <w:tcPr>
            <w:tcW w:w="170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September 30, 2020</w:t>
            </w:r>
          </w:p>
        </w:tc>
      </w:tr>
      <w:tr>
        <w:trPr>
          <w:trHeight w:val="226"/>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from securitization transactions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Repayment of debt related to securitization transactions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debt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convertible note hedges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Proceeds from issuance of warrants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payment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Payment of debt issuance costs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Payment of dividends</w:t>
            </w:r>
          </w:p>
        </w:tc>
        <w:tc>
          <w:tcPr>
            <w:tcW w:w="18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380" w:type="dxa"/>
            <w:vAlign w:val="bottom"/>
          </w:tcPr>
          <w:p>
            <w:pPr>
              <w:ind w:left="220"/>
              <w:spacing w:after="0"/>
              <w:rPr>
                <w:sz w:val="20"/>
                <w:szCs w:val="20"/>
                <w:color w:val="auto"/>
              </w:rPr>
            </w:pPr>
            <w:r>
              <w:rPr>
                <w:rFonts w:ascii="Arial" w:cs="Arial" w:eastAsia="Arial" w:hAnsi="Arial"/>
                <w:sz w:val="18"/>
                <w:szCs w:val="18"/>
                <w:color w:val="auto"/>
              </w:rPr>
              <w:t>Net cash, cash equivalents and restricted cash (used in) provided by financing activities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1"/>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Debt Related to Securitization Transactions</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debt associated with vacation ownership notes receivable securitizations and repayments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During the first three quarters of 2021, we completed a securitization of vacation ownership notes receivables, issuing $434 million of notes at an overall average weighted interest rate of 1.5% and a 98% gross advance rate, the lowest interest rate ever achieved by one of our securitizations, generating net proceeds of $425 million</w:t>
      </w:r>
      <w:r>
        <w:rPr>
          <w:rFonts w:ascii="Arial" w:cs="Arial" w:eastAsia="Arial" w:hAnsi="Arial"/>
          <w:sz w:val="16"/>
          <w:szCs w:val="16"/>
          <w:color w:val="EE2724"/>
        </w:rPr>
        <w:t>.</w:t>
      </w:r>
      <w:r>
        <w:rPr>
          <w:rFonts w:ascii="Arial" w:cs="Arial" w:eastAsia="Arial" w:hAnsi="Arial"/>
          <w:sz w:val="16"/>
          <w:szCs w:val="16"/>
          <w:color w:val="auto"/>
        </w:rPr>
        <w:t xml:space="preserve"> See Footnote 12 "Securitized Debt" to our Financial Statements for additional information regarding this transaction.</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$278 million of gross vacation ownership notes receivable were eligible for securitization.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 Repayments of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Borrowings from / Repayment of Corporate Credit Facility</w:t>
      </w:r>
    </w:p>
    <w:p>
      <w:pPr>
        <w:spacing w:after="0" w:line="11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During the first three quarters of 2021, we repaid $100 million of the amount outstanding under the Term Loan, which is part of our Corporate Credit Facility. We had no borrowings or repayments under our Revolving Corporate Credit Facility during the first three quarters of 2021 and also had no amounts outstanding as of September 30, 2021.</w:t>
      </w:r>
    </w:p>
    <w:p>
      <w:pPr>
        <w:spacing w:after="0" w:line="7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During the first three quarters of 2020, we borrowed $666 million under our Revolving Corporate Credit Facility to facilitate the funding of our short-term working capital needs and to increase our cash position and preserve financial flexibility in light of the impact on global markets resulting from the COVID-19 pandemic. We later repaid $696 million during the first three quarters of 2020 and had no amounts outstanding as of September 30, 2020. During the first three quarters of 2020, we also repaid $7 million of the amount outstanding under the Term Loan.</w:t>
      </w:r>
    </w:p>
    <w:p>
      <w:pPr>
        <w:spacing w:after="0" w:line="6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Footnote 13 “Debt” to our Financial Statements for additional information regarding our Corporate Credit Facility that includes our Revolving Corporate Credit Facility and the Term Loan.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Proceeds from / Repayment of Senior Notes</w:t>
      </w:r>
    </w:p>
    <w:p>
      <w:pPr>
        <w:spacing w:after="0" w:line="11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the second quarter of 2021, we issued $500 million of 2029 Notes and used the proceeds, during the third quarter of 2021, to redeem a portion of the 2026 Notes and pay transaction expenses and fees in connection with the transaction.</w:t>
      </w:r>
    </w:p>
    <w:p>
      <w:pPr>
        <w:spacing w:after="0" w:line="6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July 2021, we redeemed, prior to maturity, $500 million aggregate principal amount of the 2026 Notes pursuant to a redemption notice issued in June 2021 and the terms of the indenture governing the 2026 Notes. In September 2021 we issued a redemption notice and redeemed, prior to maturity, the remaining $250 million aggregate principal amount of the 2026 Notes pursuant to the terms of the indenture governing the 2026 Notes. In connection with the redemptions that occurred during the third quarter of 2021, we incurred charges of $36 million, inclusive of a redemption premium and the write-off of unamortized debt issuance costs, which was recorded in the Losses and other expense, net line on our Income Statement for the three and nine months ended September 30, 2021.</w:t>
      </w:r>
    </w:p>
    <w:p>
      <w:pPr>
        <w:spacing w:after="0" w:line="84"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Additionally, during the third quarter of 2021, we delivered a redemption notice of $250 million aggregate principal amount of the 2025 Notes pursuant to the terms of the indenture governing the 2025 Notes. Subsequent to the end of the third quarter of 2021, we redeemed, prior to maturity, $250 million aggregate principal amount of the 2025 Notes. In connection with this redemption, we expect to incur charges of approximately $19 million, inclusive of a redemption premium and the write-off of unamortized debt issuance costs, which will be recorded in the fourth quarter of 2021.</w:t>
      </w:r>
    </w:p>
    <w:p>
      <w:pPr>
        <w:spacing w:after="0" w:line="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first three quarters of 2020, we issued $500 million of the 2025 Notes that are pari passu with and secured by the same collateral as our Corporate Credit Facility. After deducting offering expenses and the underwriting discount, we received net proceeds of approximately $493 million from the offering of the 2025 Notes, which were used to repay all then outstanding amounts on the Revolving Corporate Credit Facility.</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Footnote 13 "Debt" to our Financial Statements for additional information related to these notes.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Proceeds from Convertible Notes</w:t>
      </w:r>
    </w:p>
    <w:p>
      <w:pPr>
        <w:spacing w:after="0" w:line="117"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During the first three quarters of 2021, we issued $575 million of 2026 Convertible Notes, as discussed further in Footnote 13 “Debt” to our Financial Statements. We received net proceeds from the offering of approximately $530 million after adjusting for debt issuance costs, including the discount to the initial purchasers, the cost of the 2026 Convertible Note Hedges, and proceeds from the 2026 Warrants. We used, or expect to use, the net proceeds from the 2026 Convertible Notes to (i) complete the Welk Acquisition, (ii) repay a portion of our term loan and (iii) in each case, pay transaction expenses and other fees in connection therewith, and to the extent of any remaining proceeds, for other general corporate purposes.</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Repayment of Debt Assumed from Welk Acquisition</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first three quarters of 2021, subsequent to the Welk Acquisition, we repaid all outstanding debt obligations, excluding securitized debt, of Welk and its subsidiaries that were assumed as part of the Welk Acquisition. The total amount of repayments related to these debt obligations was $189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Convertible Note Hedges / Proceeds from Issuance of Warrants</w:t>
      </w:r>
    </w:p>
    <w:p>
      <w:pPr>
        <w:spacing w:after="0" w:line="11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In connection with the issuance of the 2026 Convertible Notes, we entered into the 2026 Convertible Note Hedges with respect to our common stock with certain counterparties, covering a total of 3.4 million shares of our common stock at a cost of $100 million. Concurrently with the entry into the 2026 Convertible Note Hedges, we separately entered into the 2026 Warrants, whereby we sold to the counterparties to the 2026 Convertible Note Hedges warrants to acquire, collectively, subject to anti-dilution adjustments, approximately 3.4 million shares of our common stock at an initial strike price of $213.76 per share. We received aggregate proceeds of $70 million from the sale of the 2026 Warrants to the counterparties.</w:t>
      </w:r>
    </w:p>
    <w:p>
      <w:pPr>
        <w:spacing w:after="0" w:line="5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Footnote 13 “Debt” to our Financial Statements for additional information regarding the issuance of the 2026 Convertible Notes, including the 2026 Convertible Note Hedges and the 2026 Warrants.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Lease Payment</w:t>
      </w:r>
    </w:p>
    <w:p>
      <w:pPr>
        <w:spacing w:after="0" w:line="117"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During the first three quarters of 2021, we paid $2 million related to our finance lease obligations for technology and business operations equipment.</w:t>
      </w:r>
    </w:p>
    <w:p>
      <w:pPr>
        <w:spacing w:after="0" w:line="6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During the first three quarters of 2020, in conjunction with the acquisition of the 57 completed vacation ownership units at our Marriott Vacation Club Pulse, New York City property, we made finance lease payments of $7 million related to the purchase of the accompanying ancillary and office space. Additionally, we paid $3 million related to our finance lease obligations for technology and business operations equipment.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first three quarters of 2021, we paid $17 million of debt issuance costs, which included $7 million associated with the 2029 Notes, $6 million associated with the 2021 vacation ownership notes receivable securitization, $2 million associated with the amendment of our Warehouse Credit Facility, $1 million associated with the 2026 Convertible Notes, and $1 million associated with the extension of the Waiver associated with the Revolving Corporate Credit Facility.</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first three quarters of 2020, we paid $14 million of debt issuance costs, which included $7 million associated with the 2025 Notes, $5 million associated with the 2020 vacation ownership notes receivable securitization, $1 million related to the Waiver associated with the Revolving Corporate Credit Facility, and $1 million associated with the amendment of our Warehouse Credit Facility.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declared cash dividends to holders of our common stock during the third quarter of 2021, and distributed cash dividends subsequent to the end of the third quarter of 2021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Declaration Date</w:t>
            </w:r>
          </w:p>
        </w:tc>
        <w:tc>
          <w:tcPr>
            <w:tcW w:w="2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Shareholder Record Date</w:t>
            </w:r>
          </w:p>
        </w:tc>
        <w:tc>
          <w:tcPr>
            <w:tcW w:w="2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Distribution Date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3"/>
              </w:rPr>
              <w:t>Dividend per Share</w:t>
            </w:r>
          </w:p>
        </w:tc>
      </w:tr>
      <w:tr>
        <w:trPr>
          <w:trHeight w:val="226"/>
        </w:trPr>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10, 2021</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23, 2021</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7, 2021</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1075"/>
              <w:spacing w:after="0"/>
              <w:rPr>
                <w:sz w:val="20"/>
                <w:szCs w:val="20"/>
                <w:color w:val="auto"/>
              </w:rPr>
            </w:pPr>
            <w:r>
              <w:rPr>
                <w:rFonts w:ascii="Arial" w:cs="Arial" w:eastAsia="Arial" w:hAnsi="Arial"/>
                <w:sz w:val="18"/>
                <w:szCs w:val="18"/>
                <w:color w:val="auto"/>
              </w:rPr>
              <w:t>$0.54</w:t>
            </w:r>
          </w:p>
        </w:tc>
      </w:tr>
    </w:tbl>
    <w:p>
      <w:pPr>
        <w:spacing w:after="0" w:line="18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currently expect to pay quarterly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the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the same rate or at all.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Supplemental Guarantor Information</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tables present consolidating financial information as of September 30, 2021 and for the nine months ended September 30, 2021 for MVWC and MORI on a stand-alone basis (collectively, the “Issuers”), the Senior Notes Guarantors, the combined non-guarantor subsidiaries of MVW, and MVW on a consolidated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Consolidating Balance Sheet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As of September 30, 2021</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Issuers</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Senior Notes</w:t>
            </w:r>
          </w:p>
        </w:tc>
        <w:tc>
          <w:tcPr>
            <w:tcW w:w="120" w:type="dxa"/>
            <w:vAlign w:val="bottom"/>
          </w:tcPr>
          <w:p>
            <w:pPr>
              <w:spacing w:after="0"/>
              <w:rPr>
                <w:sz w:val="21"/>
                <w:szCs w:val="21"/>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Non-Guarantor</w:t>
            </w: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MVWC</w:t>
            </w:r>
          </w:p>
        </w:tc>
        <w:tc>
          <w:tcPr>
            <w:tcW w:w="300" w:type="dxa"/>
            <w:vAlign w:val="bottom"/>
          </w:tcPr>
          <w:p>
            <w:pPr>
              <w:spacing w:after="0"/>
              <w:rPr>
                <w:sz w:val="3"/>
                <w:szCs w:val="3"/>
                <w:color w:val="auto"/>
              </w:rPr>
            </w:pPr>
          </w:p>
        </w:tc>
        <w:tc>
          <w:tcPr>
            <w:tcW w:w="1020" w:type="dxa"/>
            <w:vAlign w:val="bottom"/>
            <w:vMerge w:val="restart"/>
          </w:tcPr>
          <w:p>
            <w:pPr>
              <w:jc w:val="right"/>
              <w:ind w:right="350"/>
              <w:spacing w:after="0"/>
              <w:rPr>
                <w:sz w:val="20"/>
                <w:szCs w:val="20"/>
                <w:color w:val="auto"/>
              </w:rPr>
            </w:pPr>
            <w:r>
              <w:rPr>
                <w:rFonts w:ascii="Arial" w:cs="Arial" w:eastAsia="Arial" w:hAnsi="Arial"/>
                <w:sz w:val="16"/>
                <w:szCs w:val="16"/>
                <w:b w:val="1"/>
                <w:bCs w:val="1"/>
                <w:color w:val="auto"/>
              </w:rPr>
              <w:t>MORI</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Total Eliminations</w:t>
            </w:r>
          </w:p>
        </w:tc>
        <w:tc>
          <w:tcPr>
            <w:tcW w:w="1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Subsidiaries</w:t>
            </w:r>
          </w:p>
        </w:tc>
        <w:tc>
          <w:tcPr>
            <w:tcW w:w="14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2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w w:val="90"/>
              </w:rPr>
              <w:t>Vacation ownership notes receivable,</w:t>
            </w:r>
          </w:p>
        </w:tc>
        <w:tc>
          <w:tcPr>
            <w:tcW w:w="2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Intangibles, net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subsidiaries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Advance deposits</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benefits liability</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Deferred compensation liability</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debt, net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Debt, net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MVW shareholders' equity</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8"/>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As of December 31, 2020</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Issuers</w:t>
            </w: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Senior Notes</w:t>
            </w:r>
          </w:p>
        </w:tc>
        <w:tc>
          <w:tcPr>
            <w:tcW w:w="120" w:type="dxa"/>
            <w:vAlign w:val="bottom"/>
          </w:tcPr>
          <w:p>
            <w:pPr>
              <w:spacing w:after="0"/>
              <w:rPr>
                <w:sz w:val="21"/>
                <w:szCs w:val="21"/>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Non-Guarantor</w:t>
            </w: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vMerge w:val="restart"/>
          </w:tcPr>
          <w:p>
            <w:pPr>
              <w:jc w:val="center"/>
              <w:ind w:right="7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MVWC</w:t>
            </w:r>
          </w:p>
        </w:tc>
        <w:tc>
          <w:tcPr>
            <w:tcW w:w="340" w:type="dxa"/>
            <w:vAlign w:val="bottom"/>
          </w:tcPr>
          <w:p>
            <w:pPr>
              <w:spacing w:after="0"/>
              <w:rPr>
                <w:sz w:val="3"/>
                <w:szCs w:val="3"/>
                <w:color w:val="auto"/>
              </w:rPr>
            </w:pPr>
          </w:p>
        </w:tc>
        <w:tc>
          <w:tcPr>
            <w:tcW w:w="98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MORI</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Total Eliminations</w:t>
            </w:r>
          </w:p>
        </w:tc>
        <w:tc>
          <w:tcPr>
            <w:tcW w:w="1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Subsidiaries</w:t>
            </w:r>
          </w:p>
        </w:tc>
        <w:tc>
          <w:tcPr>
            <w:tcW w:w="14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2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w w:val="90"/>
              </w:rPr>
              <w:t>Vacation ownership notes receivable,</w:t>
            </w:r>
          </w:p>
        </w:tc>
        <w:tc>
          <w:tcPr>
            <w:tcW w:w="2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Intangibles, net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subsidiaries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Advance deposits</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benefits liability</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Deferred compensation liability</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debt, net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Debt, net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MVW shareholders' equity</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8"/>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160" w:type="dxa"/>
            <w:vAlign w:val="bottom"/>
            <w:gridSpan w:val="4"/>
          </w:tcPr>
          <w:p>
            <w:pPr>
              <w:spacing w:after="0"/>
              <w:rPr>
                <w:sz w:val="20"/>
                <w:szCs w:val="20"/>
                <w:color w:val="auto"/>
              </w:rPr>
            </w:pPr>
            <w:r>
              <w:rPr>
                <w:rFonts w:ascii="Arial" w:cs="Arial" w:eastAsia="Arial" w:hAnsi="Arial"/>
                <w:sz w:val="18"/>
                <w:szCs w:val="18"/>
                <w:i w:val="1"/>
                <w:iCs w:val="1"/>
                <w:color w:val="auto"/>
              </w:rPr>
              <w:t>Condensed Consolidating Statements of Income</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3"/>
              </w:rPr>
              <w:t>Nine Months Ended September 30, 2021</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Issuers</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Senior Notes</w:t>
            </w:r>
          </w:p>
        </w:tc>
        <w:tc>
          <w:tcPr>
            <w:tcW w:w="120" w:type="dxa"/>
            <w:vAlign w:val="bottom"/>
          </w:tcPr>
          <w:p>
            <w:pPr>
              <w:spacing w:after="0"/>
              <w:rPr>
                <w:sz w:val="21"/>
                <w:szCs w:val="21"/>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Non-Guarantor</w:t>
            </w: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vMerge w:val="restart"/>
          </w:tcPr>
          <w:p>
            <w:pPr>
              <w:jc w:val="center"/>
              <w:ind w:right="7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MVWC</w:t>
            </w:r>
          </w:p>
        </w:tc>
        <w:tc>
          <w:tcPr>
            <w:tcW w:w="340" w:type="dxa"/>
            <w:vAlign w:val="bottom"/>
          </w:tcPr>
          <w:p>
            <w:pPr>
              <w:spacing w:after="0"/>
              <w:rPr>
                <w:sz w:val="3"/>
                <w:szCs w:val="3"/>
                <w:color w:val="auto"/>
              </w:rPr>
            </w:pPr>
          </w:p>
        </w:tc>
        <w:tc>
          <w:tcPr>
            <w:tcW w:w="98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MORI</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Total Eliminations</w:t>
            </w:r>
          </w:p>
        </w:tc>
        <w:tc>
          <w:tcPr>
            <w:tcW w:w="1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Subsidiaries</w:t>
            </w:r>
          </w:p>
        </w:tc>
        <w:tc>
          <w:tcPr>
            <w:tcW w:w="14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2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Benefit (provision) for income taxes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Equity in net income (loss) of</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subsidiaries</w:t>
            </w:r>
          </w:p>
        </w:tc>
        <w:tc>
          <w:tcPr>
            <w:tcW w:w="2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Net income attributable to</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7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(loss) income attributable to</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vMerge w:val="restart"/>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common shareholders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September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Payments Due by Period</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4"/>
              </w:rPr>
              <w:t>Remainder</w:t>
            </w:r>
          </w:p>
        </w:tc>
        <w:tc>
          <w:tcPr>
            <w:tcW w:w="16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Years</w:t>
            </w:r>
          </w:p>
        </w:tc>
        <w:tc>
          <w:tcPr>
            <w:tcW w:w="180" w:type="dxa"/>
            <w:vAlign w:val="bottom"/>
          </w:tcPr>
          <w:p>
            <w:pPr>
              <w:spacing w:after="0"/>
              <w:rPr>
                <w:sz w:val="13"/>
                <w:szCs w:val="13"/>
                <w:color w:val="auto"/>
              </w:rPr>
            </w:pPr>
          </w:p>
        </w:tc>
        <w:tc>
          <w:tcPr>
            <w:tcW w:w="1160" w:type="dxa"/>
            <w:vAlign w:val="bottom"/>
            <w:gridSpan w:val="2"/>
          </w:tcPr>
          <w:p>
            <w:pPr>
              <w:ind w:left="240"/>
              <w:spacing w:after="0" w:line="158" w:lineRule="exact"/>
              <w:rPr>
                <w:sz w:val="20"/>
                <w:szCs w:val="20"/>
                <w:color w:val="auto"/>
              </w:rPr>
            </w:pPr>
            <w:r>
              <w:rPr>
                <w:rFonts w:ascii="Arial" w:cs="Arial" w:eastAsia="Arial" w:hAnsi="Arial"/>
                <w:sz w:val="16"/>
                <w:szCs w:val="16"/>
                <w:b w:val="1"/>
                <w:bCs w:val="1"/>
                <w:color w:val="auto"/>
              </w:rPr>
              <w:t>Years</w:t>
            </w:r>
          </w:p>
        </w:tc>
        <w:tc>
          <w:tcPr>
            <w:tcW w:w="160" w:type="dxa"/>
            <w:vAlign w:val="bottom"/>
          </w:tcPr>
          <w:p>
            <w:pPr>
              <w:spacing w:after="0"/>
              <w:rPr>
                <w:sz w:val="13"/>
                <w:szCs w:val="13"/>
                <w:color w:val="auto"/>
              </w:rPr>
            </w:pPr>
          </w:p>
        </w:tc>
        <w:tc>
          <w:tcPr>
            <w:tcW w:w="106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of 2021</w:t>
            </w:r>
          </w:p>
        </w:tc>
        <w:tc>
          <w:tcPr>
            <w:tcW w:w="160" w:type="dxa"/>
            <w:vAlign w:val="bottom"/>
          </w:tcPr>
          <w:p>
            <w:pPr>
              <w:spacing w:after="0"/>
              <w:rPr>
                <w:sz w:val="18"/>
                <w:szCs w:val="18"/>
                <w:color w:val="auto"/>
              </w:rPr>
            </w:pPr>
          </w:p>
        </w:tc>
        <w:tc>
          <w:tcPr>
            <w:tcW w:w="1060" w:type="dxa"/>
            <w:vAlign w:val="bottom"/>
          </w:tcPr>
          <w:p>
            <w:pPr>
              <w:jc w:val="right"/>
              <w:ind w:right="133"/>
              <w:spacing w:after="0"/>
              <w:rPr>
                <w:sz w:val="20"/>
                <w:szCs w:val="20"/>
                <w:color w:val="auto"/>
              </w:rPr>
            </w:pPr>
            <w:r>
              <w:rPr>
                <w:rFonts w:ascii="Arial" w:cs="Arial" w:eastAsia="Arial" w:hAnsi="Arial"/>
                <w:sz w:val="16"/>
                <w:szCs w:val="16"/>
                <w:b w:val="1"/>
                <w:bCs w:val="1"/>
                <w:color w:val="auto"/>
                <w:w w:val="95"/>
              </w:rPr>
              <w:t>2022 - 2023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32"/>
              <w:spacing w:after="0"/>
              <w:rPr>
                <w:sz w:val="20"/>
                <w:szCs w:val="20"/>
                <w:color w:val="auto"/>
              </w:rPr>
            </w:pPr>
            <w:r>
              <w:rPr>
                <w:rFonts w:ascii="Arial" w:cs="Arial" w:eastAsia="Arial" w:hAnsi="Arial"/>
                <w:sz w:val="16"/>
                <w:szCs w:val="16"/>
                <w:b w:val="1"/>
                <w:bCs w:val="1"/>
                <w:color w:val="auto"/>
                <w:w w:val="93"/>
              </w:rPr>
              <w:t>2024 - 2025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Contractual Obligations</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Debt obligations</w:t>
            </w:r>
            <w:r>
              <w:rPr>
                <w:rFonts w:ascii="Arial" w:cs="Arial" w:eastAsia="Arial" w:hAnsi="Arial"/>
                <w:sz w:val="9"/>
                <w:szCs w:val="9"/>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150"/>
        </w:trPr>
        <w:tc>
          <w:tcPr>
            <w:tcW w:w="22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Purchase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w w:val="90"/>
                <w:shd w:val="clear" w:color="auto" w:fill="CCEEFF"/>
              </w:rPr>
              <w:t>(2)</w:t>
            </w:r>
          </w:p>
        </w:tc>
        <w:tc>
          <w:tcPr>
            <w:tcW w:w="2860" w:type="dxa"/>
            <w:vAlign w:val="bottom"/>
            <w:vMerge w:val="restart"/>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80"/>
        </w:trPr>
        <w:tc>
          <w:tcPr>
            <w:tcW w:w="22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6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2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Finance lease obligations</w:t>
            </w:r>
            <w:r>
              <w:rPr>
                <w:rFonts w:ascii="Arial" w:cs="Arial" w:eastAsia="Arial" w:hAnsi="Arial"/>
                <w:sz w:val="9"/>
                <w:szCs w:val="9"/>
                <w:color w:val="auto"/>
              </w:rPr>
              <w:t>(3)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2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long-term obligations</w:t>
            </w:r>
            <w:r>
              <w:rPr>
                <w:rFonts w:ascii="Arial" w:cs="Arial" w:eastAsia="Arial" w:hAnsi="Arial"/>
                <w:sz w:val="9"/>
                <w:szCs w:val="9"/>
                <w:color w:val="auto"/>
              </w:rPr>
              <w:t>(4)</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ectPr>
          <w:pgSz w:w="11900" w:h="16838" w:orient="portrait"/>
          <w:cols w:equalWidth="0" w:num="1">
            <w:col w:w="11240"/>
          </w:cols>
          <w:pgMar w:left="320" w:top="341" w:right="33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Includes principal as well as interest payments and excludes unamortized debt discount and issuance costs.</w:t>
      </w:r>
    </w:p>
    <w:p>
      <w:pPr>
        <w:spacing w:after="0" w:line="63" w:lineRule="exact"/>
        <w:rPr>
          <w:sz w:val="20"/>
          <w:szCs w:val="20"/>
          <w:color w:val="auto"/>
        </w:rPr>
      </w:pPr>
    </w:p>
    <w:p>
      <w:pPr>
        <w:ind w:left="20" w:right="360" w:hanging="11"/>
        <w:spacing w:after="0" w:line="302" w:lineRule="auto"/>
        <w:rPr>
          <w:sz w:val="20"/>
          <w:szCs w:val="20"/>
          <w:color w:val="auto"/>
        </w:rPr>
      </w:pPr>
      <w:r>
        <w:rPr>
          <w:rFonts w:ascii="Arial" w:cs="Arial" w:eastAsia="Arial" w:hAnsi="Arial"/>
          <w:sz w:val="16"/>
          <w:szCs w:val="16"/>
          <w:color w:val="auto"/>
        </w:rPr>
        <w:t>Arrangements are considered purchase obligations if a contract specifies all significant terms, including fixed or minimum quantities to be purchased, a pricing structure, and approximate timing of the transaction. Amounts reflected represent expected funding under such contracts. Amounts reflected on the consolidated balance sheet as accounts payable and accrued liabilities are excluded from the table above.</w:t>
      </w:r>
    </w:p>
    <w:p>
      <w:pPr>
        <w:spacing w:after="0" w:line="2" w:lineRule="exact"/>
        <w:rPr>
          <w:sz w:val="20"/>
          <w:szCs w:val="20"/>
          <w:color w:val="auto"/>
        </w:rPr>
      </w:pPr>
    </w:p>
    <w:p>
      <w:pPr>
        <w:sectPr>
          <w:pgSz w:w="11900" w:h="16838" w:orient="portrait"/>
          <w:cols w:equalWidth="0" w:num="2">
            <w:col w:w="140" w:space="500"/>
            <w:col w:w="10600"/>
          </w:cols>
          <w:pgMar w:left="320" w:top="341" w:right="339" w:bottom="1440" w:gutter="0" w:footer="0" w:header="0"/>
          <w:type w:val="continuous"/>
        </w:sectPr>
      </w:pPr>
    </w:p>
    <w:p>
      <w:pPr>
        <w:spacing w:after="0"/>
        <w:rPr>
          <w:sz w:val="20"/>
          <w:szCs w:val="20"/>
          <w:color w:val="auto"/>
        </w:rPr>
      </w:pPr>
      <w:r>
        <w:rPr>
          <w:rFonts w:ascii="Arial" w:cs="Arial" w:eastAsia="Arial" w:hAnsi="Arial"/>
          <w:sz w:val="11"/>
          <w:szCs w:val="11"/>
          <w:color w:val="auto"/>
        </w:rPr>
        <w:t>(3)</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interest.</w:t>
      </w:r>
    </w:p>
    <w:p>
      <w:pPr>
        <w:spacing w:after="0" w:line="63" w:lineRule="exact"/>
        <w:rPr>
          <w:sz w:val="20"/>
          <w:szCs w:val="20"/>
          <w:color w:val="auto"/>
        </w:rPr>
      </w:pPr>
    </w:p>
    <w:p>
      <w:pPr>
        <w:ind w:left="20" w:right="720" w:hanging="11"/>
        <w:spacing w:after="0" w:line="277" w:lineRule="auto"/>
        <w:rPr>
          <w:sz w:val="20"/>
          <w:szCs w:val="20"/>
          <w:color w:val="auto"/>
        </w:rPr>
      </w:pPr>
      <w:r>
        <w:rPr>
          <w:rFonts w:ascii="Arial" w:cs="Arial" w:eastAsia="Arial" w:hAnsi="Arial"/>
          <w:sz w:val="18"/>
          <w:szCs w:val="18"/>
          <w:color w:val="auto"/>
        </w:rPr>
        <w:t>Primarily relates to future guaranteed purchases of rental inventory, operational support services, marketing related benefits, membership fulfillment benefits, and other commitments.</w:t>
      </w:r>
    </w:p>
    <w:p>
      <w:pPr>
        <w:spacing w:after="0" w:line="62" w:lineRule="exact"/>
        <w:rPr>
          <w:sz w:val="20"/>
          <w:szCs w:val="20"/>
          <w:color w:val="auto"/>
        </w:rPr>
      </w:pPr>
    </w:p>
    <w:p>
      <w:pPr>
        <w:sectPr>
          <w:pgSz w:w="11900" w:h="16838" w:orient="portrait"/>
          <w:cols w:equalWidth="0" w:num="2">
            <w:col w:w="140" w:space="500"/>
            <w:col w:w="10600"/>
          </w:cols>
          <w:pgMar w:left="320" w:top="341" w:right="339" w:bottom="1440" w:gutter="0" w:footer="0" w:header="0"/>
          <w:type w:val="continuous"/>
        </w:sectPr>
      </w:pPr>
    </w:p>
    <w:p>
      <w:pPr>
        <w:ind w:right="120" w:firstLine="648"/>
        <w:spacing w:after="0" w:line="263" w:lineRule="auto"/>
        <w:rPr>
          <w:sz w:val="20"/>
          <w:szCs w:val="20"/>
          <w:color w:val="auto"/>
        </w:rPr>
      </w:pPr>
      <w:r>
        <w:rPr>
          <w:rFonts w:ascii="Arial" w:cs="Arial" w:eastAsia="Arial" w:hAnsi="Arial"/>
          <w:sz w:val="18"/>
          <w:szCs w:val="18"/>
          <w:color w:val="auto"/>
        </w:rPr>
        <w:t>In the normal course of our resort management business, we enter into purchase commitments on behalf of property owners’ associations to manage the daily operating needs of our resorts. Since we are reimbursed for these commitments from the cash flows of the resorts, these obligations have minimal impact on our net income and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That Have Not Yet Commenced</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first quarter of 2020, we entered into a finance lease arrangement for our new global headquarters in Orlando, Florida. The new Orlando corporate office building is currently expected to be completed in 2023, at which time the lease term will commence and a right-of-use asset and corresponding liability will be recorded on our balance sheet. The initial lease term is approximately 16 years with total lease payments of $129 million for the aforementioned period. See Footnote 11 “Contingencies and Commitments” to our Financial Statements for additional information on this lease, including additional arrangements made as a result of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Footnote 2 “Significant Accounting Policies and Recent Accounting Standards” to our Financial Statements for a discussion of recently issued accounting pronouncements, including information on new accounting standards and the future adoption of such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exposure to market risk has not changed materially from that disclosed in Part I, Item 7A of our Annual Report on Form 10-K for the year ended December 31, 2020, other than as set forth below.</w:t>
      </w:r>
    </w:p>
    <w:p>
      <w:pPr>
        <w:spacing w:after="0" w:line="6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During the first quarter of 2021, we issued $575 million of 2026 Convertible Notes. Holders may convert the 2026 Convertible Notes prior to maturity upon the occurrence of certain circumstances. Upon conversion, holders of the 2026 Convertible Notes will receive cash, shares of our common stock, or a combination of cash and shares of our common stock, at our election.</w:t>
      </w:r>
    </w:p>
    <w:p>
      <w:pPr>
        <w:spacing w:after="0" w:line="7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Concurrently with the issuance of the 2026 Convertible Notes, we entered into convertible note hedges and warrants as discussed further in Footnote 13 “Debt” to these Financial Statements. Taken together, these separate transactions were intended to reduce the potential economic dilution to our common stock from the conversion of the 2026 Convertible Notes.</w:t>
      </w:r>
    </w:p>
    <w:p>
      <w:pPr>
        <w:spacing w:after="0" w:line="7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2026 Convertible Notes have a fixed annual interest rate of 0.00 percent and, therefore, we do not have economic interest rate exposure on our 2026 Convertible Notes. However, the fair market value of the 2026 Convertible Notes is exposed to interest rate risk. Generally, the fair market value of the 2026 Convertible Notes will increase as interest rates fall and decrease as interest rates rise. In addition, the fair market value of the 2026 Convertible Notes is affected by our stock price and will increase as our stock price increases and decrease as our stock price decreases. The net carrying value of the 2026 Convertible Notes was $455 million as of September 30, 2021. This represents the liability component of the principal balance of the 2026 Convertible Notes, net of unamortized debt discount and issuance costs, as of September 30, 2021. The total estimated fair market value of the 2026 Convertible Notes was $648 million as of September 30, 2021, and the fair market value was determined based on the quoted market price of the 2026 Convertible Notes in an over-the-counter market as of the last day of trading for the quarter ended September 30, 2021. For further information see Footnote 7 “Financial Instruments” and Footnote 13 “Debt” to these Financial Statements.</w:t>
      </w:r>
    </w:p>
    <w:p>
      <w:pPr>
        <w:spacing w:after="0" w:line="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During the second quarter of 2021, we issued $500 million of 2029 Notes. During the third quarter of 2021, we redeemed, prior to maturity, a total of $750 million of our 2026 Notes ($500 million in July and the remaining $250 million in September). Refer to Footnote 13 “Debt” to these Financial Statements for additional information, including our redemption, prior to maturity, of $250 million of our 2025 Notes subsequent to the end of the third quarter.</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September 30, 2021,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During the second quarter of 2021, we completed the Welk Acquisition. We are currently in the process of assessing Welk’s internal control over financial reporting and integrating Welk’s internal control over financial reporting with our existing internal control over financial reporting. There were no other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11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December 31, 2020 (the “2020 Annual Report”). The COVID-19 pandemic has heightened, and in some cases, manifested, certain of the risks we normally face in our business, including those disclosed in the 2020 Annual Report.</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6"/>
                <w:szCs w:val="16"/>
                <w:color w:val="auto"/>
              </w:rPr>
            </w:pPr>
          </w:p>
        </w:tc>
        <w:tc>
          <w:tcPr>
            <w:tcW w:w="1900" w:type="dxa"/>
            <w:vAlign w:val="bottom"/>
            <w:gridSpan w:val="2"/>
          </w:tcPr>
          <w:p>
            <w:pPr>
              <w:ind w:left="60"/>
              <w:spacing w:after="0"/>
              <w:rPr>
                <w:sz w:val="20"/>
                <w:szCs w:val="20"/>
                <w:color w:val="auto"/>
              </w:rPr>
            </w:pPr>
            <w:r>
              <w:rPr>
                <w:rFonts w:ascii="Arial" w:cs="Arial" w:eastAsia="Arial" w:hAnsi="Arial"/>
                <w:sz w:val="16"/>
                <w:szCs w:val="16"/>
                <w:b w:val="1"/>
                <w:bCs w:val="1"/>
                <w:color w:val="auto"/>
                <w:w w:val="96"/>
              </w:rPr>
              <w:t>Maximum Dollar Amount</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Total Number of</w:t>
            </w: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jc w:val="center"/>
              <w:ind w:right="13"/>
              <w:spacing w:after="0" w:line="162" w:lineRule="exact"/>
              <w:rPr>
                <w:sz w:val="20"/>
                <w:szCs w:val="20"/>
                <w:color w:val="auto"/>
              </w:rPr>
            </w:pPr>
            <w:r>
              <w:rPr>
                <w:rFonts w:ascii="Arial" w:cs="Arial" w:eastAsia="Arial" w:hAnsi="Arial"/>
                <w:sz w:val="16"/>
                <w:szCs w:val="16"/>
                <w:b w:val="1"/>
                <w:bCs w:val="1"/>
                <w:color w:val="auto"/>
                <w:w w:val="93"/>
              </w:rPr>
              <w:t>of Shares That May Yet</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Price Paid per</w:t>
            </w: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4"/>
                <w:szCs w:val="14"/>
                <w:color w:val="auto"/>
              </w:rPr>
            </w:pPr>
          </w:p>
        </w:tc>
        <w:tc>
          <w:tcPr>
            <w:tcW w:w="19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Be Purchased Under the</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Period</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Shares Purchased</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Share</w:t>
            </w:r>
          </w:p>
        </w:tc>
        <w:tc>
          <w:tcPr>
            <w:tcW w:w="188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9"/>
              </w:rPr>
              <w:t>or Programs</w:t>
            </w:r>
            <w:r>
              <w:rPr>
                <w:rFonts w:ascii="Arial" w:cs="Arial" w:eastAsia="Arial" w:hAnsi="Arial"/>
                <w:sz w:val="21"/>
                <w:szCs w:val="21"/>
                <w:b w:val="1"/>
                <w:bCs w:val="1"/>
                <w:color w:val="auto"/>
                <w:w w:val="89"/>
                <w:vertAlign w:val="superscript"/>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ind w:right="33"/>
              <w:spacing w:after="0" w:line="216" w:lineRule="exact"/>
              <w:rPr>
                <w:sz w:val="20"/>
                <w:szCs w:val="20"/>
                <w:color w:val="auto"/>
              </w:rPr>
            </w:pPr>
            <w:r>
              <w:rPr>
                <w:rFonts w:ascii="Arial" w:cs="Arial" w:eastAsia="Arial" w:hAnsi="Arial"/>
                <w:sz w:val="16"/>
                <w:szCs w:val="16"/>
                <w:b w:val="1"/>
                <w:bCs w:val="1"/>
                <w:color w:val="auto"/>
                <w:w w:val="89"/>
              </w:rPr>
              <w:t>Plans or Programs</w:t>
            </w:r>
            <w:r>
              <w:rPr>
                <w:rFonts w:ascii="Arial" w:cs="Arial" w:eastAsia="Arial" w:hAnsi="Arial"/>
                <w:sz w:val="21"/>
                <w:szCs w:val="21"/>
                <w:b w:val="1"/>
                <w:bCs w:val="1"/>
                <w:color w:val="auto"/>
                <w:w w:val="89"/>
                <w:vertAlign w:val="superscript"/>
              </w:rPr>
              <w:t>(1)</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2021 – July 31, 2021</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August 1, 2021 – August 31, 2021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2021 – September 30,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2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154.84</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520" w:hanging="652"/>
        <w:spacing w:after="0" w:line="227" w:lineRule="auto"/>
        <w:tabs>
          <w:tab w:leader="none" w:pos="648"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During the third quarter of 2021, our Board of Directors authorized a share repurchase program under which we may purchase shares of our common stock for an aggregate purchase price not to exceed $250 million, prior to December 31, 2022.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documents referenced below are being filed as a part of this Quarterly Report on Form 10-Q, unless otherwise noted.</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1980" w:type="dxa"/>
            <w:vAlign w:val="bottom"/>
            <w:vMerge w:val="restart"/>
          </w:tcPr>
          <w:p>
            <w:pPr>
              <w:jc w:val="center"/>
              <w:ind w:right="1299"/>
              <w:spacing w:after="0"/>
              <w:rPr>
                <w:sz w:val="20"/>
                <w:szCs w:val="20"/>
                <w:color w:val="auto"/>
              </w:rPr>
            </w:pPr>
            <w:r>
              <w:rPr>
                <w:rFonts w:ascii="Arial" w:cs="Arial" w:eastAsia="Arial" w:hAnsi="Arial"/>
                <w:sz w:val="16"/>
                <w:szCs w:val="16"/>
                <w:b w:val="1"/>
                <w:bCs w:val="1"/>
                <w:color w:val="auto"/>
                <w:w w:val="97"/>
              </w:rPr>
              <w:t>Exhibit</w:t>
            </w:r>
          </w:p>
        </w:tc>
        <w:tc>
          <w:tcPr>
            <w:tcW w:w="3560" w:type="dxa"/>
            <w:vAlign w:val="bottom"/>
          </w:tcPr>
          <w:p>
            <w:pPr>
              <w:spacing w:after="0"/>
              <w:rPr>
                <w:sz w:val="18"/>
                <w:szCs w:val="18"/>
                <w:color w:val="auto"/>
              </w:rPr>
            </w:pPr>
          </w:p>
        </w:tc>
        <w:tc>
          <w:tcPr>
            <w:tcW w:w="2280" w:type="dxa"/>
            <w:vAlign w:val="bottom"/>
            <w:vMerge w:val="restart"/>
          </w:tcPr>
          <w:p>
            <w:pPr>
              <w:jc w:val="center"/>
              <w:ind w:left="1039"/>
              <w:spacing w:after="0"/>
              <w:rPr>
                <w:sz w:val="20"/>
                <w:szCs w:val="20"/>
                <w:color w:val="auto"/>
              </w:rPr>
            </w:pPr>
            <w:r>
              <w:rPr>
                <w:rFonts w:ascii="Arial" w:cs="Arial" w:eastAsia="Arial" w:hAnsi="Arial"/>
                <w:sz w:val="16"/>
                <w:szCs w:val="16"/>
                <w:b w:val="1"/>
                <w:bCs w:val="1"/>
                <w:color w:val="auto"/>
                <w:w w:val="96"/>
              </w:rPr>
              <w:t>Filed</w:t>
            </w:r>
          </w:p>
        </w:tc>
        <w:tc>
          <w:tcPr>
            <w:tcW w:w="322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24"/>
        </w:trPr>
        <w:tc>
          <w:tcPr>
            <w:tcW w:w="1980" w:type="dxa"/>
            <w:vAlign w:val="bottom"/>
            <w:vMerge w:val="continue"/>
          </w:tcPr>
          <w:p>
            <w:pPr>
              <w:spacing w:after="0"/>
              <w:rPr>
                <w:sz w:val="2"/>
                <w:szCs w:val="2"/>
                <w:color w:val="auto"/>
              </w:rPr>
            </w:pPr>
          </w:p>
        </w:tc>
        <w:tc>
          <w:tcPr>
            <w:tcW w:w="3560" w:type="dxa"/>
            <w:vAlign w:val="bottom"/>
            <w:vMerge w:val="restart"/>
          </w:tcPr>
          <w:p>
            <w:pPr>
              <w:ind w:left="1380"/>
              <w:spacing w:after="0"/>
              <w:rPr>
                <w:sz w:val="20"/>
                <w:szCs w:val="20"/>
                <w:color w:val="auto"/>
              </w:rPr>
            </w:pPr>
            <w:r>
              <w:rPr>
                <w:rFonts w:ascii="Arial" w:cs="Arial" w:eastAsia="Arial" w:hAnsi="Arial"/>
                <w:sz w:val="16"/>
                <w:szCs w:val="16"/>
                <w:b w:val="1"/>
                <w:bCs w:val="1"/>
                <w:color w:val="auto"/>
              </w:rPr>
              <w:t>Description</w:t>
            </w:r>
          </w:p>
        </w:tc>
        <w:tc>
          <w:tcPr>
            <w:tcW w:w="2280" w:type="dxa"/>
            <w:vAlign w:val="bottom"/>
            <w:vMerge w:val="continue"/>
          </w:tcPr>
          <w:p>
            <w:pPr>
              <w:spacing w:after="0"/>
              <w:rPr>
                <w:sz w:val="2"/>
                <w:szCs w:val="2"/>
                <w:color w:val="auto"/>
              </w:rPr>
            </w:pPr>
          </w:p>
        </w:tc>
        <w:tc>
          <w:tcPr>
            <w:tcW w:w="92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Form</w:t>
            </w:r>
          </w:p>
        </w:tc>
        <w:tc>
          <w:tcPr>
            <w:tcW w:w="104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Exhibit</w:t>
            </w:r>
          </w:p>
        </w:tc>
        <w:tc>
          <w:tcPr>
            <w:tcW w:w="12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line="20" w:lineRule="exact"/>
              <w:rPr>
                <w:sz w:val="1"/>
                <w:szCs w:val="1"/>
                <w:color w:val="auto"/>
              </w:rPr>
            </w:pPr>
          </w:p>
        </w:tc>
      </w:tr>
      <w:tr>
        <w:trPr>
          <w:trHeight w:val="210"/>
        </w:trPr>
        <w:tc>
          <w:tcPr>
            <w:tcW w:w="1980" w:type="dxa"/>
            <w:vAlign w:val="bottom"/>
          </w:tcPr>
          <w:p>
            <w:pPr>
              <w:jc w:val="center"/>
              <w:ind w:right="1319"/>
              <w:spacing w:after="0"/>
              <w:rPr>
                <w:sz w:val="20"/>
                <w:szCs w:val="20"/>
                <w:color w:val="auto"/>
              </w:rPr>
            </w:pPr>
            <w:r>
              <w:rPr>
                <w:rFonts w:ascii="Arial" w:cs="Arial" w:eastAsia="Arial" w:hAnsi="Arial"/>
                <w:sz w:val="16"/>
                <w:szCs w:val="16"/>
                <w:b w:val="1"/>
                <w:bCs w:val="1"/>
                <w:color w:val="auto"/>
                <w:w w:val="95"/>
              </w:rPr>
              <w:t>Number</w:t>
            </w:r>
          </w:p>
        </w:tc>
        <w:tc>
          <w:tcPr>
            <w:tcW w:w="3560" w:type="dxa"/>
            <w:vAlign w:val="bottom"/>
            <w:vMerge w:val="continue"/>
          </w:tcPr>
          <w:p>
            <w:pPr>
              <w:spacing w:after="0"/>
              <w:rPr>
                <w:sz w:val="18"/>
                <w:szCs w:val="18"/>
                <w:color w:val="auto"/>
              </w:rPr>
            </w:pPr>
          </w:p>
        </w:tc>
        <w:tc>
          <w:tcPr>
            <w:tcW w:w="2280" w:type="dxa"/>
            <w:vAlign w:val="bottom"/>
          </w:tcPr>
          <w:p>
            <w:pPr>
              <w:jc w:val="center"/>
              <w:ind w:left="1039"/>
              <w:spacing w:after="0"/>
              <w:rPr>
                <w:sz w:val="20"/>
                <w:szCs w:val="20"/>
                <w:color w:val="auto"/>
              </w:rPr>
            </w:pPr>
            <w:r>
              <w:rPr>
                <w:rFonts w:ascii="Arial" w:cs="Arial" w:eastAsia="Arial" w:hAnsi="Arial"/>
                <w:sz w:val="16"/>
                <w:szCs w:val="16"/>
                <w:b w:val="1"/>
                <w:bCs w:val="1"/>
                <w:color w:val="auto"/>
                <w:w w:val="94"/>
              </w:rPr>
              <w:t>Herewith</w:t>
            </w:r>
          </w:p>
        </w:tc>
        <w:tc>
          <w:tcPr>
            <w:tcW w:w="9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4883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75" w:lineRule="exact"/>
        <w:rPr>
          <w:sz w:val="20"/>
          <w:szCs w:val="20"/>
          <w:color w:val="auto"/>
        </w:rPr>
      </w:pPr>
    </w:p>
    <w:p>
      <w:pPr>
        <w:ind w:left="380"/>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2.1</w:t>
        </w:r>
      </w:hyperlink>
    </w:p>
    <w:p>
      <w:pPr>
        <w:spacing w:after="0" w:line="200" w:lineRule="exact"/>
        <w:rPr>
          <w:sz w:val="20"/>
          <w:szCs w:val="20"/>
          <w:color w:val="auto"/>
        </w:rPr>
      </w:pPr>
    </w:p>
    <w:p>
      <w:pPr>
        <w:spacing w:after="0" w:line="228" w:lineRule="exact"/>
        <w:rPr>
          <w:sz w:val="20"/>
          <w:szCs w:val="20"/>
          <w:color w:val="auto"/>
        </w:rPr>
      </w:pPr>
    </w:p>
    <w:p>
      <w:pPr>
        <w:ind w:left="380"/>
        <w:spacing w:after="0"/>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3.1</w:t>
        </w:r>
      </w:hyperlink>
    </w:p>
    <w:p>
      <w:pPr>
        <w:spacing w:after="0" w:line="225" w:lineRule="exact"/>
        <w:rPr>
          <w:sz w:val="20"/>
          <w:szCs w:val="20"/>
          <w:color w:val="auto"/>
        </w:rPr>
      </w:pPr>
    </w:p>
    <w:p>
      <w:pPr>
        <w:ind w:left="380"/>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3.2</w:t>
        </w:r>
      </w:hyperlink>
    </w:p>
    <w:p>
      <w:pPr>
        <w:spacing w:after="0" w:line="212" w:lineRule="exact"/>
        <w:rPr>
          <w:sz w:val="20"/>
          <w:szCs w:val="20"/>
          <w:color w:val="auto"/>
        </w:rPr>
      </w:pPr>
    </w:p>
    <w:p>
      <w:pPr>
        <w:ind w:left="380"/>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4.1</w:t>
        </w:r>
      </w:hyperlink>
    </w:p>
    <w:p>
      <w:pPr>
        <w:spacing w:after="0" w:line="306" w:lineRule="exact"/>
        <w:rPr>
          <w:sz w:val="20"/>
          <w:szCs w:val="20"/>
          <w:color w:val="auto"/>
        </w:rPr>
      </w:pPr>
    </w:p>
    <w:p>
      <w:pPr>
        <w:ind w:left="380"/>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4.2</w:t>
        </w:r>
      </w:hyperlink>
    </w:p>
    <w:p>
      <w:pPr>
        <w:spacing w:after="0" w:line="306" w:lineRule="exact"/>
        <w:rPr>
          <w:sz w:val="20"/>
          <w:szCs w:val="20"/>
          <w:color w:val="auto"/>
        </w:rPr>
      </w:pPr>
    </w:p>
    <w:p>
      <w:pPr>
        <w:ind w:left="380"/>
        <w:spacing w:after="0"/>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4.3</w:t>
        </w:r>
      </w:hyperlink>
    </w:p>
    <w:p>
      <w:pPr>
        <w:spacing w:after="0" w:line="200" w:lineRule="exact"/>
        <w:rPr>
          <w:sz w:val="20"/>
          <w:szCs w:val="20"/>
          <w:color w:val="auto"/>
        </w:rPr>
      </w:pPr>
    </w:p>
    <w:p>
      <w:pPr>
        <w:spacing w:after="0" w:line="228" w:lineRule="exact"/>
        <w:rPr>
          <w:sz w:val="20"/>
          <w:szCs w:val="20"/>
          <w:color w:val="auto"/>
        </w:rPr>
      </w:pPr>
    </w:p>
    <w:p>
      <w:pPr>
        <w:ind w:left="380"/>
        <w:spacing w:after="0"/>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4.4</w:t>
        </w:r>
      </w:hyperlink>
    </w:p>
    <w:p>
      <w:pPr>
        <w:spacing w:after="0" w:line="200" w:lineRule="exact"/>
        <w:rPr>
          <w:sz w:val="20"/>
          <w:szCs w:val="20"/>
          <w:color w:val="auto"/>
        </w:rPr>
      </w:pPr>
    </w:p>
    <w:p>
      <w:pPr>
        <w:spacing w:after="0" w:line="349" w:lineRule="exact"/>
        <w:rPr>
          <w:sz w:val="20"/>
          <w:szCs w:val="20"/>
          <w:color w:val="auto"/>
        </w:rPr>
      </w:pPr>
    </w:p>
    <w:p>
      <w:pPr>
        <w:ind w:left="380"/>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4.5</w:t>
        </w:r>
      </w:hyperlink>
    </w:p>
    <w:p>
      <w:pPr>
        <w:spacing w:after="0" w:line="200" w:lineRule="exact"/>
        <w:rPr>
          <w:sz w:val="20"/>
          <w:szCs w:val="20"/>
          <w:color w:val="auto"/>
        </w:rPr>
      </w:pPr>
    </w:p>
    <w:p>
      <w:pPr>
        <w:spacing w:after="0" w:line="268" w:lineRule="exact"/>
        <w:rPr>
          <w:sz w:val="20"/>
          <w:szCs w:val="20"/>
          <w:color w:val="auto"/>
        </w:rPr>
      </w:pPr>
    </w:p>
    <w:p>
      <w:pPr>
        <w:ind w:left="380"/>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4.6</w:t>
        </w:r>
      </w:hyperlink>
    </w:p>
    <w:p>
      <w:pPr>
        <w:spacing w:after="0" w:line="374" w:lineRule="exact"/>
        <w:rPr>
          <w:sz w:val="20"/>
          <w:szCs w:val="20"/>
          <w:color w:val="auto"/>
        </w:rPr>
      </w:pPr>
    </w:p>
    <w:p>
      <w:pPr>
        <w:ind w:left="380"/>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4.7</w:t>
        </w:r>
      </w:hyperlink>
    </w:p>
    <w:p>
      <w:pPr>
        <w:spacing w:after="0" w:line="279" w:lineRule="exact"/>
        <w:rPr>
          <w:sz w:val="20"/>
          <w:szCs w:val="20"/>
          <w:color w:val="auto"/>
        </w:rPr>
      </w:pPr>
    </w:p>
    <w:p>
      <w:pPr>
        <w:ind w:left="380"/>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4.8</w:t>
        </w:r>
      </w:hyperlink>
    </w:p>
    <w:p>
      <w:pPr>
        <w:spacing w:after="0" w:line="293" w:lineRule="exact"/>
        <w:rPr>
          <w:sz w:val="20"/>
          <w:szCs w:val="20"/>
          <w:color w:val="auto"/>
        </w:rPr>
      </w:pPr>
    </w:p>
    <w:p>
      <w:pPr>
        <w:ind w:left="380"/>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4.9</w:t>
        </w:r>
      </w:hyperlink>
    </w:p>
    <w:p>
      <w:pPr>
        <w:spacing w:after="0" w:line="200" w:lineRule="exact"/>
        <w:rPr>
          <w:sz w:val="20"/>
          <w:szCs w:val="20"/>
          <w:color w:val="auto"/>
        </w:rPr>
      </w:pPr>
    </w:p>
    <w:p>
      <w:pPr>
        <w:spacing w:after="0" w:line="255" w:lineRule="exact"/>
        <w:rPr>
          <w:sz w:val="20"/>
          <w:szCs w:val="20"/>
          <w:color w:val="auto"/>
        </w:rPr>
      </w:pPr>
    </w:p>
    <w:p>
      <w:pPr>
        <w:ind w:left="340"/>
        <w:spacing w:after="0"/>
        <w:rPr>
          <w:rFonts w:ascii="Arial" w:cs="Arial" w:eastAsia="Arial" w:hAnsi="Arial"/>
          <w:sz w:val="16"/>
          <w:szCs w:val="16"/>
          <w:u w:val="single" w:color="auto"/>
          <w:color w:val="0000FF"/>
        </w:rPr>
      </w:pPr>
      <w:hyperlink r:id="rId135">
        <w:r>
          <w:rPr>
            <w:rFonts w:ascii="Arial" w:cs="Arial" w:eastAsia="Arial" w:hAnsi="Arial"/>
            <w:sz w:val="16"/>
            <w:szCs w:val="16"/>
            <w:u w:val="single" w:color="auto"/>
            <w:color w:val="0000FF"/>
          </w:rPr>
          <w:t>4.10</w:t>
        </w:r>
      </w:hyperlink>
    </w:p>
    <w:p>
      <w:pPr>
        <w:spacing w:after="0" w:line="397" w:lineRule="exact"/>
        <w:rPr>
          <w:sz w:val="20"/>
          <w:szCs w:val="20"/>
          <w:color w:val="auto"/>
        </w:rPr>
      </w:pPr>
    </w:p>
    <w:p>
      <w:pPr>
        <w:ind w:left="340"/>
        <w:spacing w:after="0"/>
        <w:rPr>
          <w:rFonts w:ascii="Arial" w:cs="Arial" w:eastAsia="Arial" w:hAnsi="Arial"/>
          <w:sz w:val="16"/>
          <w:szCs w:val="16"/>
          <w:u w:val="single" w:color="auto"/>
          <w:color w:val="0000FF"/>
        </w:rPr>
      </w:pPr>
      <w:hyperlink r:id="rId135">
        <w:r>
          <w:rPr>
            <w:rFonts w:ascii="Arial" w:cs="Arial" w:eastAsia="Arial" w:hAnsi="Arial"/>
            <w:sz w:val="16"/>
            <w:szCs w:val="16"/>
            <w:u w:val="single" w:color="auto"/>
            <w:color w:val="0000FF"/>
          </w:rPr>
          <w:t>4.11</w:t>
        </w:r>
      </w:hyperlink>
    </w:p>
    <w:p>
      <w:pPr>
        <w:spacing w:after="0" w:line="397" w:lineRule="exact"/>
        <w:rPr>
          <w:sz w:val="20"/>
          <w:szCs w:val="20"/>
          <w:color w:val="auto"/>
        </w:rPr>
      </w:pPr>
    </w:p>
    <w:p>
      <w:pPr>
        <w:ind w:left="340"/>
        <w:spacing w:after="0"/>
        <w:rPr>
          <w:rFonts w:ascii="Arial" w:cs="Arial" w:eastAsia="Arial" w:hAnsi="Arial"/>
          <w:sz w:val="16"/>
          <w:szCs w:val="16"/>
          <w:u w:val="single" w:color="auto"/>
          <w:color w:val="0000FF"/>
        </w:rPr>
      </w:pPr>
      <w:hyperlink r:id="rId136">
        <w:r>
          <w:rPr>
            <w:rFonts w:ascii="Arial" w:cs="Arial" w:eastAsia="Arial" w:hAnsi="Arial"/>
            <w:sz w:val="16"/>
            <w:szCs w:val="16"/>
            <w:u w:val="single" w:color="auto"/>
            <w:color w:val="0000FF"/>
          </w:rPr>
          <w:t>4.12</w:t>
        </w:r>
      </w:hyperlink>
    </w:p>
    <w:p>
      <w:pPr>
        <w:spacing w:after="0" w:line="397" w:lineRule="exact"/>
        <w:rPr>
          <w:sz w:val="20"/>
          <w:szCs w:val="20"/>
          <w:color w:val="auto"/>
        </w:rPr>
      </w:pPr>
    </w:p>
    <w:p>
      <w:pPr>
        <w:ind w:left="340"/>
        <w:spacing w:after="0"/>
        <w:rPr>
          <w:rFonts w:ascii="Arial" w:cs="Arial" w:eastAsia="Arial" w:hAnsi="Arial"/>
          <w:sz w:val="16"/>
          <w:szCs w:val="16"/>
          <w:u w:val="single" w:color="auto"/>
          <w:color w:val="0000FF"/>
        </w:rPr>
      </w:pPr>
      <w:hyperlink r:id="rId137">
        <w:r>
          <w:rPr>
            <w:rFonts w:ascii="Arial" w:cs="Arial" w:eastAsia="Arial" w:hAnsi="Arial"/>
            <w:sz w:val="16"/>
            <w:szCs w:val="16"/>
            <w:u w:val="single" w:color="auto"/>
            <w:color w:val="0000FF"/>
          </w:rPr>
          <w:t>4.13</w:t>
        </w:r>
      </w:hyperlink>
    </w:p>
    <w:p>
      <w:pPr>
        <w:spacing w:after="0" w:line="397" w:lineRule="exact"/>
        <w:rPr>
          <w:sz w:val="20"/>
          <w:szCs w:val="20"/>
          <w:color w:val="auto"/>
        </w:rPr>
      </w:pPr>
    </w:p>
    <w:p>
      <w:pPr>
        <w:ind w:left="340"/>
        <w:spacing w:after="0"/>
        <w:rPr>
          <w:rFonts w:ascii="Arial" w:cs="Arial" w:eastAsia="Arial" w:hAnsi="Arial"/>
          <w:sz w:val="16"/>
          <w:szCs w:val="16"/>
          <w:u w:val="single" w:color="auto"/>
          <w:color w:val="0000FF"/>
        </w:rPr>
      </w:pPr>
      <w:hyperlink r:id="rId138">
        <w:r>
          <w:rPr>
            <w:rFonts w:ascii="Arial" w:cs="Arial" w:eastAsia="Arial" w:hAnsi="Arial"/>
            <w:sz w:val="16"/>
            <w:szCs w:val="16"/>
            <w:u w:val="single" w:color="auto"/>
            <w:color w:val="0000FF"/>
          </w:rPr>
          <w:t>4.14</w:t>
        </w:r>
      </w:hyperlink>
    </w:p>
    <w:p>
      <w:pPr>
        <w:spacing w:after="0" w:line="20" w:lineRule="exact"/>
        <w:rPr>
          <w:sz w:val="20"/>
          <w:szCs w:val="20"/>
          <w:color w:val="auto"/>
        </w:rPr>
      </w:pPr>
      <w:r>
        <w:rPr>
          <w:sz w:val="20"/>
          <w:szCs w:val="20"/>
          <w:color w:val="auto"/>
        </w:rPr>
        <w:br w:type="column"/>
      </w:r>
    </w:p>
    <w:p>
      <w:pPr>
        <w:ind w:right="940"/>
        <w:spacing w:after="0" w:line="219" w:lineRule="auto"/>
        <w:rPr>
          <w:sz w:val="20"/>
          <w:szCs w:val="20"/>
          <w:color w:val="auto"/>
        </w:rPr>
      </w:pPr>
      <w:r>
        <w:rPr>
          <w:rFonts w:ascii="Arial" w:cs="Arial" w:eastAsia="Arial" w:hAnsi="Arial"/>
          <w:sz w:val="18"/>
          <w:szCs w:val="18"/>
          <w:color w:val="auto"/>
        </w:rPr>
        <w:t>Agreement and Plan of Merger by and among Marriott Vacations Worldwide Corporation, Sommelier Acquisition Corp., Champagne Resorts, Inc., Welk Hospitality Group, Inc. and the Shareholder Representative, dated as of January 26, 2021</w:t>
      </w:r>
    </w:p>
    <w:p>
      <w:pPr>
        <w:spacing w:after="0" w:line="55" w:lineRule="exact"/>
        <w:rPr>
          <w:sz w:val="20"/>
          <w:szCs w:val="20"/>
          <w:color w:val="auto"/>
        </w:rPr>
      </w:pPr>
    </w:p>
    <w:p>
      <w:pPr>
        <w:ind w:right="1400"/>
        <w:spacing w:after="0" w:line="235" w:lineRule="auto"/>
        <w:rPr>
          <w:sz w:val="20"/>
          <w:szCs w:val="20"/>
          <w:color w:val="auto"/>
        </w:rPr>
      </w:pPr>
      <w:r>
        <w:rPr>
          <w:rFonts w:ascii="Arial" w:cs="Arial" w:eastAsia="Arial" w:hAnsi="Arial"/>
          <w:sz w:val="18"/>
          <w:szCs w:val="18"/>
          <w:color w:val="auto"/>
        </w:rPr>
        <w:t>Restated Certificate of Incorporation of Marriott Vacations Worldwide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34290</wp:posOffset>
            </wp:positionV>
            <wp:extent cx="7132320" cy="214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Restated Bylaws of Marriott Vacations Worldwide Corporation</w:t>
      </w:r>
    </w:p>
    <w:p>
      <w:pPr>
        <w:spacing w:after="0" w:line="131" w:lineRule="exact"/>
        <w:rPr>
          <w:sz w:val="20"/>
          <w:szCs w:val="20"/>
          <w:color w:val="auto"/>
        </w:rPr>
      </w:pPr>
    </w:p>
    <w:p>
      <w:pPr>
        <w:ind w:right="920"/>
        <w:spacing w:after="0" w:line="235" w:lineRule="auto"/>
        <w:rPr>
          <w:sz w:val="20"/>
          <w:szCs w:val="20"/>
          <w:color w:val="auto"/>
        </w:rPr>
      </w:pPr>
      <w:r>
        <w:rPr>
          <w:rFonts w:ascii="Arial" w:cs="Arial" w:eastAsia="Arial" w:hAnsi="Arial"/>
          <w:sz w:val="18"/>
          <w:szCs w:val="18"/>
          <w:color w:val="auto"/>
        </w:rPr>
        <w:t>Form of certificate representing shares of common stock, par value $0.01 per share, of Marriott Vacations Worldwide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34290</wp:posOffset>
            </wp:positionV>
            <wp:extent cx="7132320" cy="3257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88" w:lineRule="exact"/>
        <w:rPr>
          <w:sz w:val="20"/>
          <w:szCs w:val="20"/>
          <w:color w:val="auto"/>
        </w:rPr>
      </w:pPr>
    </w:p>
    <w:p>
      <w:pPr>
        <w:ind w:right="740"/>
        <w:spacing w:after="0" w:line="289" w:lineRule="auto"/>
        <w:rPr>
          <w:sz w:val="20"/>
          <w:szCs w:val="20"/>
          <w:color w:val="auto"/>
        </w:rPr>
      </w:pPr>
      <w:r>
        <w:rPr>
          <w:rFonts w:ascii="Arial" w:cs="Arial" w:eastAsia="Arial" w:hAnsi="Arial"/>
          <w:sz w:val="16"/>
          <w:szCs w:val="16"/>
          <w:color w:val="auto"/>
        </w:rPr>
        <w:t>Indenture between Marriott Vacations Worldwide Corporation and The Bank of New York Mellon Trust Company, N.A., as trustee, dated September 25, 2017</w:t>
      </w:r>
    </w:p>
    <w:p>
      <w:pPr>
        <w:spacing w:after="0" w:line="70" w:lineRule="exact"/>
        <w:rPr>
          <w:sz w:val="20"/>
          <w:szCs w:val="20"/>
          <w:color w:val="auto"/>
        </w:rPr>
      </w:pPr>
    </w:p>
    <w:p>
      <w:pPr>
        <w:ind w:right="1020"/>
        <w:spacing w:after="0" w:line="235" w:lineRule="auto"/>
        <w:rPr>
          <w:sz w:val="20"/>
          <w:szCs w:val="20"/>
          <w:color w:val="auto"/>
        </w:rPr>
      </w:pPr>
      <w:r>
        <w:rPr>
          <w:rFonts w:ascii="Arial" w:cs="Arial" w:eastAsia="Arial" w:hAnsi="Arial"/>
          <w:sz w:val="18"/>
          <w:szCs w:val="18"/>
          <w:color w:val="auto"/>
        </w:rPr>
        <w:t>Form of 1.50% Convertible Senior Note due 2022 (included as Exhibit A to Exhibit 4.2 above)</w:t>
      </w:r>
    </w:p>
    <w:p>
      <w:pPr>
        <w:spacing w:after="0" w:line="54" w:lineRule="exact"/>
        <w:rPr>
          <w:sz w:val="20"/>
          <w:szCs w:val="20"/>
          <w:color w:val="auto"/>
        </w:rPr>
      </w:pPr>
    </w:p>
    <w:p>
      <w:pPr>
        <w:ind w:right="760"/>
        <w:spacing w:after="0" w:line="219" w:lineRule="auto"/>
        <w:rPr>
          <w:sz w:val="20"/>
          <w:szCs w:val="20"/>
          <w:color w:val="auto"/>
        </w:rPr>
      </w:pPr>
      <w:r>
        <w:rPr>
          <w:rFonts w:ascii="Arial" w:cs="Arial" w:eastAsia="Arial" w:hAnsi="Arial"/>
          <w:sz w:val="18"/>
          <w:szCs w:val="18"/>
          <w:color w:val="auto"/>
        </w:rPr>
        <w:t>Joinder Agreement to Registration Rights Agreement, dated as of September 1, 2018, by and among ILG, LLC, the guarantors party thereto and Merrill Lynch, Pierce, Fenner &amp; Smith Incorporated as the representative of the initial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-478790</wp:posOffset>
            </wp:positionV>
            <wp:extent cx="7132320" cy="4800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ind w:right="1100"/>
        <w:spacing w:after="0" w:line="219" w:lineRule="auto"/>
        <w:rPr>
          <w:sz w:val="20"/>
          <w:szCs w:val="20"/>
          <w:color w:val="auto"/>
        </w:rPr>
      </w:pPr>
      <w:r>
        <w:rPr>
          <w:rFonts w:ascii="Arial" w:cs="Arial" w:eastAsia="Arial" w:hAnsi="Arial"/>
          <w:sz w:val="18"/>
          <w:szCs w:val="18"/>
          <w:color w:val="auto"/>
        </w:rPr>
        <w:t>Indenture, dated as of October 1, 2019, by and among Marriott Ownership Resorts, Inc., Marriott Vacations Worldwide Corporation, as guarantor, the other guarantors party thereto and The Bank of New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635</wp:posOffset>
            </wp:positionV>
            <wp:extent cx="7132320" cy="368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jc w:val="both"/>
        <w:ind w:right="1040"/>
        <w:spacing w:after="0" w:line="224" w:lineRule="auto"/>
        <w:rPr>
          <w:sz w:val="20"/>
          <w:szCs w:val="20"/>
          <w:color w:val="auto"/>
        </w:rPr>
      </w:pPr>
      <w:r>
        <w:rPr>
          <w:rFonts w:ascii="Arial" w:cs="Arial" w:eastAsia="Arial" w:hAnsi="Arial"/>
          <w:sz w:val="18"/>
          <w:szCs w:val="18"/>
          <w:color w:val="auto"/>
        </w:rPr>
        <w:t>Supplemental Indenture, dated December 31, 2019, by and among Marriott Ownership Resorts, Inc., MVW Vacations, LLC and the Bank of New York Mellon Trust Company, N.A., as trustee</w:t>
      </w:r>
    </w:p>
    <w:p>
      <w:pPr>
        <w:spacing w:after="0" w:line="1" w:lineRule="exact"/>
        <w:rPr>
          <w:sz w:val="20"/>
          <w:szCs w:val="20"/>
          <w:color w:val="auto"/>
        </w:rPr>
      </w:pPr>
    </w:p>
    <w:p>
      <w:pPr>
        <w:ind w:right="940"/>
        <w:spacing w:after="0" w:line="224" w:lineRule="auto"/>
        <w:rPr>
          <w:sz w:val="20"/>
          <w:szCs w:val="20"/>
          <w:color w:val="auto"/>
        </w:rPr>
      </w:pPr>
      <w:r>
        <w:rPr>
          <w:rFonts w:ascii="Arial" w:cs="Arial" w:eastAsia="Arial" w:hAnsi="Arial"/>
          <w:sz w:val="18"/>
          <w:szCs w:val="18"/>
          <w:color w:val="auto"/>
        </w:rPr>
        <w:t>Second Supplemental Indenture, dated February 26, 2020, by and among Marriott Ownership Resorts, Inc., MVW Services Corporation, and the Bank of New York Mellow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635</wp:posOffset>
            </wp:positionV>
            <wp:extent cx="7132320" cy="2571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right="900"/>
        <w:spacing w:after="0" w:line="234" w:lineRule="auto"/>
        <w:rPr>
          <w:sz w:val="20"/>
          <w:szCs w:val="20"/>
          <w:color w:val="auto"/>
        </w:rPr>
      </w:pPr>
      <w:r>
        <w:rPr>
          <w:rFonts w:ascii="Arial" w:cs="Arial" w:eastAsia="Arial" w:hAnsi="Arial"/>
          <w:sz w:val="18"/>
          <w:szCs w:val="18"/>
          <w:color w:val="auto"/>
        </w:rPr>
        <w:t>Form of 4.750% Senior Notes due 2028 (included as Exhibit A to Exhibit 4.5 above)</w:t>
      </w:r>
    </w:p>
    <w:p>
      <w:pPr>
        <w:spacing w:after="0" w:line="1" w:lineRule="exact"/>
        <w:rPr>
          <w:sz w:val="20"/>
          <w:szCs w:val="20"/>
          <w:color w:val="auto"/>
        </w:rPr>
      </w:pPr>
    </w:p>
    <w:p>
      <w:pPr>
        <w:ind w:right="760"/>
        <w:spacing w:after="0" w:line="252" w:lineRule="auto"/>
        <w:rPr>
          <w:sz w:val="20"/>
          <w:szCs w:val="20"/>
          <w:color w:val="auto"/>
        </w:rPr>
      </w:pPr>
      <w:r>
        <w:rPr>
          <w:rFonts w:ascii="Arial" w:cs="Arial" w:eastAsia="Arial" w:hAnsi="Arial"/>
          <w:sz w:val="16"/>
          <w:szCs w:val="16"/>
          <w:color w:val="auto"/>
        </w:rPr>
        <w:t>Registration Rights Agreement, dated as of October 1, 2019, by and among Marriott Ownership Resorts, Inc., Marriott Vacations Worldwide Corporation, as guarantor, the other guarantors party thereto and 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635</wp:posOffset>
            </wp:positionV>
            <wp:extent cx="7132320" cy="4800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ind w:right="1100"/>
        <w:spacing w:after="0" w:line="232" w:lineRule="auto"/>
        <w:rPr>
          <w:sz w:val="20"/>
          <w:szCs w:val="20"/>
          <w:color w:val="auto"/>
        </w:rPr>
      </w:pPr>
      <w:r>
        <w:rPr>
          <w:rFonts w:ascii="Arial" w:cs="Arial" w:eastAsia="Arial" w:hAnsi="Arial"/>
          <w:sz w:val="17"/>
          <w:szCs w:val="17"/>
          <w:color w:val="auto"/>
        </w:rPr>
        <w:t>Indenture, dated as of May 13, 2020, by and among Marriott Ownership Resorts, Inc., Marriott Vacations Worldwide Corporation, as guarantor, the other guarantors party thereto and The Bank of New York Mellon Trust Company, N.A., as trustee and collateral agent</w:t>
      </w:r>
    </w:p>
    <w:p>
      <w:pPr>
        <w:ind w:right="1120"/>
        <w:spacing w:after="0" w:line="234" w:lineRule="auto"/>
        <w:rPr>
          <w:sz w:val="20"/>
          <w:szCs w:val="20"/>
          <w:color w:val="auto"/>
        </w:rPr>
      </w:pPr>
      <w:r>
        <w:rPr>
          <w:rFonts w:ascii="Arial" w:cs="Arial" w:eastAsia="Arial" w:hAnsi="Arial"/>
          <w:sz w:val="18"/>
          <w:szCs w:val="18"/>
          <w:color w:val="auto"/>
        </w:rPr>
        <w:t>Form of 6.125% Senior Secured Notes due 2025 (included as Exhibit A to Exhibit 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635</wp:posOffset>
            </wp:positionV>
            <wp:extent cx="7132320" cy="4800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ind w:right="960"/>
        <w:spacing w:after="0" w:line="219" w:lineRule="auto"/>
        <w:rPr>
          <w:sz w:val="20"/>
          <w:szCs w:val="20"/>
          <w:color w:val="auto"/>
        </w:rPr>
      </w:pPr>
      <w:r>
        <w:rPr>
          <w:rFonts w:ascii="Arial" w:cs="Arial" w:eastAsia="Arial" w:hAnsi="Arial"/>
          <w:sz w:val="18"/>
          <w:szCs w:val="18"/>
          <w:color w:val="auto"/>
        </w:rPr>
        <w:t>Indenture, dated as of February 2, 2021, by and among Marriott Vacations Worldwide Corporation, Marriott Ownership Resorts, Inc. and the other guarantors party thereto and The Bank of New York Mellon Trust Company, N.A., as trustee</w:t>
      </w:r>
    </w:p>
    <w:p>
      <w:pPr>
        <w:spacing w:after="0" w:line="1" w:lineRule="exact"/>
        <w:rPr>
          <w:sz w:val="20"/>
          <w:szCs w:val="20"/>
          <w:color w:val="auto"/>
        </w:rPr>
      </w:pPr>
    </w:p>
    <w:p>
      <w:pPr>
        <w:ind w:right="1020"/>
        <w:spacing w:after="0" w:line="234" w:lineRule="auto"/>
        <w:rPr>
          <w:sz w:val="20"/>
          <w:szCs w:val="20"/>
          <w:color w:val="auto"/>
        </w:rPr>
      </w:pPr>
      <w:r>
        <w:rPr>
          <w:rFonts w:ascii="Arial" w:cs="Arial" w:eastAsia="Arial" w:hAnsi="Arial"/>
          <w:sz w:val="18"/>
          <w:szCs w:val="18"/>
          <w:color w:val="auto"/>
        </w:rPr>
        <w:t>Form of 0.00% Convertible Senior Note due 2026 (included as Exhibit A to Exhibit 4.12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635</wp:posOffset>
            </wp:positionV>
            <wp:extent cx="7132320" cy="4800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ind w:right="1100"/>
        <w:spacing w:after="0" w:line="219" w:lineRule="auto"/>
        <w:rPr>
          <w:sz w:val="20"/>
          <w:szCs w:val="20"/>
          <w:color w:val="auto"/>
        </w:rPr>
      </w:pPr>
      <w:r>
        <w:rPr>
          <w:rFonts w:ascii="Arial" w:cs="Arial" w:eastAsia="Arial" w:hAnsi="Arial"/>
          <w:sz w:val="18"/>
          <w:szCs w:val="18"/>
          <w:color w:val="auto"/>
        </w:rPr>
        <w:t>Indenture, dated as of June 21, 2021, by and among Marriott Ownership Resorts, Inc., Marriott Vacations Worldwide Corporation, as guarantor, the other guarantors party thereto and The Bank of New York Mellon Trust Company, N.A., as trustee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1/26/2021</w:t>
            </w:r>
          </w:p>
        </w:tc>
      </w:tr>
      <w:tr>
        <w:trPr>
          <w:trHeight w:val="635"/>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88"/>
              </w:rPr>
              <w:t>11/22/2011</w:t>
            </w:r>
          </w:p>
        </w:tc>
      </w:tr>
      <w:tr>
        <w:trPr>
          <w:trHeight w:val="432"/>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88"/>
              </w:rPr>
              <w:t>11/22/2011</w:t>
            </w:r>
          </w:p>
        </w:tc>
      </w:tr>
      <w:tr>
        <w:trPr>
          <w:trHeight w:val="418"/>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89"/>
              </w:rPr>
              <w:t>10</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0"/>
              </w:rPr>
              <w:t>10/14/2011</w:t>
            </w:r>
          </w:p>
        </w:tc>
      </w:tr>
      <w:tr>
        <w:trPr>
          <w:trHeight w:val="513"/>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4"/>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89"/>
              </w:rPr>
              <w:t>11/2/2017</w:t>
            </w:r>
          </w:p>
        </w:tc>
      </w:tr>
      <w:tr>
        <w:trPr>
          <w:trHeight w:val="513"/>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4"/>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89"/>
              </w:rPr>
              <w:t>11/2/2017</w:t>
            </w:r>
          </w:p>
        </w:tc>
      </w:tr>
      <w:tr>
        <w:trPr>
          <w:trHeight w:val="635"/>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91"/>
              </w:rPr>
              <w:t>9/5/2018</w:t>
            </w:r>
          </w:p>
        </w:tc>
      </w:tr>
      <w:tr>
        <w:trPr>
          <w:trHeight w:val="75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10/1/2019</w:t>
            </w:r>
          </w:p>
        </w:tc>
      </w:tr>
      <w:tr>
        <w:trPr>
          <w:trHeight w:val="675"/>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9"/>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91"/>
              </w:rPr>
              <w:t>3/2/2020</w:t>
            </w:r>
          </w:p>
        </w:tc>
      </w:tr>
      <w:tr>
        <w:trPr>
          <w:trHeight w:val="580"/>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9"/>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91"/>
              </w:rPr>
              <w:t>3/2/2020</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10/1/2019</w:t>
            </w:r>
          </w:p>
        </w:tc>
      </w:tr>
      <w:tr>
        <w:trPr>
          <w:trHeight w:val="499"/>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10/1/2019</w:t>
            </w:r>
          </w:p>
        </w:tc>
      </w:tr>
      <w:tr>
        <w:trPr>
          <w:trHeight w:val="662"/>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5/15/2020</w:t>
            </w:r>
          </w:p>
        </w:tc>
      </w:tr>
      <w:tr>
        <w:trPr>
          <w:trHeight w:val="58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5/15/2020</w:t>
            </w:r>
          </w:p>
        </w:tc>
      </w:tr>
      <w:tr>
        <w:trPr>
          <w:trHeight w:val="58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91"/>
              </w:rPr>
              <w:t>2/3/2021</w:t>
            </w:r>
          </w:p>
        </w:tc>
      </w:tr>
      <w:tr>
        <w:trPr>
          <w:trHeight w:val="58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91"/>
              </w:rPr>
              <w:t>2/3/2021</w:t>
            </w:r>
          </w:p>
        </w:tc>
      </w:tr>
      <w:tr>
        <w:trPr>
          <w:trHeight w:val="58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6/22/2021</w:t>
            </w:r>
          </w:p>
        </w:tc>
      </w:tr>
    </w:tbl>
    <w:p>
      <w:pPr>
        <w:spacing w:after="0" w:line="469" w:lineRule="exact"/>
        <w:rPr>
          <w:sz w:val="20"/>
          <w:szCs w:val="20"/>
          <w:color w:val="auto"/>
        </w:rPr>
      </w:pPr>
    </w:p>
    <w:p>
      <w:pPr>
        <w:sectPr>
          <w:pgSz w:w="11900" w:h="16838" w:orient="portrait"/>
          <w:cols w:equalWidth="0" w:num="3">
            <w:col w:w="660" w:space="440"/>
            <w:col w:w="6480" w:space="720"/>
            <w:col w:w="2940"/>
          </w:cols>
          <w:pgMar w:left="320" w:top="341" w:right="339" w:bottom="1440" w:gutter="0" w:footer="0" w:header="0"/>
          <w:type w:val="continuous"/>
        </w:sectPr>
      </w:pP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1980" w:type="dxa"/>
            <w:vAlign w:val="bottom"/>
            <w:vMerge w:val="restart"/>
          </w:tcPr>
          <w:p>
            <w:pPr>
              <w:jc w:val="center"/>
              <w:ind w:right="1299"/>
              <w:spacing w:after="0"/>
              <w:rPr>
                <w:sz w:val="20"/>
                <w:szCs w:val="20"/>
                <w:color w:val="auto"/>
              </w:rPr>
            </w:pPr>
            <w:r>
              <w:rPr>
                <w:rFonts w:ascii="Arial" w:cs="Arial" w:eastAsia="Arial" w:hAnsi="Arial"/>
                <w:sz w:val="16"/>
                <w:szCs w:val="16"/>
                <w:b w:val="1"/>
                <w:bCs w:val="1"/>
                <w:color w:val="auto"/>
                <w:w w:val="97"/>
              </w:rPr>
              <w:t>Exhibit</w:t>
            </w:r>
          </w:p>
        </w:tc>
        <w:tc>
          <w:tcPr>
            <w:tcW w:w="3560" w:type="dxa"/>
            <w:vAlign w:val="bottom"/>
          </w:tcPr>
          <w:p>
            <w:pPr>
              <w:spacing w:after="0"/>
              <w:rPr>
                <w:sz w:val="18"/>
                <w:szCs w:val="18"/>
                <w:color w:val="auto"/>
              </w:rPr>
            </w:pPr>
          </w:p>
        </w:tc>
        <w:tc>
          <w:tcPr>
            <w:tcW w:w="2280" w:type="dxa"/>
            <w:vAlign w:val="bottom"/>
            <w:vMerge w:val="restart"/>
          </w:tcPr>
          <w:p>
            <w:pPr>
              <w:jc w:val="center"/>
              <w:ind w:left="1039"/>
              <w:spacing w:after="0"/>
              <w:rPr>
                <w:sz w:val="20"/>
                <w:szCs w:val="20"/>
                <w:color w:val="auto"/>
              </w:rPr>
            </w:pPr>
            <w:r>
              <w:rPr>
                <w:rFonts w:ascii="Arial" w:cs="Arial" w:eastAsia="Arial" w:hAnsi="Arial"/>
                <w:sz w:val="16"/>
                <w:szCs w:val="16"/>
                <w:b w:val="1"/>
                <w:bCs w:val="1"/>
                <w:color w:val="auto"/>
                <w:w w:val="96"/>
              </w:rPr>
              <w:t>Filed</w:t>
            </w:r>
          </w:p>
        </w:tc>
        <w:tc>
          <w:tcPr>
            <w:tcW w:w="322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23"/>
        </w:trPr>
        <w:tc>
          <w:tcPr>
            <w:tcW w:w="1980" w:type="dxa"/>
            <w:vAlign w:val="bottom"/>
            <w:vMerge w:val="continue"/>
          </w:tcPr>
          <w:p>
            <w:pPr>
              <w:spacing w:after="0"/>
              <w:rPr>
                <w:sz w:val="2"/>
                <w:szCs w:val="2"/>
                <w:color w:val="auto"/>
              </w:rPr>
            </w:pPr>
          </w:p>
        </w:tc>
        <w:tc>
          <w:tcPr>
            <w:tcW w:w="3560" w:type="dxa"/>
            <w:vAlign w:val="bottom"/>
            <w:vMerge w:val="restart"/>
          </w:tcPr>
          <w:p>
            <w:pPr>
              <w:ind w:left="1380"/>
              <w:spacing w:after="0"/>
              <w:rPr>
                <w:sz w:val="20"/>
                <w:szCs w:val="20"/>
                <w:color w:val="auto"/>
              </w:rPr>
            </w:pPr>
            <w:r>
              <w:rPr>
                <w:rFonts w:ascii="Arial" w:cs="Arial" w:eastAsia="Arial" w:hAnsi="Arial"/>
                <w:sz w:val="16"/>
                <w:szCs w:val="16"/>
                <w:b w:val="1"/>
                <w:bCs w:val="1"/>
                <w:color w:val="auto"/>
              </w:rPr>
              <w:t>Description</w:t>
            </w:r>
          </w:p>
        </w:tc>
        <w:tc>
          <w:tcPr>
            <w:tcW w:w="2280" w:type="dxa"/>
            <w:vAlign w:val="bottom"/>
            <w:vMerge w:val="continue"/>
          </w:tcPr>
          <w:p>
            <w:pPr>
              <w:spacing w:after="0"/>
              <w:rPr>
                <w:sz w:val="2"/>
                <w:szCs w:val="2"/>
                <w:color w:val="auto"/>
              </w:rPr>
            </w:pPr>
          </w:p>
        </w:tc>
        <w:tc>
          <w:tcPr>
            <w:tcW w:w="92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Form</w:t>
            </w:r>
          </w:p>
        </w:tc>
        <w:tc>
          <w:tcPr>
            <w:tcW w:w="104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Exhibit</w:t>
            </w:r>
          </w:p>
        </w:tc>
        <w:tc>
          <w:tcPr>
            <w:tcW w:w="12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line="20" w:lineRule="exact"/>
              <w:rPr>
                <w:sz w:val="1"/>
                <w:szCs w:val="1"/>
                <w:color w:val="auto"/>
              </w:rPr>
            </w:pPr>
          </w:p>
        </w:tc>
      </w:tr>
      <w:tr>
        <w:trPr>
          <w:trHeight w:val="210"/>
        </w:trPr>
        <w:tc>
          <w:tcPr>
            <w:tcW w:w="1980" w:type="dxa"/>
            <w:vAlign w:val="bottom"/>
          </w:tcPr>
          <w:p>
            <w:pPr>
              <w:jc w:val="center"/>
              <w:ind w:right="1319"/>
              <w:spacing w:after="0"/>
              <w:rPr>
                <w:sz w:val="20"/>
                <w:szCs w:val="20"/>
                <w:color w:val="auto"/>
              </w:rPr>
            </w:pPr>
            <w:r>
              <w:rPr>
                <w:rFonts w:ascii="Arial" w:cs="Arial" w:eastAsia="Arial" w:hAnsi="Arial"/>
                <w:sz w:val="16"/>
                <w:szCs w:val="16"/>
                <w:b w:val="1"/>
                <w:bCs w:val="1"/>
                <w:color w:val="auto"/>
                <w:w w:val="95"/>
              </w:rPr>
              <w:t>Number</w:t>
            </w:r>
          </w:p>
        </w:tc>
        <w:tc>
          <w:tcPr>
            <w:tcW w:w="3560" w:type="dxa"/>
            <w:vAlign w:val="bottom"/>
            <w:vMerge w:val="continue"/>
          </w:tcPr>
          <w:p>
            <w:pPr>
              <w:spacing w:after="0"/>
              <w:rPr>
                <w:sz w:val="18"/>
                <w:szCs w:val="18"/>
                <w:color w:val="auto"/>
              </w:rPr>
            </w:pPr>
          </w:p>
        </w:tc>
        <w:tc>
          <w:tcPr>
            <w:tcW w:w="2280" w:type="dxa"/>
            <w:vAlign w:val="bottom"/>
          </w:tcPr>
          <w:p>
            <w:pPr>
              <w:jc w:val="center"/>
              <w:ind w:left="1039"/>
              <w:spacing w:after="0"/>
              <w:rPr>
                <w:sz w:val="20"/>
                <w:szCs w:val="20"/>
                <w:color w:val="auto"/>
              </w:rPr>
            </w:pPr>
            <w:r>
              <w:rPr>
                <w:rFonts w:ascii="Arial" w:cs="Arial" w:eastAsia="Arial" w:hAnsi="Arial"/>
                <w:sz w:val="16"/>
                <w:szCs w:val="16"/>
                <w:b w:val="1"/>
                <w:bCs w:val="1"/>
                <w:color w:val="auto"/>
                <w:w w:val="94"/>
              </w:rPr>
              <w:t>Herewith</w:t>
            </w:r>
          </w:p>
        </w:tc>
        <w:tc>
          <w:tcPr>
            <w:tcW w:w="9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41" w:right="339" w:bottom="1440" w:gutter="0" w:footer="0" w:header="0"/>
        </w:sectPr>
      </w:pPr>
    </w:p>
    <w:tbl>
      <w:tblPr>
        <w:tblLayout w:type="fixed"/>
        <w:tblInd w:w="340" w:type="dxa"/>
        <w:tblCellMar>
          <w:top w:w="0" w:type="dxa"/>
          <w:left w:w="0" w:type="dxa"/>
          <w:bottom w:w="0" w:type="dxa"/>
          <w:right w:w="0" w:type="dxa"/>
        </w:tblCellMar>
      </w:tblPr>
      <w:tr>
        <w:trPr>
          <w:trHeight w:val="181"/>
        </w:trPr>
        <w:tc>
          <w:tcPr>
            <w:tcW w:w="540" w:type="dxa"/>
            <w:vAlign w:val="bottom"/>
            <w:gridSpan w:val="2"/>
            <w:vMerge w:val="restart"/>
          </w:tcPr>
          <w:p>
            <w:pPr>
              <w:jc w:val="right"/>
              <w:ind w:right="220"/>
              <w:spacing w:after="0"/>
              <w:rPr>
                <w:rFonts w:ascii="Arial" w:cs="Arial" w:eastAsia="Arial" w:hAnsi="Arial"/>
                <w:sz w:val="18"/>
                <w:szCs w:val="18"/>
                <w:color w:val="0000FF"/>
                <w:w w:val="85"/>
              </w:rPr>
            </w:pPr>
            <w:hyperlink r:id="rId148">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15</w:t>
              </w:r>
            </w:hyperlink>
          </w:p>
        </w:tc>
        <w:tc>
          <w:tcPr>
            <w:tcW w:w="5940" w:type="dxa"/>
            <w:vAlign w:val="bottom"/>
          </w:tcPr>
          <w:p>
            <w:pPr>
              <w:ind w:left="220"/>
              <w:spacing w:after="0" w:line="182" w:lineRule="exact"/>
              <w:rPr>
                <w:sz w:val="20"/>
                <w:szCs w:val="20"/>
                <w:color w:val="auto"/>
              </w:rPr>
            </w:pPr>
            <w:r>
              <w:rPr>
                <w:rFonts w:ascii="Arial" w:cs="Arial" w:eastAsia="Arial" w:hAnsi="Arial"/>
                <w:sz w:val="18"/>
                <w:szCs w:val="18"/>
                <w:color w:val="auto"/>
                <w:w w:val="92"/>
              </w:rPr>
              <w:t>Form of 4.500% Senior Notes due 2029 (included as Exhibit A to Exhibit 4.14</w:t>
            </w:r>
          </w:p>
        </w:tc>
        <w:tc>
          <w:tcPr>
            <w:tcW w:w="0" w:type="dxa"/>
            <w:vAlign w:val="bottom"/>
          </w:tcPr>
          <w:p>
            <w:pPr>
              <w:spacing w:after="0"/>
              <w:rPr>
                <w:sz w:val="1"/>
                <w:szCs w:val="1"/>
                <w:color w:val="auto"/>
              </w:rPr>
            </w:pPr>
          </w:p>
        </w:tc>
      </w:tr>
      <w:tr>
        <w:trPr>
          <w:trHeight w:val="94"/>
        </w:trPr>
        <w:tc>
          <w:tcPr>
            <w:tcW w:w="540" w:type="dxa"/>
            <w:vAlign w:val="bottom"/>
            <w:gridSpan w:val="2"/>
            <w:vMerge w:val="continue"/>
          </w:tcPr>
          <w:p>
            <w:pPr>
              <w:spacing w:after="0"/>
              <w:rPr>
                <w:sz w:val="8"/>
                <w:szCs w:val="8"/>
                <w:color w:val="auto"/>
              </w:rPr>
            </w:pPr>
          </w:p>
        </w:tc>
        <w:tc>
          <w:tcPr>
            <w:tcW w:w="5940" w:type="dxa"/>
            <w:vAlign w:val="bottom"/>
            <w:vMerge w:val="restart"/>
          </w:tcPr>
          <w:p>
            <w:pPr>
              <w:ind w:left="220"/>
              <w:spacing w:after="0"/>
              <w:rPr>
                <w:sz w:val="20"/>
                <w:szCs w:val="20"/>
                <w:color w:val="auto"/>
              </w:rPr>
            </w:pPr>
            <w:r>
              <w:rPr>
                <w:rFonts w:ascii="Arial" w:cs="Arial" w:eastAsia="Arial" w:hAnsi="Arial"/>
                <w:sz w:val="18"/>
                <w:szCs w:val="18"/>
                <w:color w:val="auto"/>
              </w:rPr>
              <w:t>above)</w:t>
            </w:r>
          </w:p>
        </w:tc>
        <w:tc>
          <w:tcPr>
            <w:tcW w:w="0" w:type="dxa"/>
            <w:vAlign w:val="bottom"/>
          </w:tcPr>
          <w:p>
            <w:pPr>
              <w:spacing w:after="0"/>
              <w:rPr>
                <w:sz w:val="1"/>
                <w:szCs w:val="1"/>
                <w:color w:val="auto"/>
              </w:rPr>
            </w:pPr>
          </w:p>
        </w:tc>
      </w:tr>
      <w:tr>
        <w:trPr>
          <w:trHeight w:val="114"/>
        </w:trPr>
        <w:tc>
          <w:tcPr>
            <w:tcW w:w="320" w:type="dxa"/>
            <w:vAlign w:val="bottom"/>
            <w:tcBorders>
              <w:top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540" w:type="dxa"/>
            <w:vAlign w:val="bottom"/>
            <w:gridSpan w:val="2"/>
          </w:tcPr>
          <w:p>
            <w:pPr>
              <w:jc w:val="right"/>
              <w:ind w:right="220"/>
              <w:spacing w:after="0" w:line="190" w:lineRule="exact"/>
              <w:rPr>
                <w:rFonts w:ascii="Arial" w:cs="Arial" w:eastAsia="Arial" w:hAnsi="Arial"/>
                <w:sz w:val="18"/>
                <w:szCs w:val="18"/>
                <w:color w:val="0000FF"/>
                <w:w w:val="85"/>
              </w:rPr>
            </w:pPr>
            <w:hyperlink r:id="rId149">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16</w:t>
              </w:r>
            </w:hyperlink>
          </w:p>
        </w:tc>
        <w:tc>
          <w:tcPr>
            <w:tcW w:w="5940" w:type="dxa"/>
            <w:vAlign w:val="bottom"/>
          </w:tcPr>
          <w:p>
            <w:pPr>
              <w:ind w:left="220"/>
              <w:spacing w:after="0" w:line="190" w:lineRule="exact"/>
              <w:rPr>
                <w:sz w:val="20"/>
                <w:szCs w:val="20"/>
                <w:color w:val="auto"/>
              </w:rPr>
            </w:pPr>
            <w:r>
              <w:rPr>
                <w:rFonts w:ascii="Arial" w:cs="Arial" w:eastAsia="Arial" w:hAnsi="Arial"/>
                <w:sz w:val="18"/>
                <w:szCs w:val="18"/>
                <w:color w:val="auto"/>
              </w:rPr>
              <w:t>Description of Registered Securities</w:t>
            </w:r>
          </w:p>
        </w:tc>
        <w:tc>
          <w:tcPr>
            <w:tcW w:w="0" w:type="dxa"/>
            <w:vAlign w:val="bottom"/>
          </w:tcPr>
          <w:p>
            <w:pPr>
              <w:spacing w:after="0"/>
              <w:rPr>
                <w:sz w:val="1"/>
                <w:szCs w:val="1"/>
                <w:color w:val="auto"/>
              </w:rPr>
            </w:pPr>
          </w:p>
        </w:tc>
      </w:tr>
      <w:tr>
        <w:trPr>
          <w:trHeight w:val="211"/>
        </w:trPr>
        <w:tc>
          <w:tcPr>
            <w:tcW w:w="32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1"/>
              </w:rPr>
              <w:t>Waiver to Credit Agreement, dated as of May 14, 2020, by and among Marriott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60"/>
        </w:trPr>
        <w:tc>
          <w:tcPr>
            <w:tcW w:w="540" w:type="dxa"/>
            <w:vAlign w:val="bottom"/>
            <w:gridSpan w:val="2"/>
            <w:vMerge w:val="restart"/>
          </w:tcPr>
          <w:p>
            <w:pPr>
              <w:jc w:val="right"/>
              <w:ind w:right="220"/>
              <w:spacing w:after="0"/>
              <w:rPr>
                <w:rFonts w:ascii="Arial" w:cs="Arial" w:eastAsia="Arial" w:hAnsi="Arial"/>
                <w:sz w:val="18"/>
                <w:szCs w:val="18"/>
                <w:color w:val="0000FF"/>
                <w:w w:val="85"/>
              </w:rPr>
            </w:pPr>
            <w:hyperlink r:id="rId15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5720" w:type="dxa"/>
            <w:vAlign w:val="bottom"/>
          </w:tcPr>
          <w:p>
            <w:pPr>
              <w:ind w:left="220"/>
              <w:spacing w:after="0" w:line="160" w:lineRule="exact"/>
              <w:rPr>
                <w:sz w:val="20"/>
                <w:szCs w:val="20"/>
                <w:color w:val="auto"/>
              </w:rPr>
            </w:pPr>
            <w:r>
              <w:rPr>
                <w:rFonts w:ascii="Arial" w:cs="Arial" w:eastAsia="Arial" w:hAnsi="Arial"/>
                <w:sz w:val="18"/>
                <w:szCs w:val="18"/>
                <w:color w:val="auto"/>
                <w:w w:val="96"/>
              </w:rPr>
              <w:t>Vacations Worldwide Corporation, Marriott Ownership Resorts, Inc., the</w:t>
            </w:r>
          </w:p>
        </w:tc>
        <w:tc>
          <w:tcPr>
            <w:tcW w:w="0" w:type="dxa"/>
            <w:vAlign w:val="bottom"/>
          </w:tcPr>
          <w:p>
            <w:pPr>
              <w:spacing w:after="0"/>
              <w:rPr>
                <w:sz w:val="1"/>
                <w:szCs w:val="1"/>
                <w:color w:val="auto"/>
              </w:rPr>
            </w:pPr>
          </w:p>
        </w:tc>
      </w:tr>
      <w:tr>
        <w:trPr>
          <w:trHeight w:val="94"/>
        </w:trPr>
        <w:tc>
          <w:tcPr>
            <w:tcW w:w="540" w:type="dxa"/>
            <w:vAlign w:val="bottom"/>
            <w:gridSpan w:val="2"/>
            <w:vMerge w:val="continue"/>
          </w:tcPr>
          <w:p>
            <w:pPr>
              <w:spacing w:after="0"/>
              <w:rPr>
                <w:sz w:val="8"/>
                <w:szCs w:val="8"/>
                <w:color w:val="auto"/>
              </w:rPr>
            </w:pPr>
          </w:p>
        </w:tc>
        <w:tc>
          <w:tcPr>
            <w:tcW w:w="5720" w:type="dxa"/>
            <w:vAlign w:val="bottom"/>
            <w:vMerge w:val="restart"/>
          </w:tcPr>
          <w:p>
            <w:pPr>
              <w:ind w:left="220"/>
              <w:spacing w:after="0" w:line="176" w:lineRule="exact"/>
              <w:rPr>
                <w:sz w:val="20"/>
                <w:szCs w:val="20"/>
                <w:color w:val="auto"/>
              </w:rPr>
            </w:pPr>
            <w:r>
              <w:rPr>
                <w:rFonts w:ascii="Arial" w:cs="Arial" w:eastAsia="Arial" w:hAnsi="Arial"/>
                <w:sz w:val="18"/>
                <w:szCs w:val="18"/>
                <w:color w:val="auto"/>
                <w:w w:val="90"/>
              </w:rPr>
              <w:t>Revolving Credit Lenders party thereto and JPMorgan Chase Bank, N.A., as</w:t>
            </w:r>
          </w:p>
        </w:tc>
        <w:tc>
          <w:tcPr>
            <w:tcW w:w="0" w:type="dxa"/>
            <w:vAlign w:val="bottom"/>
          </w:tcPr>
          <w:p>
            <w:pPr>
              <w:spacing w:after="0"/>
              <w:rPr>
                <w:sz w:val="1"/>
                <w:szCs w:val="1"/>
                <w:color w:val="auto"/>
              </w:rPr>
            </w:pPr>
          </w:p>
        </w:tc>
      </w:tr>
      <w:tr>
        <w:trPr>
          <w:trHeight w:val="61"/>
        </w:trPr>
        <w:tc>
          <w:tcPr>
            <w:tcW w:w="320" w:type="dxa"/>
            <w:vAlign w:val="bottom"/>
            <w:tcBorders>
              <w:top w:val="single" w:sz="8" w:color="0000FF"/>
            </w:tcBorders>
          </w:tcPr>
          <w:p>
            <w:pPr>
              <w:spacing w:after="0"/>
              <w:rPr>
                <w:sz w:val="5"/>
                <w:szCs w:val="5"/>
                <w:color w:val="auto"/>
              </w:rPr>
            </w:pPr>
          </w:p>
        </w:tc>
        <w:tc>
          <w:tcPr>
            <w:tcW w:w="220" w:type="dxa"/>
            <w:vAlign w:val="bottom"/>
          </w:tcPr>
          <w:p>
            <w:pPr>
              <w:spacing w:after="0"/>
              <w:rPr>
                <w:sz w:val="5"/>
                <w:szCs w:val="5"/>
                <w:color w:val="auto"/>
              </w:rPr>
            </w:pPr>
          </w:p>
        </w:tc>
        <w:tc>
          <w:tcPr>
            <w:tcW w:w="5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administrative 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40"/>
        <w:spacing w:after="0"/>
        <w:tabs>
          <w:tab w:leader="none" w:pos="1020" w:val="left"/>
          <w:tab w:leader="none" w:pos="19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6/22/2021</w:t>
      </w:r>
    </w:p>
    <w:p>
      <w:pPr>
        <w:spacing w:after="0" w:line="117" w:lineRule="exact"/>
        <w:rPr>
          <w:sz w:val="20"/>
          <w:szCs w:val="20"/>
          <w:color w:val="auto"/>
        </w:rPr>
      </w:pPr>
    </w:p>
    <w:p>
      <w:pPr>
        <w:spacing w:after="0"/>
        <w:tabs>
          <w:tab w:leader="none" w:pos="980" w:val="left"/>
          <w:tab w:leader="none" w:pos="19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3/2/2020</w:t>
      </w:r>
    </w:p>
    <w:p>
      <w:pPr>
        <w:spacing w:after="0" w:line="279" w:lineRule="exact"/>
        <w:rPr>
          <w:sz w:val="20"/>
          <w:szCs w:val="20"/>
          <w:color w:val="auto"/>
        </w:rPr>
      </w:pPr>
    </w:p>
    <w:p>
      <w:pPr>
        <w:ind w:left="40"/>
        <w:spacing w:after="0"/>
        <w:tabs>
          <w:tab w:leader="none" w:pos="1020" w:val="left"/>
          <w:tab w:leader="none" w:pos="19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5/15/2020</w:t>
      </w:r>
    </w:p>
    <w:p>
      <w:pPr>
        <w:spacing w:after="0" w:line="294" w:lineRule="exact"/>
        <w:rPr>
          <w:sz w:val="20"/>
          <w:szCs w:val="20"/>
          <w:color w:val="auto"/>
        </w:rPr>
      </w:pPr>
    </w:p>
    <w:p>
      <w:pPr>
        <w:sectPr>
          <w:pgSz w:w="11900" w:h="16838" w:orient="portrait"/>
          <w:cols w:equalWidth="0" w:num="2">
            <w:col w:w="7580" w:space="720"/>
            <w:col w:w="2940"/>
          </w:cols>
          <w:pgMar w:left="320" w:top="341"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880" w:type="dxa"/>
            <w:vAlign w:val="bottom"/>
            <w:gridSpan w:val="3"/>
            <w:shd w:val="clear" w:color="auto" w:fill="CCEEFF"/>
          </w:tcPr>
          <w:p>
            <w:pPr>
              <w:jc w:val="right"/>
              <w:ind w:right="220"/>
              <w:spacing w:after="0" w:line="189" w:lineRule="exact"/>
              <w:rPr>
                <w:rFonts w:ascii="Arial" w:cs="Arial" w:eastAsia="Arial" w:hAnsi="Arial"/>
                <w:sz w:val="18"/>
                <w:szCs w:val="18"/>
                <w:color w:val="0000FF"/>
              </w:rPr>
            </w:pPr>
            <w:hyperlink r:id="rId152">
              <w:r>
                <w:rPr>
                  <w:rFonts w:ascii="Arial" w:cs="Arial" w:eastAsia="Arial" w:hAnsi="Arial"/>
                  <w:sz w:val="18"/>
                  <w:szCs w:val="18"/>
                  <w:color w:val="0000FF"/>
                </w:rPr>
                <w:t>22.</w:t>
              </w:r>
              <w:r>
                <w:rPr>
                  <w:rFonts w:ascii="Arial" w:cs="Arial" w:eastAsia="Arial" w:hAnsi="Arial"/>
                  <w:sz w:val="18"/>
                  <w:szCs w:val="18"/>
                  <w:u w:val="single" w:color="auto"/>
                  <w:color w:val="0000FF"/>
                </w:rPr>
                <w:t>1</w:t>
              </w:r>
            </w:hyperlink>
          </w:p>
        </w:tc>
        <w:tc>
          <w:tcPr>
            <w:tcW w:w="60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List of the Issuer and its Guarantor Subsidiaries</w:t>
            </w:r>
          </w:p>
        </w:tc>
        <w:tc>
          <w:tcPr>
            <w:tcW w:w="2080" w:type="dxa"/>
            <w:vAlign w:val="bottom"/>
            <w:shd w:val="clear" w:color="auto" w:fill="CCEEFF"/>
          </w:tcPr>
          <w:p>
            <w:pPr>
              <w:ind w:left="1400"/>
              <w:spacing w:after="0" w:line="189" w:lineRule="exact"/>
              <w:rPr>
                <w:sz w:val="20"/>
                <w:szCs w:val="20"/>
                <w:color w:val="auto"/>
              </w:rPr>
            </w:pPr>
            <w:r>
              <w:rPr>
                <w:rFonts w:ascii="Arial" w:cs="Arial" w:eastAsia="Arial" w:hAnsi="Arial"/>
                <w:sz w:val="18"/>
                <w:szCs w:val="18"/>
                <w:color w:val="auto"/>
              </w:rPr>
              <w:t>10-Q</w:t>
            </w:r>
          </w:p>
        </w:tc>
        <w:tc>
          <w:tcPr>
            <w:tcW w:w="940" w:type="dxa"/>
            <w:vAlign w:val="bottom"/>
            <w:shd w:val="clear" w:color="auto" w:fill="CCEEFF"/>
          </w:tcPr>
          <w:p>
            <w:pPr>
              <w:jc w:val="right"/>
              <w:ind w:right="210"/>
              <w:spacing w:after="0" w:line="189" w:lineRule="exact"/>
              <w:rPr>
                <w:sz w:val="20"/>
                <w:szCs w:val="20"/>
                <w:color w:val="auto"/>
              </w:rPr>
            </w:pPr>
            <w:r>
              <w:rPr>
                <w:rFonts w:ascii="Arial" w:cs="Arial" w:eastAsia="Arial" w:hAnsi="Arial"/>
                <w:sz w:val="18"/>
                <w:szCs w:val="18"/>
                <w:color w:val="auto"/>
              </w:rPr>
              <w:t>22.1</w:t>
            </w:r>
          </w:p>
        </w:tc>
        <w:tc>
          <w:tcPr>
            <w:tcW w:w="1320" w:type="dxa"/>
            <w:vAlign w:val="bottom"/>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11/5/2020</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gridSpan w:val="3"/>
            <w:vMerge w:val="restart"/>
          </w:tcPr>
          <w:p>
            <w:pPr>
              <w:jc w:val="right"/>
              <w:ind w:right="220"/>
              <w:spacing w:after="0"/>
              <w:rPr>
                <w:rFonts w:ascii="Arial" w:cs="Arial" w:eastAsia="Arial" w:hAnsi="Arial"/>
                <w:sz w:val="18"/>
                <w:szCs w:val="18"/>
                <w:color w:val="0000FF"/>
              </w:rPr>
            </w:pPr>
            <w:hyperlink w:anchor="page85">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6020" w:type="dxa"/>
            <w:vAlign w:val="bottom"/>
          </w:tcPr>
          <w:p>
            <w:pPr>
              <w:ind w:left="220"/>
              <w:spacing w:after="0" w:line="176" w:lineRule="exact"/>
              <w:rPr>
                <w:sz w:val="20"/>
                <w:szCs w:val="20"/>
                <w:color w:val="auto"/>
              </w:rPr>
            </w:pPr>
            <w:r>
              <w:rPr>
                <w:rFonts w:ascii="Arial" w:cs="Arial" w:eastAsia="Arial" w:hAnsi="Arial"/>
                <w:sz w:val="18"/>
                <w:szCs w:val="18"/>
                <w:color w:val="auto"/>
              </w:rPr>
              <w:t>Certification of Chief Executive Officer pursuant to Rule 13a-14(a) of the</w:t>
            </w:r>
          </w:p>
        </w:tc>
        <w:tc>
          <w:tcPr>
            <w:tcW w:w="2080" w:type="dxa"/>
            <w:vAlign w:val="bottom"/>
            <w:vMerge w:val="restart"/>
          </w:tcPr>
          <w:p>
            <w:pPr>
              <w:ind w:left="480"/>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880" w:type="dxa"/>
            <w:vAlign w:val="bottom"/>
            <w:gridSpan w:val="3"/>
            <w:vMerge w:val="continue"/>
          </w:tcPr>
          <w:p>
            <w:pPr>
              <w:spacing w:after="0"/>
              <w:rPr>
                <w:sz w:val="8"/>
                <w:szCs w:val="8"/>
                <w:color w:val="auto"/>
              </w:rPr>
            </w:pPr>
          </w:p>
        </w:tc>
        <w:tc>
          <w:tcPr>
            <w:tcW w:w="6020" w:type="dxa"/>
            <w:vAlign w:val="bottom"/>
            <w:vMerge w:val="restart"/>
          </w:tcPr>
          <w:p>
            <w:pPr>
              <w:ind w:left="220"/>
              <w:spacing w:after="0"/>
              <w:rPr>
                <w:sz w:val="20"/>
                <w:szCs w:val="20"/>
                <w:color w:val="auto"/>
              </w:rPr>
            </w:pPr>
            <w:r>
              <w:rPr>
                <w:rFonts w:ascii="Arial" w:cs="Arial" w:eastAsia="Arial" w:hAnsi="Arial"/>
                <w:sz w:val="18"/>
                <w:szCs w:val="18"/>
                <w:color w:val="auto"/>
              </w:rPr>
              <w:t>Securities Exchange Act of 1934</w:t>
            </w:r>
          </w:p>
        </w:tc>
        <w:tc>
          <w:tcPr>
            <w:tcW w:w="20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20" w:type="dxa"/>
            <w:vAlign w:val="bottom"/>
          </w:tcPr>
          <w:p>
            <w:pPr>
              <w:spacing w:after="0"/>
              <w:rPr>
                <w:sz w:val="10"/>
                <w:szCs w:val="10"/>
                <w:color w:val="auto"/>
              </w:rPr>
            </w:pPr>
          </w:p>
        </w:tc>
        <w:tc>
          <w:tcPr>
            <w:tcW w:w="6020" w:type="dxa"/>
            <w:vAlign w:val="bottom"/>
            <w:vMerge w:val="continue"/>
          </w:tcPr>
          <w:p>
            <w:pPr>
              <w:spacing w:after="0"/>
              <w:rPr>
                <w:sz w:val="10"/>
                <w:szCs w:val="10"/>
                <w:color w:val="auto"/>
              </w:rPr>
            </w:pPr>
          </w:p>
        </w:tc>
        <w:tc>
          <w:tcPr>
            <w:tcW w:w="2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tbl>
      <w:tblPr>
        <w:tblLayout w:type="fixed"/>
        <w:tblInd w:w="340" w:type="dxa"/>
        <w:tblCellMar>
          <w:top w:w="0" w:type="dxa"/>
          <w:left w:w="0" w:type="dxa"/>
          <w:bottom w:w="0" w:type="dxa"/>
          <w:right w:w="0" w:type="dxa"/>
        </w:tblCellMar>
      </w:tblPr>
      <w:tr>
        <w:trPr>
          <w:trHeight w:val="175"/>
        </w:trPr>
        <w:tc>
          <w:tcPr>
            <w:tcW w:w="540" w:type="dxa"/>
            <w:vAlign w:val="bottom"/>
            <w:gridSpan w:val="2"/>
            <w:vMerge w:val="restart"/>
          </w:tcPr>
          <w:p>
            <w:pPr>
              <w:jc w:val="right"/>
              <w:ind w:right="220"/>
              <w:spacing w:after="0"/>
              <w:rPr>
                <w:rFonts w:ascii="Arial" w:cs="Arial" w:eastAsia="Arial" w:hAnsi="Arial"/>
                <w:sz w:val="18"/>
                <w:szCs w:val="18"/>
                <w:color w:val="0000FF"/>
                <w:w w:val="85"/>
              </w:rPr>
            </w:pPr>
            <w:hyperlink w:anchor="page8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000" w:type="dxa"/>
            <w:vAlign w:val="bottom"/>
          </w:tcPr>
          <w:p>
            <w:pPr>
              <w:ind w:left="220"/>
              <w:spacing w:after="0" w:line="175" w:lineRule="exact"/>
              <w:rPr>
                <w:sz w:val="20"/>
                <w:szCs w:val="20"/>
                <w:color w:val="auto"/>
              </w:rPr>
            </w:pPr>
            <w:r>
              <w:rPr>
                <w:rFonts w:ascii="Arial" w:cs="Arial" w:eastAsia="Arial" w:hAnsi="Arial"/>
                <w:sz w:val="18"/>
                <w:szCs w:val="18"/>
                <w:color w:val="auto"/>
              </w:rPr>
              <w:t>Certification of Chief Financial Officer pursuant to Rule 13a-14(a) of the</w:t>
            </w:r>
          </w:p>
        </w:tc>
        <w:tc>
          <w:tcPr>
            <w:tcW w:w="620" w:type="dxa"/>
            <w:vAlign w:val="bottom"/>
            <w:vMerge w:val="restart"/>
          </w:tcPr>
          <w:p>
            <w:pPr>
              <w:ind w:left="5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94"/>
        </w:trPr>
        <w:tc>
          <w:tcPr>
            <w:tcW w:w="540" w:type="dxa"/>
            <w:vAlign w:val="bottom"/>
            <w:gridSpan w:val="2"/>
            <w:vMerge w:val="continue"/>
          </w:tcPr>
          <w:p>
            <w:pPr>
              <w:spacing w:after="0"/>
              <w:rPr>
                <w:sz w:val="8"/>
                <w:szCs w:val="8"/>
                <w:color w:val="auto"/>
              </w:rPr>
            </w:pPr>
          </w:p>
        </w:tc>
        <w:tc>
          <w:tcPr>
            <w:tcW w:w="6000" w:type="dxa"/>
            <w:vAlign w:val="bottom"/>
            <w:vMerge w:val="restart"/>
          </w:tcPr>
          <w:p>
            <w:pPr>
              <w:ind w:left="220"/>
              <w:spacing w:after="0"/>
              <w:rPr>
                <w:sz w:val="20"/>
                <w:szCs w:val="20"/>
                <w:color w:val="auto"/>
              </w:rPr>
            </w:pPr>
            <w:r>
              <w:rPr>
                <w:rFonts w:ascii="Arial" w:cs="Arial" w:eastAsia="Arial" w:hAnsi="Arial"/>
                <w:sz w:val="18"/>
                <w:szCs w:val="18"/>
                <w:color w:val="auto"/>
              </w:rPr>
              <w:t>Securities Exchange Act of 1934</w:t>
            </w: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20" w:type="dxa"/>
            <w:vAlign w:val="bottom"/>
            <w:tcBorders>
              <w:top w:val="single" w:sz="8" w:color="0000FF"/>
            </w:tcBorders>
          </w:tcPr>
          <w:p>
            <w:pPr>
              <w:spacing w:after="0"/>
              <w:rPr>
                <w:sz w:val="10"/>
                <w:szCs w:val="10"/>
                <w:color w:val="auto"/>
              </w:rPr>
            </w:pPr>
          </w:p>
        </w:tc>
        <w:tc>
          <w:tcPr>
            <w:tcW w:w="220" w:type="dxa"/>
            <w:vAlign w:val="bottom"/>
          </w:tcPr>
          <w:p>
            <w:pPr>
              <w:spacing w:after="0"/>
              <w:rPr>
                <w:sz w:val="10"/>
                <w:szCs w:val="10"/>
                <w:color w:val="auto"/>
              </w:rPr>
            </w:pPr>
          </w:p>
        </w:tc>
        <w:tc>
          <w:tcPr>
            <w:tcW w:w="60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540" w:type="dxa"/>
            <w:vAlign w:val="bottom"/>
            <w:gridSpan w:val="2"/>
            <w:vMerge w:val="restart"/>
          </w:tcPr>
          <w:p>
            <w:pPr>
              <w:jc w:val="right"/>
              <w:ind w:right="220"/>
              <w:spacing w:after="0"/>
              <w:rPr>
                <w:rFonts w:ascii="Arial" w:cs="Arial" w:eastAsia="Arial" w:hAnsi="Arial"/>
                <w:sz w:val="18"/>
                <w:szCs w:val="18"/>
                <w:color w:val="0000FF"/>
                <w:w w:val="85"/>
              </w:rPr>
            </w:pPr>
            <w:hyperlink w:anchor="page87">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5400" w:type="dxa"/>
            <w:vAlign w:val="bottom"/>
          </w:tcPr>
          <w:p>
            <w:pPr>
              <w:ind w:left="220"/>
              <w:spacing w:after="0" w:line="175" w:lineRule="exact"/>
              <w:rPr>
                <w:sz w:val="20"/>
                <w:szCs w:val="20"/>
                <w:color w:val="auto"/>
              </w:rPr>
            </w:pPr>
            <w:r>
              <w:rPr>
                <w:rFonts w:ascii="Arial" w:cs="Arial" w:eastAsia="Arial" w:hAnsi="Arial"/>
                <w:sz w:val="18"/>
                <w:szCs w:val="18"/>
                <w:color w:val="auto"/>
                <w:w w:val="92"/>
              </w:rPr>
              <w:t>Certification of Chief Executive Officer pursuant to Rule 13a-14(b) and</w:t>
            </w:r>
          </w:p>
        </w:tc>
        <w:tc>
          <w:tcPr>
            <w:tcW w:w="0" w:type="dxa"/>
            <w:vAlign w:val="bottom"/>
          </w:tcPr>
          <w:p>
            <w:pPr>
              <w:spacing w:after="0"/>
              <w:rPr>
                <w:sz w:val="1"/>
                <w:szCs w:val="1"/>
                <w:color w:val="auto"/>
              </w:rPr>
            </w:pPr>
          </w:p>
        </w:tc>
      </w:tr>
      <w:tr>
        <w:trPr>
          <w:trHeight w:val="94"/>
        </w:trPr>
        <w:tc>
          <w:tcPr>
            <w:tcW w:w="540" w:type="dxa"/>
            <w:vAlign w:val="bottom"/>
            <w:gridSpan w:val="2"/>
            <w:vMerge w:val="continue"/>
          </w:tcPr>
          <w:p>
            <w:pPr>
              <w:spacing w:after="0"/>
              <w:rPr>
                <w:sz w:val="8"/>
                <w:szCs w:val="8"/>
                <w:color w:val="auto"/>
              </w:rPr>
            </w:pPr>
          </w:p>
        </w:tc>
        <w:tc>
          <w:tcPr>
            <w:tcW w:w="5400" w:type="dxa"/>
            <w:vAlign w:val="bottom"/>
            <w:vMerge w:val="restart"/>
          </w:tcPr>
          <w:p>
            <w:pPr>
              <w:ind w:left="22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114"/>
        </w:trPr>
        <w:tc>
          <w:tcPr>
            <w:tcW w:w="320" w:type="dxa"/>
            <w:vAlign w:val="bottom"/>
            <w:tcBorders>
              <w:top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5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540" w:type="dxa"/>
            <w:vAlign w:val="bottom"/>
            <w:gridSpan w:val="2"/>
            <w:vMerge w:val="restart"/>
          </w:tcPr>
          <w:p>
            <w:pPr>
              <w:jc w:val="right"/>
              <w:ind w:right="220"/>
              <w:spacing w:after="0"/>
              <w:rPr>
                <w:rFonts w:ascii="Arial" w:cs="Arial" w:eastAsia="Arial" w:hAnsi="Arial"/>
                <w:sz w:val="18"/>
                <w:szCs w:val="18"/>
                <w:color w:val="0000FF"/>
                <w:w w:val="85"/>
              </w:rPr>
            </w:pPr>
            <w:hyperlink w:anchor="page88">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5400" w:type="dxa"/>
            <w:vAlign w:val="bottom"/>
          </w:tcPr>
          <w:p>
            <w:pPr>
              <w:ind w:left="220"/>
              <w:spacing w:after="0" w:line="176" w:lineRule="exact"/>
              <w:rPr>
                <w:sz w:val="20"/>
                <w:szCs w:val="20"/>
                <w:color w:val="auto"/>
              </w:rPr>
            </w:pPr>
            <w:r>
              <w:rPr>
                <w:rFonts w:ascii="Arial" w:cs="Arial" w:eastAsia="Arial" w:hAnsi="Arial"/>
                <w:sz w:val="18"/>
                <w:szCs w:val="18"/>
                <w:color w:val="auto"/>
                <w:w w:val="93"/>
              </w:rPr>
              <w:t>Certification of Chief Financial Officer pursuant to Rule 13a-14(b) and</w:t>
            </w:r>
          </w:p>
        </w:tc>
        <w:tc>
          <w:tcPr>
            <w:tcW w:w="0" w:type="dxa"/>
            <w:vAlign w:val="bottom"/>
          </w:tcPr>
          <w:p>
            <w:pPr>
              <w:spacing w:after="0"/>
              <w:rPr>
                <w:sz w:val="1"/>
                <w:szCs w:val="1"/>
                <w:color w:val="auto"/>
              </w:rPr>
            </w:pPr>
          </w:p>
        </w:tc>
      </w:tr>
      <w:tr>
        <w:trPr>
          <w:trHeight w:val="94"/>
        </w:trPr>
        <w:tc>
          <w:tcPr>
            <w:tcW w:w="540" w:type="dxa"/>
            <w:vAlign w:val="bottom"/>
            <w:gridSpan w:val="2"/>
            <w:vMerge w:val="continue"/>
          </w:tcPr>
          <w:p>
            <w:pPr>
              <w:spacing w:after="0"/>
              <w:rPr>
                <w:sz w:val="8"/>
                <w:szCs w:val="8"/>
                <w:color w:val="auto"/>
              </w:rPr>
            </w:pPr>
          </w:p>
        </w:tc>
        <w:tc>
          <w:tcPr>
            <w:tcW w:w="5400" w:type="dxa"/>
            <w:vAlign w:val="bottom"/>
            <w:vMerge w:val="restart"/>
          </w:tcPr>
          <w:p>
            <w:pPr>
              <w:ind w:left="22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116"/>
        </w:trPr>
        <w:tc>
          <w:tcPr>
            <w:tcW w:w="320" w:type="dxa"/>
            <w:vAlign w:val="bottom"/>
            <w:tcBorders>
              <w:top w:val="single" w:sz="8" w:color="0000FF"/>
            </w:tcBorders>
          </w:tcPr>
          <w:p>
            <w:pPr>
              <w:spacing w:after="0"/>
              <w:rPr>
                <w:sz w:val="10"/>
                <w:szCs w:val="10"/>
                <w:color w:val="auto"/>
              </w:rPr>
            </w:pPr>
          </w:p>
        </w:tc>
        <w:tc>
          <w:tcPr>
            <w:tcW w:w="220" w:type="dxa"/>
            <w:vAlign w:val="bottom"/>
          </w:tcPr>
          <w:p>
            <w:pPr>
              <w:spacing w:after="0"/>
              <w:rPr>
                <w:sz w:val="10"/>
                <w:szCs w:val="10"/>
                <w:color w:val="auto"/>
              </w:rPr>
            </w:pPr>
          </w:p>
        </w:tc>
        <w:tc>
          <w:tcPr>
            <w:tcW w:w="5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257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Furnished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Furnished</w:t>
      </w:r>
    </w:p>
    <w:p>
      <w:pPr>
        <w:spacing w:after="0" w:line="142" w:lineRule="exact"/>
        <w:rPr>
          <w:sz w:val="20"/>
          <w:szCs w:val="20"/>
          <w:color w:val="auto"/>
        </w:rPr>
      </w:pPr>
    </w:p>
    <w:p>
      <w:pPr>
        <w:sectPr>
          <w:pgSz w:w="11900" w:h="16838" w:orient="portrait"/>
          <w:cols w:equalWidth="0" w:num="2">
            <w:col w:w="8020" w:space="720"/>
            <w:col w:w="2500"/>
          </w:cols>
          <w:pgMar w:left="320" w:top="341" w:right="339" w:bottom="1440" w:gutter="0" w:footer="0" w:header="0"/>
          <w:type w:val="continuous"/>
        </w:sectPr>
      </w:pPr>
    </w:p>
    <w:p>
      <w:pPr>
        <w:ind w:left="1100"/>
        <w:spacing w:after="0" w:line="233" w:lineRule="auto"/>
        <w:rPr>
          <w:sz w:val="20"/>
          <w:szCs w:val="20"/>
          <w:color w:val="auto"/>
        </w:rPr>
      </w:pPr>
      <w:r>
        <w:rPr>
          <w:rFonts w:ascii="Arial" w:cs="Arial" w:eastAsia="Arial" w:hAnsi="Arial"/>
          <w:sz w:val="17"/>
          <w:szCs w:val="17"/>
          <w:color w:val="auto"/>
        </w:rPr>
        <w:t>The following financial statements from the Company’s Quarterly Report on Form 10-Q for the quarter ended September 30, 2021,</w:t>
      </w:r>
    </w:p>
    <w:p>
      <w:pPr>
        <w:ind w:left="1100" w:right="100" w:hanging="741"/>
        <w:spacing w:after="0" w:line="184" w:lineRule="auto"/>
        <w:tabs>
          <w:tab w:leader="none" w:pos="1100" w:val="left"/>
        </w:tabs>
        <w:numPr>
          <w:ilvl w:val="0"/>
          <w:numId w:val="42"/>
        </w:numPr>
        <w:rPr>
          <w:rFonts w:ascii="Arial" w:cs="Arial" w:eastAsia="Arial" w:hAnsi="Arial"/>
          <w:sz w:val="32"/>
          <w:szCs w:val="32"/>
          <w:color w:val="auto"/>
          <w:vertAlign w:val="subscript"/>
        </w:rPr>
      </w:pPr>
      <w:r>
        <w:rPr>
          <w:rFonts w:ascii="Arial" w:cs="Arial" w:eastAsia="Arial" w:hAnsi="Arial"/>
          <w:sz w:val="16"/>
          <w:szCs w:val="16"/>
          <w:color w:val="auto"/>
        </w:rPr>
        <w:t>formatted in Inline XBRL: (i) Interim Consolidated Statements of Income, (ii) Interim Consolidated Statements of Comprehensive Income, (iii) Interim Consolidated Balance Sheets, (iv) Interim Consolidated Statements of Cash Flows, (v) Interim Consolidated Statements of Shareholders’ Equity, and (vi) Notes to Interim Consolidated Financial Statements</w:t>
      </w:r>
    </w:p>
    <w:p>
      <w:pPr>
        <w:spacing w:after="0" w:line="1" w:lineRule="exact"/>
        <w:rPr>
          <w:sz w:val="20"/>
          <w:szCs w:val="20"/>
          <w:color w:val="auto"/>
        </w:rPr>
      </w:pPr>
    </w:p>
    <w:p>
      <w:pPr>
        <w:ind w:left="1100" w:right="160" w:hanging="741"/>
        <w:spacing w:after="0" w:line="183" w:lineRule="auto"/>
        <w:tabs>
          <w:tab w:leader="none" w:pos="1100" w:val="left"/>
        </w:tabs>
        <w:numPr>
          <w:ilvl w:val="0"/>
          <w:numId w:val="43"/>
        </w:numPr>
        <w:rPr>
          <w:rFonts w:ascii="Arial" w:cs="Arial" w:eastAsia="Arial" w:hAnsi="Arial"/>
          <w:sz w:val="30"/>
          <w:szCs w:val="30"/>
          <w:color w:val="auto"/>
          <w:vertAlign w:val="subscript"/>
        </w:rPr>
      </w:pPr>
      <w:r>
        <w:rPr>
          <w:rFonts w:ascii="Arial" w:cs="Arial" w:eastAsia="Arial" w:hAnsi="Arial"/>
          <w:sz w:val="16"/>
          <w:szCs w:val="16"/>
          <w:color w:val="auto"/>
        </w:rPr>
        <w:t>The cover page from the Company’s Quarterly Report on Form 10-Q for the quarter ended September 30, 2021, formatted in Inline XBRL and contained in Exhibit 101</w:t>
      </w:r>
    </w:p>
    <w:p>
      <w:pPr>
        <w:spacing w:after="0" w:line="217" w:lineRule="exact"/>
        <w:rPr>
          <w:sz w:val="20"/>
          <w:szCs w:val="20"/>
          <w:color w:val="auto"/>
        </w:rPr>
      </w:pPr>
    </w:p>
    <w:p>
      <w:pPr>
        <w:ind w:left="1060" w:right="80" w:hanging="638"/>
        <w:spacing w:after="0" w:line="180" w:lineRule="auto"/>
        <w:tabs>
          <w:tab w:leader="none" w:pos="1060" w:val="left"/>
        </w:tabs>
        <w:numPr>
          <w:ilvl w:val="0"/>
          <w:numId w:val="44"/>
        </w:numPr>
        <w:rPr>
          <w:rFonts w:ascii="Arial" w:cs="Arial" w:eastAsia="Arial" w:hAnsi="Arial"/>
          <w:sz w:val="31"/>
          <w:szCs w:val="31"/>
          <w:color w:val="auto"/>
          <w:vertAlign w:val="subscript"/>
        </w:rPr>
      </w:pPr>
      <w:r>
        <w:rPr>
          <w:rFonts w:ascii="Arial" w:cs="Arial" w:eastAsia="Arial" w:hAnsi="Arial"/>
          <w:sz w:val="16"/>
          <w:szCs w:val="16"/>
          <w:color w:val="auto"/>
        </w:rPr>
        <w:t>Schedules have been omitted pursuant to Item 601(b)(2) of Regulation S-K. The Company agrees to furnish supplemental copies to the SEC of any omitted schedule upon request by the SEC.</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8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MARRIOTT VACATIONS WORLDWIDE CORPORATION</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900" w:type="dxa"/>
            <w:vAlign w:val="bottom"/>
          </w:tcPr>
          <w:p>
            <w:pPr>
              <w:ind w:left="140"/>
              <w:spacing w:after="0"/>
              <w:rPr>
                <w:sz w:val="20"/>
                <w:szCs w:val="20"/>
                <w:color w:val="auto"/>
              </w:rPr>
            </w:pPr>
            <w:r>
              <w:rPr>
                <w:rFonts w:ascii="Arial" w:cs="Arial" w:eastAsia="Arial" w:hAnsi="Arial"/>
                <w:sz w:val="18"/>
                <w:szCs w:val="18"/>
                <w:color w:val="auto"/>
              </w:rPr>
              <w:t>November 8, 2021</w:t>
            </w:r>
          </w:p>
        </w:tc>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P. Weisz</w:t>
            </w:r>
          </w:p>
        </w:tc>
      </w:tr>
      <w:tr>
        <w:trPr>
          <w:trHeight w:val="222"/>
        </w:trPr>
        <w:tc>
          <w:tcPr>
            <w:tcW w:w="5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Stephen P. Weisz</w:t>
            </w:r>
          </w:p>
        </w:tc>
      </w:tr>
      <w:tr>
        <w:trPr>
          <w:trHeight w:val="230"/>
        </w:trPr>
        <w:tc>
          <w:tcPr>
            <w:tcW w:w="5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99"/>
        </w:trPr>
        <w:tc>
          <w:tcPr>
            <w:tcW w:w="5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E. Terry</w:t>
            </w:r>
          </w:p>
        </w:tc>
      </w:tr>
      <w:tr>
        <w:trPr>
          <w:trHeight w:val="222"/>
        </w:trPr>
        <w:tc>
          <w:tcPr>
            <w:tcW w:w="5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Anthony E. Terry</w:t>
            </w:r>
          </w:p>
        </w:tc>
      </w:tr>
      <w:tr>
        <w:trPr>
          <w:trHeight w:val="230"/>
        </w:trPr>
        <w:tc>
          <w:tcPr>
            <w:tcW w:w="5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99"/>
        </w:trPr>
        <w:tc>
          <w:tcPr>
            <w:tcW w:w="5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780" w:type="dxa"/>
            <w:vAlign w:val="bottom"/>
          </w:tcPr>
          <w:p>
            <w:pPr>
              <w:ind w:left="1080"/>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240"/>
          </w:cols>
          <w:pgMar w:left="320" w:top="1107"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00" w:lineRule="exact"/>
        <w:rPr>
          <w:sz w:val="20"/>
          <w:szCs w:val="20"/>
          <w:color w:val="auto"/>
        </w:rPr>
      </w:pPr>
    </w:p>
    <w:p>
      <w:pPr>
        <w:spacing w:after="0" w:line="21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14605</wp:posOffset>
            </wp:positionV>
            <wp:extent cx="4200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Anthony E. Terry, certify that:</w:t>
      </w:r>
    </w:p>
    <w:p>
      <w:pPr>
        <w:spacing w:after="0" w:line="117"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00" w:lineRule="exact"/>
        <w:rPr>
          <w:sz w:val="20"/>
          <w:szCs w:val="20"/>
          <w:color w:val="auto"/>
        </w:rPr>
      </w:pPr>
    </w:p>
    <w:p>
      <w:pPr>
        <w:spacing w:after="0" w:line="20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 Anthony E.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14605</wp:posOffset>
            </wp:positionV>
            <wp:extent cx="43802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pacing w:after="0" w:line="1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Anthony E. Terry</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Chief Executive Officer of Marriott Vacations Worldwide Corporation (the “Company”) certify that:</w:t>
      </w:r>
    </w:p>
    <w:p>
      <w:pPr>
        <w:spacing w:after="0" w:line="117" w:lineRule="exact"/>
        <w:rPr>
          <w:sz w:val="20"/>
          <w:szCs w:val="20"/>
          <w:color w:val="auto"/>
        </w:rPr>
      </w:pPr>
    </w:p>
    <w:p>
      <w:pPr>
        <w:ind w:left="660" w:right="26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2021 (the “Quarterly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2021</w:t>
      </w:r>
    </w:p>
    <w:p>
      <w:pPr>
        <w:spacing w:after="0" w:line="36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14605</wp:posOffset>
            </wp:positionV>
            <wp:extent cx="34544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Anthony E. Terry, Executive Vice President and Chief Financial Officer of Marriott Vacations Worldwide Corporation (the “Company”) certify that:</w:t>
      </w:r>
    </w:p>
    <w:p>
      <w:pPr>
        <w:spacing w:after="0" w:line="129" w:lineRule="exact"/>
        <w:rPr>
          <w:sz w:val="20"/>
          <w:szCs w:val="20"/>
          <w:color w:val="auto"/>
        </w:rPr>
      </w:pPr>
    </w:p>
    <w:p>
      <w:pPr>
        <w:ind w:left="660" w:right="26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2021 (the “Quarterly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2021</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Anthony E.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36004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Anthony E. Terry</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407"/>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2"/>
    </w:lvl>
  </w:abstractNum>
  <w:abstractNum w:abstractNumId="5">
    <w:nsid w:val="54E49EB4"/>
    <w:multiLevelType w:val="hybridMultilevel"/>
    <w:lvl w:ilvl="0">
      <w:lvlJc w:val="left"/>
      <w:lvlText w:val="%1."/>
      <w:numFmt w:val="decimal"/>
      <w:start w:val="3"/>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4"/>
    </w:lvl>
  </w:abstractNum>
  <w:abstractNum w:abstractNumId="8">
    <w:nsid w:val="836C40E"/>
    <w:multiLevelType w:val="hybridMultilevel"/>
    <w:lvl w:ilvl="0">
      <w:lvlJc w:val="left"/>
      <w:lvlText w:val="%1."/>
      <w:numFmt w:val="decimal"/>
      <w:start w:val="5"/>
    </w:lvl>
  </w:abstractNum>
  <w:abstractNum w:abstractNumId="9">
    <w:nsid w:val="2901D82"/>
    <w:multiLevelType w:val="hybridMultilevel"/>
    <w:lvl w:ilvl="0">
      <w:lvlJc w:val="left"/>
      <w:lvlText w:val="%1."/>
      <w:numFmt w:val="decimal"/>
      <w:start w:val="6"/>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7"/>
    </w:lvl>
  </w:abstractNum>
  <w:abstractNum w:abstractNumId="14">
    <w:nsid w:val="737B8DDC"/>
    <w:multiLevelType w:val="hybridMultilevel"/>
    <w:lvl w:ilvl="0">
      <w:lvlJc w:val="left"/>
      <w:lvlText w:val="%1."/>
      <w:numFmt w:val="decimal"/>
      <w:start w:val="8"/>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2"/>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0"/>
    </w:lvl>
  </w:abstractNum>
  <w:abstractNum w:abstractNumId="19">
    <w:nsid w:val="614FD4A1"/>
    <w:multiLevelType w:val="hybridMultilevel"/>
    <w:lvl w:ilvl="0">
      <w:lvlJc w:val="left"/>
      <w:lvlText w:val="%1."/>
      <w:numFmt w:val="decimal"/>
      <w:start w:val="1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2"/>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3"/>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4"/>
    </w:lvl>
  </w:abstractNum>
  <w:abstractNum w:abstractNumId="27">
    <w:nsid w:val="5C482A97"/>
    <w:multiLevelType w:val="hybridMultilevel"/>
    <w:lvl w:ilvl="0">
      <w:lvlJc w:val="left"/>
      <w:lvlText w:val="%1."/>
      <w:numFmt w:val="decimal"/>
      <w:start w:val="15"/>
    </w:lvl>
  </w:abstractNum>
  <w:abstractNum w:abstractNumId="28">
    <w:nsid w:val="2463B9EA"/>
    <w:multiLevelType w:val="hybridMultilevel"/>
    <w:lvl w:ilvl="0">
      <w:lvlJc w:val="left"/>
      <w:lvlText w:val="%1."/>
      <w:numFmt w:val="decimal"/>
      <w:start w:val="16"/>
    </w:lvl>
  </w:abstractNum>
  <w:abstractNum w:abstractNumId="29">
    <w:nsid w:val="5E884ADC"/>
    <w:multiLevelType w:val="hybridMultilevel"/>
    <w:lvl w:ilvl="0">
      <w:lvlJc w:val="left"/>
      <w:lvlText w:val="%1."/>
      <w:numFmt w:val="decimal"/>
      <w:start w:val="17"/>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lvl w:ilvl="1">
      <w:lvlJc w:val="left"/>
      <w:lvlText w:val="•"/>
      <w:numFmt w:val="bullet"/>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01"/>
    </w:lvl>
  </w:abstractNum>
  <w:abstractNum w:abstractNumId="42">
    <w:nsid w:val="7A6D8D3C"/>
    <w:multiLevelType w:val="hybridMultilevel"/>
    <w:lvl w:ilvl="0">
      <w:lvlJc w:val="left"/>
      <w:lvlText w:val="%1"/>
      <w:numFmt w:val="decimal"/>
      <w:start w:val="104"/>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50"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24" Type="http://schemas.openxmlformats.org/officeDocument/2006/relationships/hyperlink" Target="https://www.sec.gov/Archives/edgar/data/0001524358/000152435821000007/projectchampagne-mergeragr.htm" TargetMode="External"/><Relationship Id="rId125" Type="http://schemas.openxmlformats.org/officeDocument/2006/relationships/hyperlink" Target="http://www.sec.gov/Archives/edgar/data/1524358/000119312511320045/d256766dex31.htm" TargetMode="External"/><Relationship Id="rId126" Type="http://schemas.openxmlformats.org/officeDocument/2006/relationships/hyperlink" Target="http://www.sec.gov/Archives/edgar/data/1524358/000119312511320045/d256766dex32.htm" TargetMode="External"/><Relationship Id="rId127" Type="http://schemas.openxmlformats.org/officeDocument/2006/relationships/hyperlink" Target="http://www.sec.gov/Archives/edgar/data/1524358/000119312511271851/d197736dex41.htm" TargetMode="External"/><Relationship Id="rId128" Type="http://schemas.openxmlformats.org/officeDocument/2006/relationships/hyperlink" Target="http://www.sec.gov/Archives/edgar/data/1524358/000152435817000036/q3201710-qexhibit41xindent.htm" TargetMode="External"/><Relationship Id="rId129" Type="http://schemas.openxmlformats.org/officeDocument/2006/relationships/hyperlink" Target="http://www.sec.gov/Archives/edgar/data/1524358/000152435817000036/q3201710-qexhibit41xindent.htm#s5A3ABC734649FE299B9DF361BE642613" TargetMode="External"/><Relationship Id="rId130" Type="http://schemas.openxmlformats.org/officeDocument/2006/relationships/hyperlink" Target="http://www.sec.gov/Archives/edgar/data/1524358/000119312518266807/d597652dex48.htm" TargetMode="External"/><Relationship Id="rId131" Type="http://schemas.openxmlformats.org/officeDocument/2006/relationships/hyperlink" Target="http://www.sec.gov/Archives/edgar/data/1524358/000119312519259964/d812229dex41.htm" TargetMode="External"/><Relationship Id="rId132" Type="http://schemas.openxmlformats.org/officeDocument/2006/relationships/hyperlink" Target="http://www.sec.gov/Archives/edgar/data/1524358/000152435820000011/a201910-kex412suppleme.htm" TargetMode="External"/><Relationship Id="rId133" Type="http://schemas.openxmlformats.org/officeDocument/2006/relationships/hyperlink" Target="http://www.sec.gov/Archives/edgar/data/1524358/000152435820000011/a201910-kex413xseconds.htm" TargetMode="External"/><Relationship Id="rId134" Type="http://schemas.openxmlformats.org/officeDocument/2006/relationships/hyperlink" Target="http://www.sec.gov/Archives/edgar/data/1524358/000119312519259964/d812229dex43.htm" TargetMode="External"/><Relationship Id="rId135" Type="http://schemas.openxmlformats.org/officeDocument/2006/relationships/hyperlink" Target="http://www.sec.gov/Archives/edgar/data/1524358/000119312520143993/d931016dex41.htm" TargetMode="External"/><Relationship Id="rId136" Type="http://schemas.openxmlformats.org/officeDocument/2006/relationships/hyperlink" Target="https://www.sec.gov/Archives/edgar/data/0001524358/000119312521027303/d41256dex41.htm" TargetMode="External"/><Relationship Id="rId137" Type="http://schemas.openxmlformats.org/officeDocument/2006/relationships/hyperlink" Target="https://www.sec.gov/Archives/edgar/data/0001524358/000119312521027303/d41256dex41.htm#exa" TargetMode="External"/><Relationship Id="rId138" Type="http://schemas.openxmlformats.org/officeDocument/2006/relationships/hyperlink" Target="https://www.sec.gov/Archives/edgar/data/0001524358/000119312521195243/d158882dex41.htm" TargetMode="External"/><Relationship Id="rId148" Type="http://schemas.openxmlformats.org/officeDocument/2006/relationships/hyperlink" Target="https://www.sec.gov/Archives/edgar/data/0001524358/000119312521195243/d158882dex41.htm#tx158882_515" TargetMode="External"/><Relationship Id="rId149" Type="http://schemas.openxmlformats.org/officeDocument/2006/relationships/hyperlink" Target="http://www.sec.gov/Archives/edgar/data/1524358/000152435820000011/a201910-kex416descript.htm" TargetMode="External"/><Relationship Id="rId151" Type="http://schemas.openxmlformats.org/officeDocument/2006/relationships/hyperlink" Target="http://www.sec.gov/Archives/edgar/data/1524358/000119312520143993/d931016dex43.htm" TargetMode="External"/><Relationship Id="rId152" Type="http://schemas.openxmlformats.org/officeDocument/2006/relationships/hyperlink" Target="https://www.sec.gov/Archives/edgar/data/0001524358/000152435820000044/a2020q3ex221xlistofth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2021-11-24T14:18:10Z</dcterms:created>
  <dcterms:modified xsi:type="dcterms:W3CDTF">2021-11-24T14:18:10Z</dcterms:modified>
</cp:coreProperties>
</file>