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17, 2016</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1"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6649 Westwood Blvd.</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6"/>
              </w:rPr>
              <w:t>Orlando, FL</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32821</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380" w:type="dxa"/>
            <w:vAlign w:val="bottom"/>
          </w:tcPr>
          <w:p>
            <w:pPr>
              <w:spacing w:after="0"/>
              <w:rPr>
                <w:sz w:val="24"/>
                <w:szCs w:val="24"/>
                <w:color w:val="auto"/>
              </w:rPr>
            </w:pPr>
          </w:p>
        </w:tc>
        <w:tc>
          <w:tcPr>
            <w:tcW w:w="5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(407) 206-6000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7"/>
        </w:trPr>
        <w:tc>
          <w:tcPr>
            <w:tcW w:w="752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49" w:lineRule="exact"/>
        <w:rPr>
          <w:sz w:val="24"/>
          <w:szCs w:val="24"/>
          <w:color w:val="auto"/>
        </w:rPr>
      </w:pPr>
    </w:p>
    <w:p>
      <w:pPr>
        <w:sectPr>
          <w:pgSz w:w="11900" w:h="16838" w:orient="portrait"/>
          <w:cols w:equalWidth="0" w:num="4">
            <w:col w:w="8640" w:space="160"/>
            <w:col w:w="260" w:space="100"/>
            <w:col w:w="160" w:space="180"/>
            <w:col w:w="192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number of shares outstanding of the issuer’s common stock, par value $0.01 per share, as of July 15, 2016 was 26,986,204.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66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6480" w:type="dxa"/>
            <w:vAlign w:val="bottom"/>
            <w:gridSpan w:val="6"/>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880" w:type="dxa"/>
            <w:vAlign w:val="bottom"/>
            <w:vMerge w:val="continue"/>
          </w:tcPr>
          <w:p>
            <w:pPr>
              <w:spacing w:after="0"/>
              <w:rPr>
                <w:sz w:val="14"/>
                <w:szCs w:val="14"/>
                <w:color w:val="auto"/>
              </w:rPr>
            </w:pPr>
          </w:p>
        </w:tc>
        <w:tc>
          <w:tcPr>
            <w:tcW w:w="3660" w:type="dxa"/>
            <w:vAlign w:val="bottom"/>
            <w:tcBorders>
              <w:bottom w:val="single" w:sz="8" w:color="0000EE"/>
            </w:tcBorders>
            <w:gridSpan w:val="14"/>
            <w:vMerge w:val="continue"/>
          </w:tcPr>
          <w:p>
            <w:pPr>
              <w:spacing w:after="0"/>
              <w:rPr>
                <w:sz w:val="14"/>
                <w:szCs w:val="14"/>
                <w:color w:val="auto"/>
              </w:rPr>
            </w:pPr>
          </w:p>
        </w:tc>
        <w:tc>
          <w:tcPr>
            <w:tcW w:w="648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62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Income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Statements of Comprehensive Income</w:t>
              </w:r>
            </w:hyperlink>
          </w:p>
        </w:tc>
        <w:tc>
          <w:tcPr>
            <w:tcW w:w="58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Interim Consolidated Balance Sheets</w:t>
              </w:r>
            </w:hyperlink>
          </w:p>
        </w:tc>
        <w:tc>
          <w:tcPr>
            <w:tcW w:w="74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Interim Consolidated Statements of Cash Flows</w:t>
              </w:r>
            </w:hyperlink>
          </w:p>
        </w:tc>
        <w:tc>
          <w:tcPr>
            <w:tcW w:w="66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7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64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Controls and Procedures</w:t>
              </w:r>
            </w:hyperlink>
          </w:p>
        </w:tc>
        <w:tc>
          <w:tcPr>
            <w:tcW w:w="83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0140" w:type="dxa"/>
            <w:vAlign w:val="bottom"/>
            <w:gridSpan w:val="20"/>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81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8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Unregistered Sales of Equity Securities and Use of Proceeds</w:t>
              </w:r>
            </w:hyperlink>
          </w:p>
        </w:tc>
        <w:tc>
          <w:tcPr>
            <w:tcW w:w="57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Defaults Upon Senior Securities</w:t>
              </w:r>
            </w:hyperlink>
          </w:p>
        </w:tc>
        <w:tc>
          <w:tcPr>
            <w:tcW w:w="78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Mine Safety Disclosures</w:t>
              </w:r>
            </w:hyperlink>
          </w:p>
        </w:tc>
        <w:tc>
          <w:tcPr>
            <w:tcW w:w="83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140" w:type="dxa"/>
            <w:vAlign w:val="bottom"/>
            <w:gridSpan w:val="2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88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2"/>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0"/>
              </w:rPr>
              <w:t>June 19, 2015</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2"/>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0"/>
              </w:rPr>
              <w:t>June 19,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146,450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155,370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284,819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339,276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80,930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74,063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150,559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28,654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28,294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57,878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57,346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75,069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72,642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155,357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98,842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92,458</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206,375</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193,764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429,945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422,827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854,988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877,707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33,753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45,119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69,370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78,919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77,137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157,331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157,132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49,311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45,480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95,108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4,864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6,085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9,493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10,990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66,028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61,835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130,688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121,993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24,588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22,892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49,885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45,669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reversal (settlement)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Organizational and separation related</w:t>
            </w: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financing interest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10,479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Royalty fee</w:t>
            </w: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14,026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13,431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27,383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26,431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98,842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92,458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206,375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193,764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7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375,448</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369,812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755,809</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765,275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and other income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10,668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10,675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(2,087)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(3,009)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(1,911)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(4,453)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61,167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57,444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101,332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114,787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(24,858)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(23,403)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(40,615)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(46,692)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36,309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34,041</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60,717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68,095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Shares used in computing basic earnings per share</w:t>
            </w:r>
          </w:p>
        </w:tc>
        <w:tc>
          <w:tcPr>
            <w:tcW w:w="200" w:type="dxa"/>
            <w:vAlign w:val="bottom"/>
          </w:tcPr>
          <w:p>
            <w:pPr>
              <w:spacing w:after="0"/>
              <w:rPr>
                <w:sz w:val="20"/>
                <w:szCs w:val="20"/>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28,345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31,858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28,734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32,078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Shares used in computing diluted earnings per share</w:t>
            </w:r>
          </w:p>
        </w:tc>
        <w:tc>
          <w:tcPr>
            <w:tcW w:w="200" w:type="dxa"/>
            <w:vAlign w:val="bottom"/>
          </w:tcPr>
          <w:p>
            <w:pPr>
              <w:spacing w:after="0"/>
              <w:rPr>
                <w:sz w:val="20"/>
                <w:szCs w:val="20"/>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28,834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32,517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29,244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32,760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tcPr>
          <w:p>
            <w:pPr>
              <w:ind w:left="380"/>
              <w:spacing w:after="0"/>
              <w:rPr>
                <w:sz w:val="20"/>
                <w:szCs w:val="20"/>
                <w:color w:val="auto"/>
              </w:rPr>
            </w:pPr>
            <w:r>
              <w:rPr>
                <w:rFonts w:ascii="Arial" w:cs="Arial" w:eastAsia="Arial" w:hAnsi="Arial"/>
                <w:sz w:val="14"/>
                <w:szCs w:val="14"/>
                <w:b w:val="1"/>
                <w:bCs w:val="1"/>
                <w:color w:val="auto"/>
              </w:rPr>
              <w:t>Twenty-Four Weeks Ended</w:t>
            </w: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4"/>
              </w:rPr>
              <w:t>June 19, 2015</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2"/>
              </w:rPr>
              <w:t>June 19, 2015</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36,309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34,041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60,717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68,095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3,245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Derivative instrument adjustment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income, net of tax</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3,304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1,354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6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36,107</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37,345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62,071</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65,797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251"/>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June 17, 2016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97,418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177,061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$39,395 and $26,884 from VIEs, respectively)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68,340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Accounts and contracts receivable, net (including $4,112 and $4,893 from VIEs, respectively)</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142,864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131,850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net (including $679,185 and $669,179 from VIEs, respectively)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903,747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920,631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702,377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669,243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228,848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288,803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109,960</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140,679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2,253,554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2,399,718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74,484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Advance deposits</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80,876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69,064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$1,401 and $669 from VIEs, respectively)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132,733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164,791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30,600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35,276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75,309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57,567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 net</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39,068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38,989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Debt, net (including $691,845 and $684,604 from VIEs, respectively)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733,828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678,793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56,248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32,945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126,093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109,076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1,406,806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1,423,451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60" w:type="dxa"/>
            <w:vAlign w:val="bottom"/>
            <w:gridSpan w:val="2"/>
          </w:tcPr>
          <w:p>
            <w:pPr>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240" w:type="dxa"/>
            <w:vAlign w:val="bottom"/>
          </w:tcPr>
          <w:p>
            <w:pPr>
              <w:spacing w:after="0"/>
              <w:rPr>
                <w:sz w:val="24"/>
                <w:szCs w:val="24"/>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 $0.01 par value; 100,000,000 shares authorized; 36,620,686 and 36,393,800 shares issued,</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Treasury stock — at cost; 9,640,473 and 6,844,256 shares, respectively</w:t>
            </w:r>
          </w:p>
        </w:tc>
        <w:tc>
          <w:tcPr>
            <w:tcW w:w="24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(593,052)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(429,990)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1,139,366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1,150,731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12,735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11,381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287,333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243,781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846,748</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976,267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2,253,554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2,399,718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Twenty-Four Weeks Ended</w:t>
            </w: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40" w:type="dxa"/>
            <w:vAlign w:val="bottom"/>
            <w:tcBorders>
              <w:bottom w:val="single" w:sz="8" w:color="CCEEFF"/>
            </w:tcBorders>
          </w:tcPr>
          <w:p>
            <w:pPr>
              <w:spacing w:after="0"/>
              <w:rPr>
                <w:sz w:val="12"/>
                <w:szCs w:val="12"/>
                <w:color w:val="auto"/>
              </w:rPr>
            </w:pPr>
          </w:p>
        </w:tc>
      </w:tr>
      <w:tr>
        <w:trPr>
          <w:trHeight w:val="183"/>
        </w:trPr>
        <w:tc>
          <w:tcPr>
            <w:tcW w:w="20" w:type="dxa"/>
            <w:vAlign w:val="bottom"/>
          </w:tcPr>
          <w:p>
            <w:pPr>
              <w:spacing w:after="0"/>
              <w:rPr>
                <w:sz w:val="15"/>
                <w:szCs w:val="15"/>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60,717</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68,095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10,177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8,558</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2,559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2,506</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Provision for loan losses</w:t>
            </w: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19,591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15,662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6,856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6,588</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Employee stock purchase plan</w:t>
            </w: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15,792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17,850</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Gain on disposal of property and equipment, net</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(10,675)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(9,512)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reversal of litigation expense</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(262)</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Net change in assets and liabilities: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and contracts receivable</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(11,084)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(6,068)</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560"/>
              <w:spacing w:after="0" w:line="149" w:lineRule="exact"/>
              <w:rPr>
                <w:sz w:val="20"/>
                <w:szCs w:val="20"/>
                <w:color w:val="auto"/>
              </w:rPr>
            </w:pPr>
            <w:r>
              <w:rPr>
                <w:rFonts w:ascii="Arial" w:cs="Arial" w:eastAsia="Arial" w:hAnsi="Arial"/>
                <w:sz w:val="14"/>
                <w:szCs w:val="14"/>
                <w:color w:val="auto"/>
              </w:rPr>
              <w:t>Notes receivable originations</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(124,318)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(112,060)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Notes receivable collections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120,548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132,397</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560"/>
              <w:spacing w:after="0" w:line="149" w:lineRule="exact"/>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(13,924)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68,629</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Purchase of operating properties for future conversion to inventory</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(46,614)</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560"/>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26,111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8,154</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payable, advance deposits and accrued liabilities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(78,190)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(66,223)</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560"/>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(4,805)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(5,955)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Payroll and benefit liabilities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(27,313)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(18,382)</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560"/>
              <w:spacing w:after="0" w:line="149" w:lineRule="exact"/>
              <w:rPr>
                <w:sz w:val="20"/>
                <w:szCs w:val="20"/>
                <w:color w:val="auto"/>
              </w:rPr>
            </w:pPr>
            <w:r>
              <w:rPr>
                <w:rFonts w:ascii="Arial" w:cs="Arial" w:eastAsia="Arial" w:hAnsi="Arial"/>
                <w:sz w:val="14"/>
                <w:szCs w:val="14"/>
                <w:color w:val="auto"/>
              </w:rPr>
              <w:t>Liability for Marriott Rewards customer loyalty program</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(9,345)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Deferred compensation liability</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6,536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4,858</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560"/>
              <w:spacing w:after="0" w:line="149" w:lineRule="exact"/>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20,348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18,013</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2,184</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1,776</w:t>
            </w:r>
          </w:p>
        </w:tc>
        <w:tc>
          <w:tcPr>
            <w:tcW w:w="4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21,078</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78,665</w:t>
            </w:r>
          </w:p>
        </w:tc>
        <w:tc>
          <w:tcPr>
            <w:tcW w:w="4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INVESTING ACTIVITIES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 for property and equipment (excluding inventory)</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(15,142)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(15,718)</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Decrease in restricted cash</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2,969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43,758</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Dispositions, net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69,738</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20,346</w:t>
            </w:r>
          </w:p>
        </w:tc>
        <w:tc>
          <w:tcPr>
            <w:tcW w:w="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investing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57,565</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48,386</w:t>
            </w:r>
          </w:p>
        </w:tc>
        <w:tc>
          <w:tcPr>
            <w:tcW w:w="40" w:type="dxa"/>
            <w:vAlign w:val="bottom"/>
            <w:shd w:val="clear" w:color="auto" w:fill="CCEEFF"/>
          </w:tcPr>
          <w:p>
            <w:pPr>
              <w:spacing w:after="0"/>
              <w:rPr>
                <w:sz w:val="12"/>
                <w:szCs w:val="12"/>
                <w:color w:val="auto"/>
              </w:rPr>
            </w:pPr>
          </w:p>
        </w:tc>
      </w:tr>
      <w:tr>
        <w:trPr>
          <w:trHeight w:val="188"/>
        </w:trPr>
        <w:tc>
          <w:tcPr>
            <w:tcW w:w="8400" w:type="dxa"/>
            <w:vAlign w:val="bottom"/>
            <w:gridSpan w:val="2"/>
          </w:tcPr>
          <w:p>
            <w:pPr>
              <w:spacing w:after="0"/>
              <w:rPr>
                <w:sz w:val="20"/>
                <w:szCs w:val="20"/>
                <w:color w:val="auto"/>
              </w:rPr>
            </w:pPr>
            <w:r>
              <w:rPr>
                <w:rFonts w:ascii="Arial" w:cs="Arial" w:eastAsia="Arial" w:hAnsi="Arial"/>
                <w:sz w:val="15"/>
                <w:szCs w:val="15"/>
                <w:b w:val="1"/>
                <w:bCs w:val="1"/>
                <w:color w:val="auto"/>
              </w:rPr>
              <w:t>FINANCING ACTIVITIES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Borrowings from securitization transactions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91,281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Repayment of debt related to securitization transactions</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(84,040)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(143,374)</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Borrowings from Revolving Corporate Credit Facility</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85,000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Repayment of Revolving Corporate Credit Facility</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(40,000)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vacation ownership inventory arrangement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5,375</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Debt issuance costs</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(231)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common stock</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(163,359)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(66,237)</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Accelerated stock repurchase forward contract</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(14,470)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of dividends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(26,067)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(8,085)</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Payment of withholding taxes on vesting of restricted stock units</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(3,876)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(9,353)</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572</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201</w:t>
            </w:r>
          </w:p>
        </w:tc>
        <w:tc>
          <w:tcPr>
            <w:tcW w:w="4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financing activities</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(155,190)</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(221,503)</w:t>
            </w: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Effect of changes in exchange rates on cash and cash equivalents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(3,096)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(1,157)</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DECREASE IN CASH AND CASH EQUIVALENTS</w:t>
            </w:r>
          </w:p>
        </w:tc>
        <w:tc>
          <w:tcPr>
            <w:tcW w:w="22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(79,643)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(95,609)</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177,061</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346,515</w:t>
            </w:r>
          </w:p>
        </w:tc>
        <w:tc>
          <w:tcPr>
            <w:tcW w:w="40" w:type="dxa"/>
            <w:vAlign w:val="bottom"/>
            <w:shd w:val="clear" w:color="auto" w:fill="CCEEFF"/>
          </w:tcPr>
          <w:p>
            <w:pPr>
              <w:spacing w:after="0"/>
              <w:rPr>
                <w:sz w:val="12"/>
                <w:szCs w:val="12"/>
                <w:color w:val="auto"/>
              </w:rPr>
            </w:pPr>
          </w:p>
        </w:tc>
      </w:tr>
      <w:tr>
        <w:trPr>
          <w:trHeight w:val="156"/>
        </w:trPr>
        <w:tc>
          <w:tcPr>
            <w:tcW w:w="84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2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97,418</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250,906</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DISCLOSURES OF NON-CASH INVESTING AND FINANCING ACTIVITIES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Non-cash issuance of note receivable</w:t>
            </w:r>
          </w:p>
        </w:tc>
        <w:tc>
          <w:tcPr>
            <w:tcW w:w="2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4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838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7"/>
              </w:rPr>
              <w:t>Non-cash impact on Additional paid-in capital for changes in Deferred tax liabilities distributed to Marriott Vacations Worldwide at Spin-</w:t>
            </w: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Off</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w:t>
            </w:r>
          </w:p>
        </w:tc>
        <w:tc>
          <w:tcPr>
            <w:tcW w:w="4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Dividends payable</w:t>
            </w: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(7,914)</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issuance of treasury stock for employee stock purchase plan</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380" w:type="dxa"/>
            <w:vAlign w:val="bottom"/>
          </w:tcPr>
          <w:p>
            <w:pPr>
              <w:ind w:left="280"/>
              <w:spacing w:after="0" w:line="149" w:lineRule="exact"/>
              <w:rPr>
                <w:sz w:val="20"/>
                <w:szCs w:val="20"/>
                <w:color w:val="auto"/>
              </w:rPr>
            </w:pPr>
            <w:r>
              <w:rPr>
                <w:rFonts w:ascii="Arial" w:cs="Arial" w:eastAsia="Arial" w:hAnsi="Arial"/>
                <w:sz w:val="14"/>
                <w:szCs w:val="14"/>
                <w:color w:val="auto"/>
              </w:rPr>
              <w:t>Disposition accruals not yet paid</w:t>
            </w:r>
          </w:p>
        </w:tc>
        <w:tc>
          <w:tcPr>
            <w:tcW w:w="220" w:type="dxa"/>
            <w:vAlign w:val="bottom"/>
          </w:tcPr>
          <w:p>
            <w:pPr>
              <w:spacing w:after="0"/>
              <w:rPr>
                <w:sz w:val="12"/>
                <w:szCs w:val="12"/>
                <w:color w:val="auto"/>
              </w:rPr>
            </w:pP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4,636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acquired via capital lease</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7,221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8380" w:type="dxa"/>
            <w:vAlign w:val="bottom"/>
          </w:tcPr>
          <w:p>
            <w:pPr>
              <w:ind w:left="280"/>
              <w:spacing w:after="0"/>
              <w:rPr>
                <w:sz w:val="20"/>
                <w:szCs w:val="20"/>
                <w:color w:val="auto"/>
              </w:rPr>
            </w:pPr>
            <w:r>
              <w:rPr>
                <w:rFonts w:ascii="Arial" w:cs="Arial" w:eastAsia="Arial" w:hAnsi="Arial"/>
                <w:sz w:val="14"/>
                <w:szCs w:val="14"/>
                <w:color w:val="auto"/>
              </w:rPr>
              <w:t>Non-cash transfer of excess inventory to Property and equipment for disposition</w:t>
            </w:r>
          </w:p>
        </w:tc>
        <w:tc>
          <w:tcPr>
            <w:tcW w:w="2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9,741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In 2016, we introduced Marriott Vacation Club Pulse</w:t>
      </w:r>
      <w:r>
        <w:rPr>
          <w:rFonts w:ascii="Arial" w:cs="Arial" w:eastAsia="Arial" w:hAnsi="Arial"/>
          <w:sz w:val="14"/>
          <w:szCs w:val="14"/>
          <w:color w:val="auto"/>
        </w:rPr>
        <w:t>SM</w:t>
      </w:r>
      <w:r>
        <w:rPr>
          <w:rFonts w:ascii="Arial" w:cs="Arial" w:eastAsia="Arial" w:hAnsi="Arial"/>
          <w:sz w:val="17"/>
          <w:szCs w:val="17"/>
          <w:color w:val="auto"/>
        </w:rPr>
        <w:t>,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provides on-site management for Ritz-Carlton branded properties.</w:t>
      </w:r>
    </w:p>
    <w:p>
      <w:pPr>
        <w:spacing w:after="0" w:line="178" w:lineRule="exact"/>
        <w:rPr>
          <w:sz w:val="20"/>
          <w:szCs w:val="20"/>
          <w:color w:val="auto"/>
        </w:rPr>
      </w:pPr>
    </w:p>
    <w:p>
      <w:pPr>
        <w:jc w:val="both"/>
        <w:ind w:right="60" w:firstLine="913"/>
        <w:spacing w:after="0" w:line="312" w:lineRule="auto"/>
        <w:rPr>
          <w:sz w:val="20"/>
          <w:szCs w:val="20"/>
          <w:color w:val="auto"/>
        </w:rPr>
      </w:pPr>
      <w:r>
        <w:rPr>
          <w:rFonts w:ascii="Arial" w:cs="Arial" w:eastAsia="Arial" w:hAnsi="Arial"/>
          <w:sz w:val="16"/>
          <w:szCs w:val="16"/>
          <w:color w:val="auto"/>
        </w:rPr>
        <w:t>Our business is grouped into three reportable segments: North America, Europe and Asia Pacific. As of June 17,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93" w:lineRule="exact"/>
        <w:rPr>
          <w:sz w:val="20"/>
          <w:szCs w:val="20"/>
          <w:color w:val="auto"/>
        </w:rPr>
      </w:pPr>
    </w:p>
    <w:p>
      <w:pPr>
        <w:ind w:right="680" w:firstLine="913"/>
        <w:spacing w:after="0" w:line="302" w:lineRule="auto"/>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154"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Fiscal Year</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Quarter-End Date</w:t>
            </w:r>
          </w:p>
        </w:tc>
      </w:tr>
      <w:tr>
        <w:trPr>
          <w:trHeight w:val="195"/>
        </w:trPr>
        <w:tc>
          <w:tcPr>
            <w:tcW w:w="3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2016 Second Quarter</w:t>
            </w:r>
          </w:p>
        </w:tc>
        <w:tc>
          <w:tcPr>
            <w:tcW w:w="60" w:type="dxa"/>
            <w:vAlign w:val="bottom"/>
          </w:tcPr>
          <w:p>
            <w:pPr>
              <w:spacing w:after="0"/>
              <w:rPr>
                <w:sz w:val="16"/>
                <w:szCs w:val="16"/>
                <w:color w:val="auto"/>
              </w:rPr>
            </w:pPr>
          </w:p>
        </w:tc>
        <w:tc>
          <w:tcPr>
            <w:tcW w:w="3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June 17, 2016</w:t>
            </w:r>
          </w:p>
        </w:tc>
      </w:tr>
      <w:tr>
        <w:trPr>
          <w:trHeight w:val="216"/>
        </w:trPr>
        <w:tc>
          <w:tcPr>
            <w:tcW w:w="39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2016 First Quarter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March 25, 2016</w:t>
            </w:r>
          </w:p>
        </w:tc>
      </w:tr>
      <w:tr>
        <w:trPr>
          <w:trHeight w:val="216"/>
        </w:trPr>
        <w:tc>
          <w:tcPr>
            <w:tcW w:w="39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2015 Second Quarter</w:t>
            </w:r>
          </w:p>
        </w:tc>
        <w:tc>
          <w:tcPr>
            <w:tcW w:w="3780" w:type="dxa"/>
            <w:vAlign w:val="bottom"/>
          </w:tcPr>
          <w:p>
            <w:pPr>
              <w:jc w:val="center"/>
              <w:spacing w:after="0"/>
              <w:rPr>
                <w:sz w:val="20"/>
                <w:szCs w:val="20"/>
                <w:color w:val="auto"/>
              </w:rPr>
            </w:pPr>
            <w:r>
              <w:rPr>
                <w:rFonts w:ascii="Arial" w:cs="Arial" w:eastAsia="Arial" w:hAnsi="Arial"/>
                <w:sz w:val="18"/>
                <w:szCs w:val="18"/>
                <w:color w:val="auto"/>
                <w:w w:val="87"/>
              </w:rPr>
              <w:t>June 19, 2015</w:t>
            </w:r>
          </w:p>
        </w:tc>
      </w:tr>
      <w:tr>
        <w:trPr>
          <w:trHeight w:val="230"/>
        </w:trPr>
        <w:tc>
          <w:tcPr>
            <w:tcW w:w="39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2015 First Quarter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March 27, 2015</w:t>
            </w:r>
          </w:p>
        </w:tc>
      </w:tr>
    </w:tbl>
    <w:p>
      <w:pPr>
        <w:spacing w:after="0" w:line="202"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8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These Financial Statements have not been audited. Amounts as of January 1, 2016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January 1, 2016.</w:t>
      </w:r>
    </w:p>
    <w:p>
      <w:pPr>
        <w:spacing w:after="0" w:line="173" w:lineRule="exact"/>
        <w:rPr>
          <w:sz w:val="20"/>
          <w:szCs w:val="20"/>
          <w:color w:val="auto"/>
        </w:rPr>
      </w:pPr>
    </w:p>
    <w:p>
      <w:pPr>
        <w:jc w:val="both"/>
        <w:ind w:right="160" w:firstLine="913"/>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self-insured medical plan reserves, equity-based compensation, income taxes and loss contingencies. Accordingly, actual amounts may differ from these estimated amounts.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reclassified certain prior year amounts to conform to our current period presentation.</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Accounting Standards Update No.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170" w:lineRule="exact"/>
        <w:rPr>
          <w:sz w:val="20"/>
          <w:szCs w:val="20"/>
          <w:color w:val="auto"/>
        </w:rPr>
      </w:pPr>
    </w:p>
    <w:p>
      <w:pPr>
        <w:ind w:right="200" w:firstLine="913"/>
        <w:spacing w:after="0" w:line="297" w:lineRule="auto"/>
        <w:rPr>
          <w:sz w:val="20"/>
          <w:szCs w:val="20"/>
          <w:color w:val="auto"/>
        </w:rPr>
      </w:pPr>
      <w:r>
        <w:rPr>
          <w:rFonts w:ascii="Arial" w:cs="Arial" w:eastAsia="Arial" w:hAnsi="Arial"/>
          <w:sz w:val="16"/>
          <w:szCs w:val="16"/>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annual periods beginning after December 15, 2019, with early adoption permitted for annual periods beginning after December 15, 2018. We are evaluating the impact that ASU 2016-13, including the timing of implementation, will have on our financial statements and disclosures.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Standards Update No. 2016-09 –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(“ASU 2016-09”)</w:t>
      </w:r>
    </w:p>
    <w:p>
      <w:pPr>
        <w:spacing w:after="0" w:line="225"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In March 2016, the Financial Accounting Standards Board (“FASB”) issued Accounting Standards Update (“ASU”) 2016-09 which changes how entities account for certain aspects of share-based payment transactions, including the income tax consequences, classification of awards as either equity or liabilities and classification on the statement of cash flows. The update is effective for annual periods beginning after December 15, 2016 and interim periods within those annual periods. We are evaluating the impact that ASU 2016-09 will have on our financial statements and disclosures.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Standards Update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225"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with an option to use certain transition relief. This update is effective for annual periods beginning after December 15, 2018, with early adoption permitted. We are evaluating the impact that ASU 2016-02, including the method and timing of implementation, will have on our financial statements and disclosures.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Standards Update No.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225" w:lineRule="exact"/>
        <w:rPr>
          <w:sz w:val="20"/>
          <w:szCs w:val="20"/>
          <w:color w:val="auto"/>
        </w:rPr>
      </w:pPr>
    </w:p>
    <w:p>
      <w:pPr>
        <w:jc w:val="both"/>
        <w:ind w:right="300" w:firstLine="913"/>
        <w:spacing w:after="0" w:line="312" w:lineRule="auto"/>
        <w:rPr>
          <w:sz w:val="20"/>
          <w:szCs w:val="20"/>
          <w:color w:val="auto"/>
        </w:rPr>
      </w:pPr>
      <w:r>
        <w:rPr>
          <w:rFonts w:ascii="Arial" w:cs="Arial" w:eastAsia="Arial" w:hAnsi="Arial"/>
          <w:sz w:val="16"/>
          <w:szCs w:val="16"/>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We do not expect the adoption of ASU 2016-01 to have a material impact on our Financial Statements.</w:t>
      </w:r>
    </w:p>
    <w:p>
      <w:pPr>
        <w:spacing w:after="0" w:line="147"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Accounting Standards Update No. 2016-08 – “</w:t>
      </w:r>
      <w:r>
        <w:rPr>
          <w:rFonts w:ascii="Arial" w:cs="Arial" w:eastAsia="Arial" w:hAnsi="Arial"/>
          <w:sz w:val="18"/>
          <w:szCs w:val="18"/>
          <w:i w:val="1"/>
          <w:iCs w:val="1"/>
          <w:color w:val="auto"/>
        </w:rPr>
        <w:t>Revenue from Contracts with Customers (Topic 606), Principal versus Agent Considerations</w:t>
      </w:r>
      <w:r>
        <w:rPr>
          <w:rFonts w:ascii="Arial" w:cs="Arial" w:eastAsia="Arial" w:hAnsi="Arial"/>
          <w:sz w:val="18"/>
          <w:szCs w:val="18"/>
          <w:color w:val="auto"/>
        </w:rPr>
        <w:t>” (“ASU 2016-08”), Accounting Standards Update No. 2016-10 –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(“ASU 2016-10”), and Accounting Standards Update No. 2016-12 –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Expedients</w:t>
      </w:r>
      <w:r>
        <w:rPr>
          <w:rFonts w:ascii="Arial" w:cs="Arial" w:eastAsia="Arial" w:hAnsi="Arial"/>
          <w:sz w:val="18"/>
          <w:szCs w:val="18"/>
          <w:color w:val="auto"/>
        </w:rPr>
        <w:t>” (“ASU 2016-12”)</w:t>
      </w:r>
    </w:p>
    <w:p>
      <w:pPr>
        <w:spacing w:after="0" w:line="188" w:lineRule="exact"/>
        <w:rPr>
          <w:sz w:val="20"/>
          <w:szCs w:val="20"/>
          <w:color w:val="auto"/>
        </w:rPr>
      </w:pPr>
    </w:p>
    <w:p>
      <w:pPr>
        <w:ind w:right="160" w:firstLine="913"/>
        <w:spacing w:after="0" w:line="285" w:lineRule="auto"/>
        <w:rPr>
          <w:sz w:val="20"/>
          <w:szCs w:val="20"/>
          <w:color w:val="auto"/>
        </w:rPr>
      </w:pPr>
      <w:r>
        <w:rPr>
          <w:rFonts w:ascii="Arial" w:cs="Arial" w:eastAsia="Arial" w:hAnsi="Arial"/>
          <w:sz w:val="16"/>
          <w:szCs w:val="16"/>
          <w:color w:val="auto"/>
        </w:rPr>
        <w:t xml:space="preserve">In May 2014, the FASB issued ASU 2014-09, which was later amended by ASU 2016-08, ASU 2016-10 and ASU 2016-12. ASU 2014-09, as amended, supersedes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most 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w:t>
      </w:r>
    </w:p>
    <w:p>
      <w:pPr>
        <w:spacing w:after="0" w:line="2" w:lineRule="exact"/>
        <w:rPr>
          <w:sz w:val="20"/>
          <w:szCs w:val="20"/>
          <w:color w:val="auto"/>
        </w:rPr>
      </w:pPr>
    </w:p>
    <w:p>
      <w:pPr>
        <w:ind w:firstLine="8"/>
        <w:spacing w:after="0" w:line="252"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(3) determine the transaction price; (4) allocate the transaction price to the performance obligations in the contract; and (5) recognize revenue when (or as) the entity satisfies a performance obligation. ASU 2014-09, as amended, will be effective for fiscal years, and interim periods within those years, beginning after December 15, 2017. The new standard may be applied retrospectively or on a modified retrospective basis with the cumulative effect recognized on the date of adoption. Although we expect to adopt ASU 2014-09, as amended, commencing in fiscal year 2018, we continue to evaluate the impact that adoption of this ASU, including the method of implementation, will have on our financial statements and disclosures.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file income tax returns with U.S. federal and state and non-U.S. jurisdictions and are subject to audits in these jurisdictions.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$2.0 million and $2.4 million at June 17, 2016 and January 1, 2016,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44" w:lineRule="exact"/>
        <w:rPr>
          <w:sz w:val="20"/>
          <w:szCs w:val="20"/>
          <w:color w:val="auto"/>
        </w:rPr>
      </w:pPr>
    </w:p>
    <w:tbl>
      <w:tblPr>
        <w:tblLayout w:type="fixed"/>
        <w:tblInd w:w="1600" w:type="dxa"/>
        <w:tblCellMar>
          <w:top w:w="0" w:type="dxa"/>
          <w:left w:w="0" w:type="dxa"/>
          <w:bottom w:w="0" w:type="dxa"/>
          <w:right w:w="0" w:type="dxa"/>
        </w:tblCellMar>
      </w:tblPr>
      <w:tr>
        <w:trPr>
          <w:trHeight w:val="171"/>
        </w:trPr>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w w:val="92"/>
              </w:rPr>
              <w:t>June 17, 2016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1, 2016</w:t>
            </w: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679,185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669,179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Eligible for securitization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99,669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104,671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700"/>
              <w:spacing w:after="0"/>
              <w:rPr>
                <w:sz w:val="20"/>
                <w:szCs w:val="20"/>
                <w:color w:val="auto"/>
              </w:rPr>
            </w:pPr>
            <w:r>
              <w:rPr>
                <w:rFonts w:ascii="Arial" w:cs="Arial" w:eastAsia="Arial" w:hAnsi="Arial"/>
                <w:sz w:val="18"/>
                <w:szCs w:val="18"/>
                <w:color w:val="auto"/>
              </w:rPr>
              <w:t xml:space="preserve">Not eligible for securitization </w:t>
            </w:r>
            <w:r>
              <w:rPr>
                <w:rFonts w:ascii="Arial" w:cs="Arial" w:eastAsia="Arial" w:hAnsi="Arial"/>
                <w:sz w:val="15"/>
                <w:szCs w:val="15"/>
                <w:color w:val="auto"/>
              </w:rPr>
              <w:t>(1)</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124,893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146,781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224,562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251,452</w:t>
            </w:r>
          </w:p>
        </w:tc>
        <w:tc>
          <w:tcPr>
            <w:tcW w:w="80" w:type="dxa"/>
            <w:vAlign w:val="bottom"/>
            <w:shd w:val="clear" w:color="auto" w:fill="CCEEFF"/>
          </w:tcPr>
          <w:p>
            <w:pPr>
              <w:spacing w:after="0"/>
              <w:rPr>
                <w:sz w:val="18"/>
                <w:szCs w:val="18"/>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903,747</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920,631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94615</wp:posOffset>
            </wp:positionV>
            <wp:extent cx="977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68" w:lineRule="exact"/>
        <w:rPr>
          <w:sz w:val="20"/>
          <w:szCs w:val="20"/>
          <w:color w:val="auto"/>
        </w:rPr>
      </w:pPr>
    </w:p>
    <w:p>
      <w:pPr>
        <w:ind w:left="2040" w:right="1440" w:hanging="438"/>
        <w:spacing w:after="0" w:line="277" w:lineRule="auto"/>
        <w:tabs>
          <w:tab w:leader="none" w:pos="204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Refer to Footnote No. 4, “Financial Instruments,” for discussion of eligibility of our vacation ownership notes receivable for securitization.</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June 17, 2016:</w:t>
      </w:r>
    </w:p>
    <w:p>
      <w:pPr>
        <w:spacing w:after="0" w:line="17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Non-Securitized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Securitized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2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Notes Receivable</w:t>
            </w:r>
          </w:p>
        </w:tc>
        <w:tc>
          <w:tcPr>
            <w:tcW w:w="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Notes Receivable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52,842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86,525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87,725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131,704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84,602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112,254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78,765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77,374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94,371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297,877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380,201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17,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679,185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903,747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stated interest rate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0.0% to 19.5%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4.9% to 19.5%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 to 19.5%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reflect interest income associated with vacation ownership notes receivable in our Statements of Income in the Financing revenues caption.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associated with vacation ownership notes receivable:</w:t>
      </w:r>
    </w:p>
    <w:p>
      <w:pPr>
        <w:spacing w:after="0" w:line="229"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60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14"/>
                <w:szCs w:val="14"/>
                <w:color w:val="auto"/>
              </w:rPr>
            </w:pPr>
          </w:p>
        </w:tc>
        <w:tc>
          <w:tcPr>
            <w:tcW w:w="194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100" w:type="dxa"/>
            <w:vAlign w:val="bottom"/>
            <w:tcBorders>
              <w:top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June 17, 2016</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June 17, 2016</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June 19, 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Interest income associated with vacation ownership notes receivable —</w:t>
            </w:r>
          </w:p>
        </w:tc>
        <w:tc>
          <w:tcPr>
            <w:tcW w:w="3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21,201</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42,392</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8"/>
              </w:rPr>
              <w:t>Interest income associated with vacation ownership notes receivable — non-</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securitized</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6,052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12,635</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27,253</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55,027</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570"/>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twenty-four weeks ended June 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Non-Securitized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90"/>
              </w:rPr>
              <w:t>Securitized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Notes Receivable</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4"/>
                <w:szCs w:val="14"/>
                <w:color w:val="auto"/>
              </w:rPr>
            </w:pPr>
          </w:p>
        </w:tc>
        <w:tc>
          <w:tcPr>
            <w:tcW w:w="1020" w:type="dxa"/>
            <w:vAlign w:val="bottom"/>
          </w:tcPr>
          <w:p>
            <w:pPr>
              <w:jc w:val="center"/>
              <w:ind w:right="213"/>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3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55,584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47,655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103,239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13,018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6,622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19,640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7,426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Write-offs</w:t>
            </w:r>
          </w:p>
        </w:tc>
        <w:tc>
          <w:tcPr>
            <w:tcW w:w="3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(16,032)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Defaulted vacation ownership notes receivable repurchase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activity </w:t>
            </w:r>
            <w:r>
              <w:rPr>
                <w:rFonts w:ascii="Arial" w:cs="Arial" w:eastAsia="Arial" w:hAnsi="Arial"/>
                <w:sz w:val="15"/>
                <w:szCs w:val="15"/>
                <w:color w:val="auto"/>
              </w:rPr>
              <w:t>(1)</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12,866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(12,866)</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at June 17, 2016</w:t>
            </w:r>
          </w:p>
        </w:tc>
        <w:tc>
          <w:tcPr>
            <w:tcW w:w="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58,010</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48,837</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106,847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137160</wp:posOffset>
            </wp:positionV>
            <wp:extent cx="11404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36" w:lineRule="exact"/>
        <w:rPr>
          <w:sz w:val="20"/>
          <w:szCs w:val="20"/>
          <w:color w:val="auto"/>
        </w:rPr>
      </w:pPr>
    </w:p>
    <w:p>
      <w:pPr>
        <w:ind w:left="1820" w:right="960" w:hanging="448"/>
        <w:spacing w:after="0" w:line="264" w:lineRule="auto"/>
        <w:tabs>
          <w:tab w:leader="none" w:pos="1820" w:val="left"/>
        </w:tabs>
        <w:numPr>
          <w:ilvl w:val="0"/>
          <w:numId w:val="5"/>
        </w:numPr>
        <w:rPr>
          <w:rFonts w:ascii="Arial" w:cs="Arial" w:eastAsia="Arial" w:hAnsi="Arial"/>
          <w:sz w:val="15"/>
          <w:szCs w:val="15"/>
          <w:color w:val="auto"/>
        </w:rPr>
      </w:pPr>
      <w:r>
        <w:rPr>
          <w:rFonts w:ascii="Arial" w:cs="Arial" w:eastAsia="Arial" w:hAnsi="Arial"/>
          <w:sz w:val="18"/>
          <w:szCs w:val="18"/>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18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6.97 percent and 6.92 percent as of June 17, 2016 and January 1, 2016, respectively. A 0.5 percentage point increase in the estimated default rate would have resulted in an increase in our allowance for loan losses of $4.7 million as of both June 17, 2016 and January 1, 2016.</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Non-Securitized</w:t>
            </w:r>
          </w:p>
        </w:tc>
        <w:tc>
          <w:tcPr>
            <w:tcW w:w="2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Securitized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5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Vacation Ownership</w:t>
            </w:r>
          </w:p>
        </w:tc>
        <w:tc>
          <w:tcPr>
            <w:tcW w:w="15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Vacation Ownership</w:t>
            </w:r>
          </w:p>
        </w:tc>
        <w:tc>
          <w:tcPr>
            <w:tcW w:w="30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Notes Receivable</w:t>
            </w: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Notes Receivable</w:t>
            </w:r>
          </w:p>
        </w:tc>
        <w:tc>
          <w:tcPr>
            <w:tcW w:w="3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Investment in vacation ownership notes receivable on non-accrual</w:t>
            </w: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status at June 17, 2016</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48,248</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w w:val="98"/>
              </w:rPr>
              <w:t>Investment in vacation ownership notes receivable on non-accrual</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status at January 1, 2016</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46,024</w:t>
            </w:r>
          </w:p>
        </w:tc>
        <w:tc>
          <w:tcPr>
            <w:tcW w:w="18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8,717</w:t>
            </w:r>
          </w:p>
        </w:tc>
        <w:tc>
          <w:tcPr>
            <w:tcW w:w="1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 status during the twelve weeks ended June 17, 2016</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47,471</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accrual status during the twelve weeks ended June 19, 2015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54,354</w:t>
            </w:r>
          </w:p>
        </w:tc>
        <w:tc>
          <w:tcPr>
            <w:tcW w:w="18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9,352</w:t>
            </w:r>
          </w:p>
        </w:tc>
        <w:tc>
          <w:tcPr>
            <w:tcW w:w="1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accrual status during the twenty-four weeks ended June 17, 2016</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w w:val="96"/>
              </w:rPr>
              <w:t>accrual status during the twenty-four weeks ended June 19, 2015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57,656</w:t>
            </w:r>
          </w:p>
        </w:tc>
        <w:tc>
          <w:tcPr>
            <w:tcW w:w="18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7,481</w:t>
            </w:r>
          </w:p>
        </w:tc>
        <w:tc>
          <w:tcPr>
            <w:tcW w:w="1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17, 2016:</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auto"/>
                <w:w w:val="91"/>
              </w:rPr>
              <w:t>Non-Securitized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Arial" w:cs="Arial" w:eastAsia="Arial" w:hAnsi="Arial"/>
                <w:sz w:val="14"/>
                <w:szCs w:val="14"/>
                <w:b w:val="1"/>
                <w:bCs w:val="1"/>
                <w:color w:val="auto"/>
                <w:w w:val="99"/>
              </w:rPr>
              <w:t>Securitized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Vacation Ownership</w:t>
            </w:r>
          </w:p>
        </w:tc>
        <w:tc>
          <w:tcPr>
            <w:tcW w:w="12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5"/>
              </w:rPr>
              <w:t>Vacation Ownership</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Notes Receivable</w:t>
            </w:r>
          </w:p>
        </w:tc>
        <w:tc>
          <w:tcPr>
            <w:tcW w:w="120" w:type="dxa"/>
            <w:vAlign w:val="bottom"/>
          </w:tcPr>
          <w:p>
            <w:pPr>
              <w:spacing w:after="0"/>
              <w:rPr>
                <w:sz w:val="14"/>
                <w:szCs w:val="14"/>
                <w:color w:val="auto"/>
              </w:rPr>
            </w:pPr>
          </w:p>
        </w:tc>
        <w:tc>
          <w:tcPr>
            <w:tcW w:w="138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Notes Receivable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31</w:t>
            </w:r>
          </w:p>
        </w:tc>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7,095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17,197</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418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1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8,927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44,177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1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55,343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27,878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83,221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227,229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700,144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927,373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282,572</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728,022</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1,010,594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2016:</w:t>
      </w:r>
    </w:p>
    <w:p>
      <w:pPr>
        <w:spacing w:after="0" w:line="21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1"/>
              </w:rPr>
              <w:t>Non-Securitized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Securitized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Vacation Ownership</w:t>
            </w:r>
          </w:p>
        </w:tc>
        <w:tc>
          <w:tcPr>
            <w:tcW w:w="120" w:type="dxa"/>
            <w:vAlign w:val="bottom"/>
          </w:tcPr>
          <w:p>
            <w:pPr>
              <w:spacing w:after="0"/>
              <w:rPr>
                <w:sz w:val="12"/>
                <w:szCs w:val="12"/>
                <w:color w:val="auto"/>
              </w:rPr>
            </w:pP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Vacation Ownership</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3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Notes Receivable</w:t>
            </w:r>
          </w:p>
        </w:tc>
        <w:tc>
          <w:tcPr>
            <w:tcW w:w="120" w:type="dxa"/>
            <w:vAlign w:val="bottom"/>
          </w:tcPr>
          <w:p>
            <w:pPr>
              <w:spacing w:after="0"/>
              <w:rPr>
                <w:sz w:val="14"/>
                <w:szCs w:val="14"/>
                <w:color w:val="auto"/>
              </w:rPr>
            </w:pPr>
          </w:p>
        </w:tc>
        <w:tc>
          <w:tcPr>
            <w:tcW w:w="136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Notes Receivable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31 – 90 days past due</w:t>
            </w: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9,981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21,113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31,094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91 – 150 days past due</w:t>
            </w:r>
          </w:p>
        </w:tc>
        <w:tc>
          <w:tcPr>
            <w:tcW w:w="16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8,590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41,293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16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56,005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29,830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85,835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251,031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687,004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938,035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307,036</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716,834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1,023,870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9</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212"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At June 17, 2016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At January 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900" w:type="dxa"/>
            <w:vAlign w:val="bottom"/>
            <w:gridSpan w:val="2"/>
          </w:tcPr>
          <w:p>
            <w:pPr>
              <w:jc w:val="right"/>
              <w:ind w:right="93"/>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253"/>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900" w:type="dxa"/>
            <w:vAlign w:val="bottom"/>
            <w:gridSpan w:val="2"/>
          </w:tcPr>
          <w:p>
            <w:pPr>
              <w:jc w:val="right"/>
              <w:ind w:right="93"/>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2"/>
                <w:szCs w:val="12"/>
                <w:b w:val="1"/>
                <w:bCs w:val="1"/>
                <w:color w:val="auto"/>
                <w:w w:val="99"/>
              </w:rPr>
              <w:t>(1)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Securitized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679,185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813,884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669,179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Non-securitized</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224,562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251,452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903,747</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1,059,359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920,631</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1,078,332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Non-recourse debt associated with vacation ownership notes receivable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securitizations,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(602,806)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(604,694)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(684,604)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(677,595)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Warehouse credit facility,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(87,584)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Revolving corporate credit facility, gross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debt,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(781,629)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(783,619)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(732,615)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(727,864)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137160</wp:posOffset>
            </wp:positionV>
            <wp:extent cx="10121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36" w:lineRule="exact"/>
        <w:rPr>
          <w:sz w:val="20"/>
          <w:szCs w:val="20"/>
          <w:color w:val="auto"/>
        </w:rPr>
      </w:pPr>
    </w:p>
    <w:p>
      <w:pPr>
        <w:ind w:left="800" w:hanging="454"/>
        <w:spacing w:after="0" w:line="277"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8"/>
          <w:szCs w:val="18"/>
          <w:color w:val="auto"/>
        </w:rPr>
        <w:t>Fair value of financial instruments, with the exception of derivative instruments, has been determined using Level 3 inputs. Fair value of derivative instruments has been determined using Level 2 inputs.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89"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598"/>
              <w:spacing w:after="0"/>
              <w:rPr>
                <w:sz w:val="20"/>
                <w:szCs w:val="20"/>
                <w:color w:val="auto"/>
              </w:rPr>
            </w:pPr>
            <w:r>
              <w:rPr>
                <w:rFonts w:ascii="Arial" w:cs="Arial" w:eastAsia="Arial" w:hAnsi="Arial"/>
                <w:sz w:val="14"/>
                <w:szCs w:val="14"/>
                <w:b w:val="1"/>
                <w:bCs w:val="1"/>
                <w:color w:val="auto"/>
              </w:rPr>
              <w:t>At June 17, 2016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ind w:left="420"/>
              <w:spacing w:after="0"/>
              <w:rPr>
                <w:sz w:val="20"/>
                <w:szCs w:val="20"/>
                <w:color w:val="auto"/>
              </w:rPr>
            </w:pPr>
            <w:r>
              <w:rPr>
                <w:rFonts w:ascii="Arial" w:cs="Arial" w:eastAsia="Arial" w:hAnsi="Arial"/>
                <w:sz w:val="14"/>
                <w:szCs w:val="14"/>
                <w:b w:val="1"/>
                <w:bCs w:val="1"/>
                <w:color w:val="auto"/>
              </w:rPr>
              <w:t>At January 1, 2016</w:t>
            </w: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0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58"/>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8"/>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9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1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60"/>
              <w:spacing w:after="0"/>
              <w:rPr>
                <w:sz w:val="20"/>
                <w:szCs w:val="20"/>
                <w:color w:val="auto"/>
              </w:rPr>
            </w:pPr>
            <w:r>
              <w:rPr>
                <w:rFonts w:ascii="Arial" w:cs="Arial" w:eastAsia="Arial" w:hAnsi="Arial"/>
                <w:sz w:val="18"/>
                <w:szCs w:val="18"/>
                <w:color w:val="auto"/>
              </w:rPr>
              <w:t>Eligible for securitization</w:t>
            </w:r>
          </w:p>
        </w:tc>
        <w:tc>
          <w:tcPr>
            <w:tcW w:w="21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99,669</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120,582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104,671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eligible for securitization</w:t>
            </w:r>
          </w:p>
        </w:tc>
        <w:tc>
          <w:tcPr>
            <w:tcW w:w="1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124,893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124,893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non-securitized</w:t>
            </w:r>
          </w:p>
        </w:tc>
        <w:tc>
          <w:tcPr>
            <w:tcW w:w="19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224,562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245,475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251,452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40" w:type="dxa"/>
            <w:vAlign w:val="bottom"/>
            <w:vMerge w:val="restart"/>
          </w:tcPr>
          <w:p>
            <w:pPr>
              <w:jc w:val="right"/>
              <w:ind w:right="33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 and Warehouse Credit Facility</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and our non-recourse warehouse credit facility (the “Warehouse Credit Facility”),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780" w:firstLine="913"/>
        <w:spacing w:after="0" w:line="342" w:lineRule="auto"/>
        <w:rPr>
          <w:sz w:val="20"/>
          <w:szCs w:val="20"/>
          <w:color w:val="auto"/>
        </w:rPr>
      </w:pPr>
      <w:r>
        <w:rPr>
          <w:rFonts w:ascii="Arial" w:cs="Arial" w:eastAsia="Arial" w:hAnsi="Arial"/>
          <w:sz w:val="16"/>
          <w:szCs w:val="16"/>
          <w:color w:val="auto"/>
        </w:rPr>
        <w:t>The carrying value of the outstanding balance on our $200 million revolving credit facility (the “Revolving Corporate Credit Facility”) approximates fair value, as the contractual interest rate floats at the Eurodollar rate plus an applicable margin based on our credit rating.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Miami Beach, Florida</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During the first quarter of 2016, we completed the acquisition of an operating property located in the South Beach area of Miami Beach, Florida, for $23.5 million. The acquisition was treated as a business combination, accounted for using the acquisition method of accounting and included within Operating activities on our Cash Flows and presented as Inventory. As consideration for the acquisition, we paid $23.5 million in cash; the value of the acquired property was allocated to inventory. We rebranded this property as Marriott Vacation Club Pulse, South Beach and intend to convert this property, in its entirety, into vacation ownership interests for future use in our Marriott Vacation Club Destinations</w:t>
      </w:r>
      <w:r>
        <w:rPr>
          <w:rFonts w:ascii="Arial" w:cs="Arial" w:eastAsia="Arial" w:hAnsi="Arial"/>
          <w:sz w:val="14"/>
          <w:szCs w:val="14"/>
          <w:color w:val="auto"/>
        </w:rPr>
        <w:t>TM</w:t>
      </w:r>
      <w:r>
        <w:rPr>
          <w:rFonts w:ascii="Arial" w:cs="Arial" w:eastAsia="Arial" w:hAnsi="Arial"/>
          <w:sz w:val="17"/>
          <w:szCs w:val="17"/>
          <w:color w:val="auto"/>
        </w:rPr>
        <w:t xml:space="preserve"> (“MVCD”) program.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California</w:t>
      </w:r>
    </w:p>
    <w:p>
      <w:pPr>
        <w:spacing w:after="0" w:line="11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During the first quarter of 2015, we completed the acquisition of an operating property located in San Diego, California, for $55.0 million. The acquisition was treated as a business combination and accounted for using the acquisition method of accounting. As consideration for the acquisition, we paid $55.0 million in cash, which was allocated based on the fair value at the date of acquisition as follows: $54.3 million to property and equipment and $0.7 million to other assets. Fair value was determined using an independent appraisal, which was primarily based on a discounted cash flow model, a Level 3 fair value input. We rebranded this property as Marriott Vacation Club Pulse, San Diego and intend to convert this property, in its entirety, into vacation ownership interests for future use in our MVCD program. In order to ensure consistency with the expected related future cash flow presentation, $46.6 million of the cash purchase price allocated to property and equipment was included as an operating activity in the Purchase of operating property for future conversion to inventory line on our Cash Flows for the twenty-four weeks ended June 19, 2015. The remaining $7.7 million was included as an investing activity in the Capital expenditures for property and equipment line on our Cash Flows for the twenty-four weeks ended June 19, 2015, as it was allocated to assets to be used prior to conversion of the property into vacation ownership interests, as well as ancillary and sales center assets to be retained after the conversion.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Surfers Paradise, Australia</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 the third quarter of 2015, we purchased an operating property located in Surfers Paradise, Australia. We are converting a portion of this hotel into vacation ownership inventory, the completed portion of which has been contributed to our new Marriott Vacation Club Destinations, Australia program. During the second quarter of 2016, we disposed of the portion of this operating property that we did not intend to convert to vacation ownership inventory for gross cash proceeds of AUD $70.5 million ($50.9 million). We accounted for the sale under the full accrual method in accordance with the authoritative guidance on accounting for sales of real estate. As part of the disposition, we guaranteed the net operating income of the hotel through 2021 up to a specified maximum of AUD $2.9 million ($2.1 million), which has been recorded as a deferred gain in the Other line within liabilities on the Balance Sheet. We recognized a loss, inclusive of the deferred gain, of AUD $2.1 million ($1.5 million) in connection with the sale, which was recorded in the Gains and other income line on the Statements of Income for the twelve and twenty-four weeks ended June 17,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During the second quarter of 2016, we disposed of 19 residential units, located at The Ritz-Carlton Club and Residences, San Francisco (the “RCC San Francisco”) for gross cash proceeds of $19.5 million. We accounted for the sale under the full accrual method in accordance with the authoritative guidance on accounting for sales of real estate and recorded a gain of $10.5 million in the Gains and other income line on our Statements of Income for the twelve and twenty-four weeks ended June 17,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During the first quarter of 2015, we sold real property located in Marco Island, Florida, consisting of $3.1 million of vacation ownership inventory, to a third-party developer. We received consideration consisting of $5.4 million of cash and a note receivable of $0.5 million. We did not recognize any gain or loss on this transaction.</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accordance with our agreement with the third-party developer, we are obligated to repurchase the completed property from the developer contingent upon the property meeting our brand standards, provided that the third-party developer has not sold the property to another party. In accordance with the authoritative guidance on accounting for sales of real estate,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of June 17, 2016, our Balance Sheet reflects $8.5 million of Other liabilities that relate to the deferral of gain recognition for this transaction, which will reduce our basis in the asset if we repurchase the property. In addition, the note receivable of $0.5 million and other receivables of $0.2 million are included in the Accounts and contracts receivable line on the Balance Sheet as of June 17, 2016. The cash consideration received for the sale of the real property is included in Proceeds from vacation ownership inventory arrangements on our Cash Flows for the twenty-four weeks ended June 19, 2015. We believe that our maximum exposure to loss as a result of our involvement with this variable interest entity is our interest in the note receivable and the other receivables discussed above as of June 17, 2016.</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00" w:type="dxa"/>
            <w:vAlign w:val="bottom"/>
          </w:tcPr>
          <w:p>
            <w:pPr>
              <w:spacing w:after="0"/>
              <w:rPr>
                <w:sz w:val="14"/>
                <w:szCs w:val="14"/>
                <w:color w:val="auto"/>
              </w:rPr>
            </w:pPr>
          </w:p>
        </w:tc>
        <w:tc>
          <w:tcPr>
            <w:tcW w:w="288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ind w:left="50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2"/>
              </w:rPr>
              <w:t>June 17, 2016</w:t>
            </w:r>
            <w:r>
              <w:rPr>
                <w:rFonts w:ascii="Arial" w:cs="Arial" w:eastAsia="Arial" w:hAnsi="Arial"/>
                <w:sz w:val="12"/>
                <w:szCs w:val="12"/>
                <w:b w:val="1"/>
                <w:bCs w:val="1"/>
                <w:color w:val="auto"/>
                <w:w w:val="92"/>
              </w:rPr>
              <w:t>(1)</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2"/>
              </w:rPr>
              <w:t>June 19, 2015</w:t>
            </w:r>
            <w:r>
              <w:rPr>
                <w:rFonts w:ascii="Arial" w:cs="Arial" w:eastAsia="Arial" w:hAnsi="Arial"/>
                <w:sz w:val="12"/>
                <w:szCs w:val="12"/>
                <w:b w:val="1"/>
                <w:bCs w:val="1"/>
                <w:color w:val="auto"/>
                <w:w w:val="92"/>
              </w:rPr>
              <w:t>(2)</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2"/>
              </w:rPr>
              <w:t>June 17, 2016</w:t>
            </w:r>
            <w:r>
              <w:rPr>
                <w:rFonts w:ascii="Arial" w:cs="Arial" w:eastAsia="Arial" w:hAnsi="Arial"/>
                <w:sz w:val="12"/>
                <w:szCs w:val="12"/>
                <w:b w:val="1"/>
                <w:bCs w:val="1"/>
                <w:color w:val="auto"/>
                <w:w w:val="92"/>
              </w:rPr>
              <w:t>(1)</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2"/>
              </w:rPr>
              <w:t>June 19, 2015</w:t>
            </w:r>
            <w:r>
              <w:rPr>
                <w:rFonts w:ascii="Arial" w:cs="Arial" w:eastAsia="Arial" w:hAnsi="Arial"/>
                <w:sz w:val="12"/>
                <w:szCs w:val="12"/>
                <w:b w:val="1"/>
                <w:bCs w:val="1"/>
                <w:color w:val="auto"/>
                <w:w w:val="92"/>
              </w:rPr>
              <w:t>(2)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Computation of Basic Earnings Per Share</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36,309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34,041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60,717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31,858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28,734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Diluted Earnings Per Share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36,309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34,041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60,717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Effect of dilutive shares outstanding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for diluted earnings per share</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32,517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29,244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0033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8" w:lineRule="exact"/>
        <w:rPr>
          <w:sz w:val="20"/>
          <w:szCs w:val="20"/>
          <w:color w:val="auto"/>
        </w:rPr>
      </w:pPr>
    </w:p>
    <w:p>
      <w:pPr>
        <w:ind w:left="740" w:right="800" w:hanging="273"/>
        <w:spacing w:after="0" w:line="281" w:lineRule="auto"/>
        <w:tabs>
          <w:tab w:leader="none" w:pos="740" w:val="left"/>
        </w:tabs>
        <w:numPr>
          <w:ilvl w:val="0"/>
          <w:numId w:val="7"/>
        </w:numPr>
        <w:rPr>
          <w:rFonts w:ascii="Arial" w:cs="Arial" w:eastAsia="Arial" w:hAnsi="Arial"/>
          <w:sz w:val="14"/>
          <w:szCs w:val="14"/>
          <w:color w:val="auto"/>
        </w:rPr>
      </w:pPr>
      <w:r>
        <w:rPr>
          <w:rFonts w:ascii="Arial" w:cs="Arial" w:eastAsia="Arial" w:hAnsi="Arial"/>
          <w:sz w:val="17"/>
          <w:szCs w:val="17"/>
          <w:color w:val="auto"/>
        </w:rPr>
        <w:t>The computations of diluted earnings per share exclude approximately 263,000 shares of common stock, the maximum number of shares issuable as of June 17, 2016 upon the vesting of certain performance-based awards, because the performance conditions required for the shares subject to such awards to vest were not achieved by the end of the reporting period.</w:t>
      </w:r>
    </w:p>
    <w:p>
      <w:pPr>
        <w:spacing w:after="0" w:line="2" w:lineRule="exact"/>
        <w:rPr>
          <w:rFonts w:ascii="Arial" w:cs="Arial" w:eastAsia="Arial" w:hAnsi="Arial"/>
          <w:sz w:val="14"/>
          <w:szCs w:val="14"/>
          <w:color w:val="auto"/>
        </w:rPr>
      </w:pPr>
    </w:p>
    <w:p>
      <w:pPr>
        <w:ind w:left="740" w:right="800" w:hanging="273"/>
        <w:spacing w:after="0" w:line="286" w:lineRule="auto"/>
        <w:tabs>
          <w:tab w:leader="none" w:pos="740" w:val="left"/>
        </w:tabs>
        <w:numPr>
          <w:ilvl w:val="0"/>
          <w:numId w:val="7"/>
        </w:numPr>
        <w:rPr>
          <w:rFonts w:ascii="Arial" w:cs="Arial" w:eastAsia="Arial" w:hAnsi="Arial"/>
          <w:sz w:val="14"/>
          <w:szCs w:val="14"/>
          <w:color w:val="auto"/>
        </w:rPr>
      </w:pPr>
      <w:r>
        <w:rPr>
          <w:rFonts w:ascii="Arial" w:cs="Arial" w:eastAsia="Arial" w:hAnsi="Arial"/>
          <w:sz w:val="17"/>
          <w:szCs w:val="17"/>
          <w:color w:val="auto"/>
        </w:rPr>
        <w:t>The computations of diluted earnings per share exclude approximately 180,000 shares of common stock, the maximum number of shares issuable as of June 19, 2015 upon the vesting of certain performance-based awards, because the performance conditions required for the shares subject to such awards to vest were not achieved by the end of the reporting period.</w:t>
      </w:r>
    </w:p>
    <w:p>
      <w:pPr>
        <w:spacing w:after="0" w:line="179"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In accordance with the applicable accounting guidance for calculating earnings per share, for the twelve week period ending June 17, 2016, we excluded from our calculation of diluted earnings per share 62,018 shares underlying stock appreciation rights (“SARs”) that may be settled in shares of common stock, with an exercise price of $77.42, because this exercise price was greater than the average market price for the applicable period. For the twelve week period ending June 19, 2015, we have not excluded from our calculation of diluted earnings per share any shares underlying SARs that may be settled in shares of common stock, as no exercise prices were greater than the average market prices for the applicable period.</w:t>
      </w:r>
    </w:p>
    <w:p>
      <w:pPr>
        <w:spacing w:after="0" w:line="15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For the twenty-four week period ending June 17, 2016, we excluded from our calculation of diluted earnings per share 194,615 shares underlying SARs that may be settled in shares of common stock, with exercise prices ranging from $61.71 to $77.42, because these exercise prices were greater than the average market price for the applicable period. For the twenty-four week period ending June 19, 2015, we have not excluded from our calculation of diluted earnings per share any shares underlying SARs that may be settled in shares of common stock as no exercise prices were greater than the average market prices for the applicable period.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44"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13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At June 17, 2016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At January 1, 2016</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296,452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332,888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Work-in-progress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76,628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5"/>
                <w:szCs w:val="15"/>
                <w:color w:val="auto"/>
              </w:rPr>
              <w:t>(2)</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324,793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331,042</w:t>
            </w:r>
          </w:p>
        </w:tc>
        <w:tc>
          <w:tcPr>
            <w:tcW w:w="60" w:type="dxa"/>
            <w:vAlign w:val="bottom"/>
            <w:shd w:val="clear" w:color="auto" w:fill="CCEEFF"/>
          </w:tcPr>
          <w:p>
            <w:pPr>
              <w:spacing w:after="0"/>
              <w:rPr>
                <w:sz w:val="18"/>
                <w:szCs w:val="18"/>
                <w:color w:val="auto"/>
              </w:rPr>
            </w:pPr>
          </w:p>
        </w:tc>
      </w:tr>
      <w:tr>
        <w:trPr>
          <w:trHeight w:val="223"/>
        </w:trPr>
        <w:tc>
          <w:tcPr>
            <w:tcW w:w="5820" w:type="dxa"/>
            <w:vAlign w:val="bottom"/>
          </w:tcPr>
          <w:p>
            <w:pPr>
              <w:ind w:left="1080"/>
              <w:spacing w:after="0"/>
              <w:rPr>
                <w:sz w:val="20"/>
                <w:szCs w:val="20"/>
                <w:color w:val="auto"/>
              </w:rPr>
            </w:pPr>
            <w:r>
              <w:rPr>
                <w:rFonts w:ascii="Arial" w:cs="Arial" w:eastAsia="Arial" w:hAnsi="Arial"/>
                <w:sz w:val="18"/>
                <w:szCs w:val="18"/>
                <w:color w:val="auto"/>
              </w:rPr>
              <w:t>Real estate inventory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697,873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663,930</w:t>
            </w:r>
          </w:p>
        </w:tc>
        <w:tc>
          <w:tcPr>
            <w:tcW w:w="6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5,313</w:t>
            </w:r>
          </w:p>
        </w:tc>
        <w:tc>
          <w:tcPr>
            <w:tcW w:w="60" w:type="dxa"/>
            <w:vAlign w:val="bottom"/>
            <w:shd w:val="clear" w:color="auto" w:fill="CCEEFF"/>
          </w:tcPr>
          <w:p>
            <w:pPr>
              <w:spacing w:after="0"/>
              <w:rPr>
                <w:sz w:val="18"/>
                <w:szCs w:val="18"/>
                <w:color w:val="auto"/>
              </w:rPr>
            </w:pPr>
          </w:p>
        </w:tc>
      </w:tr>
      <w:tr>
        <w:trPr>
          <w:trHeight w:val="223"/>
        </w:trPr>
        <w:tc>
          <w:tcPr>
            <w:tcW w:w="58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702,377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669,243</w:t>
            </w:r>
          </w:p>
        </w:tc>
        <w:tc>
          <w:tcPr>
            <w:tcW w:w="6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94615</wp:posOffset>
            </wp:positionV>
            <wp:extent cx="883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68" w:lineRule="exact"/>
        <w:rPr>
          <w:sz w:val="20"/>
          <w:szCs w:val="20"/>
          <w:color w:val="auto"/>
        </w:rPr>
      </w:pPr>
    </w:p>
    <w:p>
      <w:pPr>
        <w:ind w:left="1320" w:right="1040" w:hanging="279"/>
        <w:spacing w:after="0" w:line="274" w:lineRule="auto"/>
        <w:tabs>
          <w:tab w:leader="none" w:pos="132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ind w:left="1320" w:hanging="279"/>
        <w:spacing w:after="0"/>
        <w:tabs>
          <w:tab w:leader="none" w:pos="132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$69.5 million of inventory related to estimated future foreclosures at June 17, 2016.</w:t>
      </w:r>
    </w:p>
    <w:p>
      <w:pPr>
        <w:spacing w:after="0" w:line="239"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For the twenty-four weeks ended June 17, 2016 and June 19, 2015, product cost true-ups relating to vacation ownership products increased carrying values of inventory by $10.7 million and $3.2 million, respectively.</w:t>
      </w:r>
    </w:p>
    <w:p>
      <w:pPr>
        <w:spacing w:after="0" w:line="187"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During the first half of 2016, $27.3 million was transferred from Property and equipment to Inventory as we commenced conversion of portions of the operating properties in Surfers Paradise, Australia and San Diego, California. The acquisition of these properties was previously included within Operating Activities on our Cash Flows and presented as Purchase of operating properties for future conversion to inventory within Operating Activities.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We are entitled to recover any payments we make to third-party lenders under these guarantees through reacquisition and resale of the financed vacation ownership product. Our commitments under these guarantees expire as the underlying notes mature or are repaid. The terms of the underlying notes extend to 2022. At June 17, 2016, the maximum potential amount of future fundings for financing guarantees where we are the primary obligor was $7.0 million and the carrying amount of the liability for expected future fundings, which is included in our Balance Sheet in the Other caption within Liabilities, was $0.2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to the guarantees we describe in the preceding paragraphs, as of June 17, 2016, we had the following commitments outstanding:</w:t>
      </w:r>
    </w:p>
    <w:p>
      <w:pPr>
        <w:spacing w:after="0" w:line="154" w:lineRule="exact"/>
        <w:rPr>
          <w:sz w:val="20"/>
          <w:szCs w:val="20"/>
          <w:color w:val="auto"/>
        </w:rPr>
      </w:pPr>
    </w:p>
    <w:p>
      <w:pPr>
        <w:ind w:left="1920" w:right="120" w:hanging="318"/>
        <w:spacing w:after="0" w:line="312" w:lineRule="auto"/>
        <w:tabs>
          <w:tab w:leader="none" w:pos="1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various contracts for the use of information technology hardware and software that we use in the normal course of business. Our aggregate commitments under these contracts were $24.3 million, of which we expect $6.9 million, $7.3 million, $3.7 million, $1.9 million, $1.7 million and $2.8 million will be paid in 2016, 2017, 2018, 2019, 2020 and thereafter, respectively.</w:t>
      </w:r>
    </w:p>
    <w:p>
      <w:pPr>
        <w:spacing w:after="0" w:line="52" w:lineRule="exact"/>
        <w:rPr>
          <w:rFonts w:ascii="Arial" w:cs="Arial" w:eastAsia="Arial" w:hAnsi="Arial"/>
          <w:sz w:val="16"/>
          <w:szCs w:val="16"/>
          <w:color w:val="auto"/>
        </w:rPr>
      </w:pPr>
    </w:p>
    <w:p>
      <w:pPr>
        <w:ind w:left="1920" w:hanging="318"/>
        <w:spacing w:after="0"/>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commitments of $2.0 million to subsidize vacation ownership associations, which we expect to pay in 2016.</w:t>
      </w:r>
    </w:p>
    <w:p>
      <w:pPr>
        <w:spacing w:after="0" w:line="130" w:lineRule="exact"/>
        <w:rPr>
          <w:rFonts w:ascii="Arial" w:cs="Arial" w:eastAsia="Arial" w:hAnsi="Arial"/>
          <w:sz w:val="18"/>
          <w:szCs w:val="18"/>
          <w:color w:val="auto"/>
        </w:rPr>
      </w:pPr>
    </w:p>
    <w:p>
      <w:pPr>
        <w:ind w:left="1920" w:hanging="318"/>
        <w:spacing w:after="0" w:line="297" w:lineRule="auto"/>
        <w:tabs>
          <w:tab w:leader="none" w:pos="1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commitment to purchase an operating property located in New York, New York for $158.5 million. We expect to acquire the units in the property, in their current form, over time, and we expect to make payments for these units of $96.8 million and $61.7 million in 2018 and 2019, respectively. We are currently managing this property, which we have rebranded as Marriott Vacation Club Pulse, New York City. In connection with this commitment, we entered into a capital lease arrangement for ancillary and operations space. See Footnote No. 13, “Variable Interest Entities,” for additional information on this transaction.</w:t>
      </w:r>
    </w:p>
    <w:p>
      <w:pPr>
        <w:spacing w:after="0" w:line="63" w:lineRule="exact"/>
        <w:rPr>
          <w:rFonts w:ascii="Arial" w:cs="Arial" w:eastAsia="Arial" w:hAnsi="Arial"/>
          <w:sz w:val="16"/>
          <w:szCs w:val="16"/>
          <w:color w:val="auto"/>
        </w:rPr>
      </w:pPr>
    </w:p>
    <w:p>
      <w:pPr>
        <w:ind w:left="1920" w:right="120" w:hanging="318"/>
        <w:spacing w:after="0" w:line="277" w:lineRule="auto"/>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commitments to purchase vacation ownership units located in two resorts in Bali, Indonesia in two separate transactions, contingent upon completion of construction at agreed upon standards within specified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40" w:right="80"/>
        <w:spacing w:after="0" w:line="297" w:lineRule="auto"/>
        <w:rPr>
          <w:sz w:val="20"/>
          <w:szCs w:val="20"/>
          <w:color w:val="auto"/>
        </w:rPr>
      </w:pPr>
      <w:r>
        <w:rPr>
          <w:rFonts w:ascii="Arial" w:cs="Arial" w:eastAsia="Arial" w:hAnsi="Arial"/>
          <w:sz w:val="16"/>
          <w:szCs w:val="16"/>
          <w:color w:val="auto"/>
        </w:rPr>
        <w:t>timeframes, for use in our Asia Pacific segment. We expect to complete the acquisition of 51 vacation ownership units in 2017 pursuant to one of the commitments, and to make remaining payments with respect to these units, when specific construction milestones are completed, as follows: $2.3 million in 2016 and $19.0 million in 2017. We expect to complete the acquisition of 88 vacation ownership units in 2019 pursuant to the other commitment, and to make payments with respect to these units, when specific construction milestones are completed, as follows: $7.8 million in 2016, $5.9 million in 2018, and $25.4 million in 2019.</w:t>
      </w:r>
    </w:p>
    <w:p>
      <w:pPr>
        <w:spacing w:after="0" w:line="64" w:lineRule="exact"/>
        <w:rPr>
          <w:sz w:val="20"/>
          <w:szCs w:val="20"/>
          <w:color w:val="auto"/>
        </w:rPr>
      </w:pPr>
    </w:p>
    <w:p>
      <w:pPr>
        <w:ind w:left="1920" w:right="420" w:hanging="318"/>
        <w:spacing w:after="0" w:line="264"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commitment of $137.1 million to purchase vacation ownership units located in Marco Island, Florida, of which we expect $33.3 million, $50.0 million and $53.8 million will be paid in 2017, 2018 and 2019, respectively. See Footnote No. 5, “Acquisitions and Dispositions,” for additional information on this transaction.</w:t>
      </w:r>
    </w:p>
    <w:p>
      <w:pPr>
        <w:spacing w:after="0" w:line="86" w:lineRule="exact"/>
        <w:rPr>
          <w:rFonts w:ascii="Arial" w:cs="Arial" w:eastAsia="Arial" w:hAnsi="Arial"/>
          <w:sz w:val="18"/>
          <w:szCs w:val="18"/>
          <w:color w:val="auto"/>
        </w:rPr>
      </w:pPr>
    </w:p>
    <w:p>
      <w:pPr>
        <w:ind w:left="1920" w:hanging="318"/>
        <w:spacing w:after="0" w:line="286" w:lineRule="auto"/>
        <w:tabs>
          <w:tab w:leader="none" w:pos="1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commitment of $91.1 million to purchase vacation ownership units located on the Big Island of Hawaii, contingent upon the completion of renovations to the vacation ownership units. We expect to acquire the completed vacation ownership units in 2017 and to pay the purchase price as follows: $27.5 million in 2017, $32.7 million in 2018 and $30.9 million in 2019.</w:t>
      </w:r>
    </w:p>
    <w:p>
      <w:pPr>
        <w:spacing w:after="0" w:line="70" w:lineRule="exact"/>
        <w:rPr>
          <w:rFonts w:ascii="Arial" w:cs="Arial" w:eastAsia="Arial" w:hAnsi="Arial"/>
          <w:sz w:val="17"/>
          <w:szCs w:val="17"/>
          <w:color w:val="auto"/>
        </w:rPr>
      </w:pPr>
    </w:p>
    <w:p>
      <w:pPr>
        <w:ind w:left="1920" w:right="80" w:hanging="318"/>
        <w:spacing w:after="0" w:line="286" w:lineRule="auto"/>
        <w:tabs>
          <w:tab w:leader="none" w:pos="1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new commitments under operating leases that expire at various dates through 2027. Our aggregate minimum lease payments under these contracts were $23.0 million, of which we expect $0.2 million, $1.6 million, $1.9 million, $2.1 million, $2.4 million and $14.8 million will be paid in 2016, 2017, 2018, 2019, 2020 and thereafter, respectively.</w:t>
      </w:r>
    </w:p>
    <w:p>
      <w:pPr>
        <w:spacing w:after="0" w:line="166"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Surety bonds issued as of June 17, 2016 totaled $56.2 million, the majority of which were requested by federal, state or local governments in connection with our operations.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Additionally, as of June 17, 2016, we had $3.3 million of letters of credit outstanding under our Revolving Corporate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April 2013, Krishna and Sherrie Narayan and other owners of 12 residential units (owners of two of which subsequently agreed to release their claims) at the resort formerly known as The Ritz-Carlton Residences, Kapalua Bay (“Kapalua Bay”) filed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the action vigorously.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beginning September 6, 2016. We filed a petition with the United States Supreme Court seeking review of the Hawaii Supreme Court’s decision. On January 11, 2016, the U.S. Supreme Court issued an order vacating the Hawaii Supreme Court’s decision and remanding the case with instructions to reconsider its ruling in light of a recent U.S. Supreme Court decision reiterating the obligation of courts to enforce arbitration agreements. On January 27, 2016, we filed a motion to stay proceedings in the Circuit Court based on the order of the U.S. Supreme Court. Plaintiffs opposed the motion. The Circuit Court stayed proceedings until August 26, 2016, and set a hearing for that date. Given the inherent uncertainties of litigation, we cannot estimate a range of the potential liability, if any, at this time.</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Plaintiffs appealed that decision to the Hawaii Intermediate Court of Appeals and also initiated arbitration. On July 24, 2015, the Intermediate Court of Appeals reversed the decision of the Circuit Court and directed that the action be reinstated in the Circuit Court, based on the Hawaii Supreme Court’s decision in the Narayan case discussed above, which has since been vacated by the U.S. Supreme Court.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August 2014, Michael and Marla Flynn, owners of weeks-based Marriott Vacation Club vacation ownership products at two of our resorts in Hawaii, filed a claim with the American Arbitration Association on behalf of a putative class consisting of themselves and all others similarly situated. The claimants alleged that the introduction of our points-based MVCD program caused an actionable decrease in the value of their vacation ownership interests. The relief sought included compensatory and exemplary damages, restitution, injunctive relief, interest and attorneys’ fees pursuant to applicable timeshare and unfair trade practices acts, and common-law theories of breach of contract and breach of an implied covenant of good faith and fair dealing. On March 30, 2015, the arbitrator ruled that the Flynns’ claims are not subject to arbitration, and dismissed the Flynn proceeding. On October 2, 2015, Michael and Marla Flynn, joined by Patrick and Mary Flynn as Trustees of the Flynn Family Trust, filed a civil action in the United States District Court for the District of Hawaii, asserting similar claims and seeking similar relief on behalf of themselves and a putative class consisting of themselves and all others similarly situated. On December 24, 2015, we filed a motion to dismiss. On February 29, 2016, the Court granted the motion in part and denied it in part. On June 28, 2016, the parties executed a settlement agreement by which the plaintiffs agreed to release all claims in exchange for a nominal sum.</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26, 2015, we and certain of our subsidiaries were named as defendants in an action filed in the Superior Court of San Francisco County, California, by William and Sharon Petrick and certain other present and former owners of fractional interests at the RCC San Francisco. The case is not filed as a putative class action. The plaintiffs allege that the affiliation of the RCC San Francisco with our points-based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amended complaints on October 9, 2015 and April 25, 2016. We filed a motion to dismiss, and the Court has set a hearing on that motion for August 17, 2016.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179"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On July 18, 2016, RCHFU, L.L.C. and other owners of 50 fractional interests at The Ritz-Carlton Club, Aspen Highlands (“RCC-Aspen Highlands”) filed an amended complaint in the U.S. District Court for the District of Colorado against us and certain of our subsidiaries. The amended complaint alleges that the plaintiffs’ fractional interests were devalued by the affiliation of RCC-Aspen Highlands and other Ritz-Carlton Clubs with our points-based MVCD program. The relief sought includes, among other things, unspecified damages, pre- and post-judgment interest, and attorneys’ fees. The amended complaint also drops all class action allegations that were asserted in prior versions of the complaint.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18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May 20, 2016, we and certain of our subsidiaries were named as defendants in an action filed in the United States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Our response to the complaint is due September 16, 2016. We dispute the material allegations in the complaint and intend to defend against the action vigorously. Given the early stages of the action and the inherent uncertainties of litigation, we cannot estimate a range of the potential liability, if any, at this time.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$2.1 million, of which $1.7 million is included within liabilities on our Balance Sheet at June 17, 2016. This estimate is based on our current development plans, which remain subject to change, and we expect the phases currently under development will be completed by 2016.</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detail on our debt balances, net of unamortized debt issuance costs: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At June 17, 2016</w:t>
            </w:r>
          </w:p>
        </w:tc>
        <w:tc>
          <w:tcPr>
            <w:tcW w:w="16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January 1, 2016</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5"/>
                <w:szCs w:val="15"/>
                <w:color w:val="auto"/>
              </w:rPr>
              <w:t>(1)</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602,806</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684,604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(9,043)</w:t>
            </w:r>
          </w:p>
        </w:tc>
        <w:tc>
          <w:tcPr>
            <w:tcW w:w="6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595,320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675,561</w:t>
            </w:r>
          </w:p>
        </w:tc>
        <w:tc>
          <w:tcPr>
            <w:tcW w:w="60" w:type="dxa"/>
            <w:vAlign w:val="bottom"/>
            <w:shd w:val="clear" w:color="auto" w:fill="CCEEFF"/>
          </w:tcPr>
          <w:p>
            <w:pPr>
              <w:spacing w:after="0"/>
              <w:rPr>
                <w:sz w:val="18"/>
                <w:szCs w:val="18"/>
                <w:color w:val="auto"/>
              </w:rPr>
            </w:pPr>
          </w:p>
        </w:tc>
      </w:tr>
      <w:tr>
        <w:trPr>
          <w:trHeight w:val="324"/>
        </w:trPr>
        <w:tc>
          <w:tcPr>
            <w:tcW w:w="6820" w:type="dxa"/>
            <w:vAlign w:val="bottom"/>
          </w:tcPr>
          <w:p>
            <w:pPr>
              <w:spacing w:after="0"/>
              <w:rPr>
                <w:sz w:val="20"/>
                <w:szCs w:val="20"/>
                <w:color w:val="auto"/>
              </w:rPr>
            </w:pPr>
            <w:r>
              <w:rPr>
                <w:rFonts w:ascii="Arial" w:cs="Arial" w:eastAsia="Arial" w:hAnsi="Arial"/>
                <w:sz w:val="18"/>
                <w:szCs w:val="18"/>
                <w:color w:val="auto"/>
              </w:rPr>
              <w:t>Warehouse credit facility</w:t>
            </w:r>
            <w:r>
              <w:rPr>
                <w:rFonts w:ascii="Arial" w:cs="Arial" w:eastAsia="Arial" w:hAnsi="Arial"/>
                <w:sz w:val="15"/>
                <w:szCs w:val="15"/>
                <w:color w:val="auto"/>
              </w:rPr>
              <w:t>(2)</w:t>
            </w:r>
          </w:p>
        </w:tc>
        <w:tc>
          <w:tcPr>
            <w:tcW w:w="36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89,039</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5"/>
                <w:szCs w:val="15"/>
                <w:color w:val="auto"/>
              </w:rPr>
              <w:t>(3)</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4"/>
        </w:trPr>
        <w:tc>
          <w:tcPr>
            <w:tcW w:w="68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87,666</w:t>
            </w: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107"/>
        </w:trPr>
        <w:tc>
          <w:tcPr>
            <w:tcW w:w="6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Revolving corporate credit facility</w:t>
            </w:r>
            <w:r>
              <w:rPr>
                <w:rFonts w:ascii="Arial" w:cs="Arial" w:eastAsia="Arial" w:hAnsi="Arial"/>
                <w:sz w:val="15"/>
                <w:szCs w:val="15"/>
                <w:color w:val="auto"/>
              </w:rPr>
              <w:t>(4)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5"/>
                <w:szCs w:val="15"/>
                <w:color w:val="auto"/>
              </w:rPr>
              <w:t>(5)</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41,563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324"/>
        </w:trPr>
        <w:tc>
          <w:tcPr>
            <w:tcW w:w="6820" w:type="dxa"/>
            <w:vAlign w:val="bottom"/>
          </w:tcPr>
          <w:p>
            <w:pPr>
              <w:spacing w:after="0"/>
              <w:rPr>
                <w:sz w:val="20"/>
                <w:szCs w:val="20"/>
                <w:color w:val="auto"/>
              </w:rPr>
            </w:pPr>
            <w:r>
              <w:rPr>
                <w:rFonts w:ascii="Arial" w:cs="Arial" w:eastAsia="Arial" w:hAnsi="Arial"/>
                <w:sz w:val="18"/>
                <w:szCs w:val="18"/>
                <w:color w:val="auto"/>
              </w:rPr>
              <w:t>Other debt, gross</w:t>
            </w:r>
          </w:p>
        </w:tc>
        <w:tc>
          <w:tcPr>
            <w:tcW w:w="36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2,186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3,496</w:t>
            </w:r>
          </w:p>
        </w:tc>
        <w:tc>
          <w:tcPr>
            <w:tcW w:w="60" w:type="dxa"/>
            <w:vAlign w:val="bottom"/>
          </w:tcPr>
          <w:p>
            <w:pPr>
              <w:spacing w:after="0"/>
              <w:rPr>
                <w:sz w:val="24"/>
                <w:szCs w:val="24"/>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r>
      <w:tr>
        <w:trPr>
          <w:trHeight w:val="224"/>
        </w:trPr>
        <w:tc>
          <w:tcPr>
            <w:tcW w:w="6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2,058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3,232</w:t>
            </w:r>
          </w:p>
        </w:tc>
        <w:tc>
          <w:tcPr>
            <w:tcW w:w="60" w:type="dxa"/>
            <w:vAlign w:val="bottom"/>
          </w:tcPr>
          <w:p>
            <w:pPr>
              <w:spacing w:after="0"/>
              <w:rPr>
                <w:sz w:val="19"/>
                <w:szCs w:val="19"/>
                <w:color w:val="auto"/>
              </w:rPr>
            </w:pPr>
          </w:p>
        </w:tc>
      </w:tr>
      <w:tr>
        <w:trPr>
          <w:trHeight w:val="107"/>
        </w:trPr>
        <w:tc>
          <w:tcPr>
            <w:tcW w:w="6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7,221</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80"/>
        </w:trPr>
        <w:tc>
          <w:tcPr>
            <w:tcW w:w="68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r>
      <w:tr>
        <w:trPr>
          <w:trHeight w:val="223"/>
        </w:trPr>
        <w:tc>
          <w:tcPr>
            <w:tcW w:w="6820" w:type="dxa"/>
            <w:vAlign w:val="bottom"/>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733,828</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678,793</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1080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8" w:lineRule="exact"/>
        <w:rPr>
          <w:sz w:val="20"/>
          <w:szCs w:val="20"/>
          <w:color w:val="auto"/>
        </w:rPr>
      </w:pPr>
    </w:p>
    <w:p>
      <w:pPr>
        <w:ind w:left="1140" w:hanging="227"/>
        <w:spacing w:after="0"/>
        <w:tabs>
          <w:tab w:leader="none" w:pos="11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Interest rates as of June 17, 2016 range from 2.2% to 6.3% with a weighted average interest rate of 2.6%.</w:t>
      </w:r>
    </w:p>
    <w:p>
      <w:pPr>
        <w:spacing w:after="0" w:line="23" w:lineRule="exact"/>
        <w:rPr>
          <w:rFonts w:ascii="Arial" w:cs="Arial" w:eastAsia="Arial" w:hAnsi="Arial"/>
          <w:sz w:val="15"/>
          <w:szCs w:val="15"/>
          <w:color w:val="auto"/>
        </w:rPr>
      </w:pPr>
    </w:p>
    <w:p>
      <w:pPr>
        <w:ind w:left="1140" w:hanging="227"/>
        <w:spacing w:after="0"/>
        <w:tabs>
          <w:tab w:leader="none" w:pos="11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effective interest rate as of June 17, 2016 was 2.2%.</w:t>
      </w:r>
    </w:p>
    <w:p>
      <w:pPr>
        <w:spacing w:after="0" w:line="9" w:lineRule="exact"/>
        <w:rPr>
          <w:rFonts w:ascii="Arial" w:cs="Arial" w:eastAsia="Arial" w:hAnsi="Arial"/>
          <w:sz w:val="15"/>
          <w:szCs w:val="15"/>
          <w:color w:val="auto"/>
        </w:rPr>
      </w:pPr>
    </w:p>
    <w:p>
      <w:pPr>
        <w:ind w:left="1140" w:right="2360" w:hanging="227"/>
        <w:spacing w:after="0" w:line="250" w:lineRule="auto"/>
        <w:tabs>
          <w:tab w:leader="none" w:pos="11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As no borrowings were outstanding at January 1, 2016, unamortized debt issuance costs of $1.8 million were included in the Other line within Assets on the Balance Sheet.</w:t>
      </w:r>
    </w:p>
    <w:p>
      <w:pPr>
        <w:ind w:left="1140" w:hanging="227"/>
        <w:spacing w:after="0"/>
        <w:tabs>
          <w:tab w:leader="none" w:pos="11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effective interest rate as of June 17, 2016 was 4.4%.</w:t>
      </w:r>
    </w:p>
    <w:p>
      <w:pPr>
        <w:spacing w:after="0" w:line="9" w:lineRule="exact"/>
        <w:rPr>
          <w:rFonts w:ascii="Arial" w:cs="Arial" w:eastAsia="Arial" w:hAnsi="Arial"/>
          <w:sz w:val="15"/>
          <w:szCs w:val="15"/>
          <w:color w:val="auto"/>
        </w:rPr>
      </w:pPr>
    </w:p>
    <w:p>
      <w:pPr>
        <w:ind w:left="1140" w:right="2360" w:hanging="227"/>
        <w:spacing w:after="0" w:line="261" w:lineRule="auto"/>
        <w:tabs>
          <w:tab w:leader="none" w:pos="11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As no borrowings were outstanding at January 1, 2016, unamortized debt issuance costs of $3.7 million were included in the Other line within Assets on the Balance Sheet.</w:t>
      </w:r>
    </w:p>
    <w:p>
      <w:pPr>
        <w:spacing w:after="0" w:line="184"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See Footnote No. 13, “Variable Interest Entities,” for a discussion of the collateral for the non-recourse debt associated with the securitized vacation ownership notes receivable and the Warehouse Credit Facility. The Warehouse Credit Facility currently terminates on November 22, 2017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We generally expect to securitize our vacation ownership notes receivable, including any vacation ownership notes receivable held in the Warehouse Credit Facility, in the ABS market once per year.</w:t>
      </w:r>
    </w:p>
    <w:p>
      <w:pPr>
        <w:spacing w:after="0" w:line="17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Any amounts that are borrowed under our Revolving Corporate Credit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Vacation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Warehouse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Revolving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Ownership</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8"/>
              </w:rPr>
              <w:t>Credit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Credit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 xml:space="preserve">Securitizations </w:t>
            </w:r>
            <w:r>
              <w:rPr>
                <w:rFonts w:ascii="Arial" w:cs="Arial" w:eastAsia="Arial" w:hAnsi="Arial"/>
                <w:sz w:val="12"/>
                <w:szCs w:val="12"/>
                <w:b w:val="1"/>
                <w:bCs w:val="1"/>
                <w:color w:val="auto"/>
                <w:w w:val="94"/>
              </w:rPr>
              <w:t>(1)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Debt</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Leases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Principal Payments Year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2016</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52,052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2,643</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54,755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85,036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5,012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7,221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80,615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81,384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162,068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72,365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6"/>
              </w:rPr>
              <w:t>117,439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69,714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69,795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243,024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6"/>
              </w:rPr>
              <w:t>244,262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Balance at June 17, 2016</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602,806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89,039</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45,000</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2,186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7,221</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6"/>
              </w:rPr>
              <w:t>746,252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003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8" w:lineRule="exact"/>
        <w:rPr>
          <w:sz w:val="20"/>
          <w:szCs w:val="20"/>
          <w:color w:val="auto"/>
        </w:rPr>
      </w:pPr>
    </w:p>
    <w:p>
      <w:pPr>
        <w:ind w:left="780" w:hanging="31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 debt associated with our vacation ownership notes receivable securitizations and the Warehouse Credit Facility is non-recourse to us.</w:t>
      </w:r>
    </w:p>
    <w:p>
      <w:pPr>
        <w:spacing w:after="0" w:line="237"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24"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We paid cash for interest, net of amounts capitalized, of $8.9 million and $12.1 million in the twenty-four weeks ended June 17, 2016 and June 19, 2015,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twenty-four weeks ended June 17, 2016 and as of June 17, 2016, no securitized vacation ownership notes receivable pools were out of compliance with the established parameters. As of June 17, 2016, we had 6 securitized vacation ownership notes receivable pools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 Borrowing</w:t>
      </w:r>
    </w:p>
    <w:p>
      <w:pPr>
        <w:spacing w:after="0" w:line="117"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During the first half of 2016, we securitized vacation ownership notes receivable under our Warehouse Credit Facility. The total carrying amount of the vacation ownership notes receivable securitized was $107.7 million. The advance rate was 85 percent, which resulted in total gross proceeds of $91.3 million. The total net proceeds were $90.6 million due to the funding of reserve accounts in the amount of $0.7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Revolving Corporate Credit Facility</w:t>
      </w:r>
    </w:p>
    <w:p>
      <w:pPr>
        <w:spacing w:after="0" w:line="11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During the second quarter of 2016, we entered into an amendment to the Revolving Corporate Credit Facility. Among other things, the amendment modifies certain of the financial covenants contained in the Revolving Corporate Credit Facility in a manner more favorable to us. The minimum consolidated tangible net worth covenant has been amended to require us to maintain a minimum consolidated tangible net worth (as defined in the Revolving Corporate Credit Facility) equal to the sum of (1) 70 percent, rather than 75 percent, of our relevant baseline net worth and (2) 70 percent, rather than 80 percent, of increases in such net worth resulting from certain equity offerings. In addition, we are required to maintain a ratio of our borrowing base amount (as defined in the Revolving Corporate Credit Facility) to the sum of (1) total extensions of credit under the Revolving Corporate Credit Facility and (2) the excess (if any) of all unrealized losses over all unrealized profits of certain swap agreements, of at least 1 to 1, rather than 1:25 to 1. The amendment also adds certain technical provisions with respect to the impact of European Union bail-in banking legislation on liabilities of certain non-U.S. financial institutions. The other terms of the Revolving Corporate Credit Facility are substantially similar to those in effect prior to the execution of the amendment.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right="480" w:firstLine="913"/>
        <w:spacing w:after="0" w:line="264" w:lineRule="auto"/>
        <w:rPr>
          <w:sz w:val="20"/>
          <w:szCs w:val="20"/>
          <w:color w:val="auto"/>
        </w:rPr>
      </w:pPr>
      <w:r>
        <w:rPr>
          <w:rFonts w:ascii="Arial" w:cs="Arial" w:eastAsia="Arial" w:hAnsi="Arial"/>
          <w:sz w:val="18"/>
          <w:szCs w:val="18"/>
          <w:color w:val="auto"/>
        </w:rPr>
        <w:t>During the first quarter of 2016, we entered into a capital lease arrangement for ancillary and operations space in connection with the commitment to purchase an operating property located in New York, New York. See Footnote No. 8, “Contingencies and Commitments,” for additional information on this transaction.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12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October 2011, our subsidiary MVW US Holdings, Inc. (“MVW US Holdings”) issued $40.0 million of its mandatorily redeemable Series A (non-voting) preferred stock to Marriott International as part of Marriott International’s internal reorganization prior to our spin-off from Marriott International. Subsequently, Marriott International sold all of this preferred stock to third-party investors. Until October 2016, the Series A preferred stock will pay an annual cash dividend equal to the five-year U.S. Treasury Rate as of October 19, 2011, plus a spread of 10.958 percent, for a total annual cash dividend rate of 12 percent. In October 2016,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$40.0 million plus any accrued and unpaid dividends and an additional premium if liquidation occurs during the first five years after the issuance of the preferred stock. As of June 17, 2016,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83"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following table provides detail on our mandatorily redeemable preferred stock of consolidated subsidiary balance, net of unamortized debt issuance costs: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14"/>
                <w:szCs w:val="14"/>
                <w:color w:val="auto"/>
              </w:rPr>
            </w:pPr>
          </w:p>
        </w:tc>
        <w:tc>
          <w:tcPr>
            <w:tcW w:w="118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At June 17, 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At January 1, 2016</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jc w:val="right"/>
              <w:ind w:right="1654"/>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June 17, 2016, there were 36,620,686 shares of Marriott Vacations Worldwide common stock issued, of which 26,980,213 shares were outstanding and 9,640,473 shares were held as treasury stock. At January 1, 2016, there were 36,393,800 shares of Marriott Vacations Worldwide common stock issued, of which 29,549,544 shares were outstanding and 6,844,256 shares were held as treasury stock. Marriott Vacations Worldwide has 2,000,000 authorized shares of preferred stock, par value of $0.01 per share, none of which were issued or outstanding as of June 17, 2016 or January 1, 2016.</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details changes in shareholders’ equity during the twenty-four weeks ended June 17, 2016:</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86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4"/>
                <w:szCs w:val="14"/>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right="153"/>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(429,990)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1,150,731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11,381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243,781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976,267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60,717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Derivative instruments adjustment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Amounts related to share-based compensation</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(163,359)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(163,359)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Accelerated stock repurchase forward contract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Dividends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plan issuance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Balance at June 17, 2016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(593,052)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1,139,366</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12,735</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287,333</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846,748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Cost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49"/>
        </w:trPr>
        <w:tc>
          <w:tcPr>
            <w:tcW w:w="60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Price Paid</w:t>
            </w:r>
          </w:p>
        </w:tc>
      </w:tr>
      <w:tr>
        <w:trPr>
          <w:trHeight w:val="171"/>
        </w:trPr>
        <w:tc>
          <w:tcPr>
            <w:tcW w:w="60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Repurchased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 2016</w:t>
            </w: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6,854,083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For the twenty-four weeks ended June 17, 2016</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2,801,035</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163,359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6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As of June 17, 2016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9,655,118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6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On February 11, 2016, our Board of Directors approved the repurchase of up to an additional 2,000,000 shares of our common stock under our existing share repurchase program through March 24, 2017. Prior to that authorization, our Board of Directors had authorized the repurchase of an aggregate of up to 8,900,000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During the second quarter of 2016, pursuant to our existing share repurchase program, we entered into an accelerated share repurchase agreement (“ASR”) with a financial institution to repurchase shares of our common stock. Under the agreement, we paid $85.0 million to the financial institution and received an initial delivery of 1,168,917 shares of our common stock on June 16, 2016, which are included in treasury stock. We accounted for the ASR as two separate transactions: (i) a purchase of treasury stock and (ii) a forward contract indexed to our common stock.</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recorded $70.5 million as treasury stock and $14.5 million, the implied value of the forward contract, in Additional paid-in capital on the Balance Sheet as of June 17, 2016. The total number of shares that we ultimately receive under the ASR will be determined based on the average daily volume-weighted average share price of our common stock over the duration of the ASR, less an agreed discount, and may be subject to adjustments for certain events. The maximum number of additional shares that may be delivered to us under the ASR is 834,940. As the remainder of the shares are delivered to us, we will reclassify the implied value of the forward contract from additional paid-in capital to treasury stock. Final settlement will occur in the second half of 2016.</w:t>
      </w:r>
    </w:p>
    <w:p>
      <w:pPr>
        <w:spacing w:after="0" w:line="193"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As of June 17, 2016, 1.2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declared cash dividends to holders of common stock during the twenty-four weeks ended June 17, 2016 as follows:</w:t>
      </w:r>
    </w:p>
    <w:p>
      <w:pPr>
        <w:spacing w:after="0" w:line="244"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2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Declaration Date</w:t>
            </w:r>
          </w:p>
        </w:tc>
        <w:tc>
          <w:tcPr>
            <w:tcW w:w="28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Shareholder Record Date</w:t>
            </w:r>
          </w:p>
        </w:tc>
        <w:tc>
          <w:tcPr>
            <w:tcW w:w="2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Distribution Date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Dividend per Share</w:t>
            </w:r>
          </w:p>
        </w:tc>
      </w:tr>
      <w:tr>
        <w:trPr>
          <w:trHeight w:val="210"/>
        </w:trPr>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11, 2016</w:t>
            </w:r>
          </w:p>
        </w:tc>
        <w:tc>
          <w:tcPr>
            <w:tcW w:w="5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25, 2016</w:t>
            </w:r>
          </w:p>
        </w:tc>
        <w:tc>
          <w:tcPr>
            <w:tcW w:w="5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10, 2016</w:t>
            </w:r>
          </w:p>
        </w:tc>
        <w:tc>
          <w:tcPr>
            <w:tcW w:w="5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$ 0.30</w:t>
            </w:r>
          </w:p>
        </w:tc>
      </w:tr>
      <w:tr>
        <w:trPr>
          <w:trHeight w:val="230"/>
        </w:trPr>
        <w:tc>
          <w:tcPr>
            <w:tcW w:w="23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May 12, 2016</w:t>
            </w:r>
          </w:p>
        </w:tc>
        <w:tc>
          <w:tcPr>
            <w:tcW w:w="284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May 26, 2016</w:t>
            </w:r>
          </w:p>
        </w:tc>
        <w:tc>
          <w:tcPr>
            <w:tcW w:w="23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June 9, 2016</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$ 0.30</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Any future dividend payments will be subject to Board approval, and there can be no assurance that we will pay dividends in the future.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“Stock Plan”). As of June 17, 2016, 1.5 million shares were available for grants under the Stock Plan.</w:t>
      </w:r>
    </w:p>
    <w:p>
      <w:pPr>
        <w:spacing w:after="0" w:line="170"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our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17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$4.4 million and $4.0 million for the twelve weeks ended June 17, 2016 and June 19, 2015, respectively, and $6.9 million and $6.6 million for the twenty-four weeks ended June 17, 2016 and June 19, 2015, respectively. Our deferred compensation liability related to unvested awards held by our employees totaled $22.5 million and $13.3 million at June 17, 2016 and January 1, 2016,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granted 168,228 RSUs, exclusive of RSUs with performance vesting conditions, to our employees and non-employee directors during the twenty-four weeks ended June 17, 2016. RSUs granted in the twenty-four weeks ended June 17, 2016 had a weighted average grant-date fair value of $58.77. RSUs issued to our employees generally vest over four years in annual installments commencing one year after the date of grant. RSUs issued to our non-employee directors vest in full on the date of grant.</w:t>
      </w:r>
    </w:p>
    <w:p>
      <w:pPr>
        <w:spacing w:after="0" w:line="18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During the twenty-four weeks ended June 17, 2016 and June 19, 2015, we granted RSUs with performance vesting conditions to members of management. The number of RSUs earned, if any, is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the twenty-four weeks ended June 17, 2016 and June 19, 2015 was approximately 144,000 and 74,000, respectively.</w:t>
      </w:r>
    </w:p>
    <w:p>
      <w:pPr>
        <w:sectPr>
          <w:pgSz w:w="11900" w:h="16838" w:orient="portrait"/>
          <w:cols w:equalWidth="0" w:num="1">
            <w:col w:w="11400"/>
          </w:cols>
          <w:pgMar w:left="240" w:top="45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We granted 132,597 SARs to members of management during the twenty-four weeks ended June 17, 2016. These SARs had a weighted average grant-date fair value of $16.12 and a weighted average exercise price of $61.71. SARs generally expire ten years after the date of grant and both vest and become exercisable in cumulative installments of one quarter of the grant at the end of each of the first four years following the date of grant.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125"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Stock Plan in the twenty-four weeks ended June 17, 2016,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outlines the assumptions used to estimate the fair value of grants during the twenty-four weeks ended June 17, 2016:</w:t>
      </w:r>
    </w:p>
    <w:p>
      <w:pPr>
        <w:spacing w:after="0" w:line="27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Dividend yield</w:t>
            </w:r>
          </w:p>
        </w:tc>
        <w:tc>
          <w:tcPr>
            <w:tcW w:w="22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6.25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8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June 17, 2016:</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Vacation Ownership</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1"/>
              </w:rPr>
              <w:t>Warehouse Credit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Securitizations</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Facility</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582,274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96,911</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679,185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35,402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3,993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621,180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101,512</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722,692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Debt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602,806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89,039</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691,845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604,020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89,226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693,246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June 17, 2016:</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Warehouse Credit</w:t>
            </w:r>
          </w:p>
        </w:tc>
        <w:tc>
          <w:tcPr>
            <w:tcW w:w="360" w:type="dxa"/>
            <w:vAlign w:val="bottom"/>
          </w:tcPr>
          <w:p>
            <w:pPr>
              <w:spacing w:after="0"/>
              <w:rPr>
                <w:sz w:val="14"/>
                <w:szCs w:val="1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Securitizations</w:t>
            </w:r>
          </w:p>
        </w:tc>
        <w:tc>
          <w:tcPr>
            <w:tcW w:w="18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Facility</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3,654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twenty-four weeks ended June 17, 2016:</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Warehouse Credit</w:t>
            </w:r>
          </w:p>
        </w:tc>
        <w:tc>
          <w:tcPr>
            <w:tcW w:w="360" w:type="dxa"/>
            <w:vAlign w:val="bottom"/>
          </w:tcPr>
          <w:p>
            <w:pPr>
              <w:spacing w:after="0"/>
              <w:rPr>
                <w:sz w:val="14"/>
                <w:szCs w:val="1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Securitizations</w:t>
            </w:r>
          </w:p>
        </w:tc>
        <w:tc>
          <w:tcPr>
            <w:tcW w:w="18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Facility</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7,624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853</w:t>
            </w:r>
          </w:p>
        </w:tc>
        <w:tc>
          <w:tcPr>
            <w:tcW w:w="16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twenty-four weeks ended June 17, 2016 and June 19, 2015:</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256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2"/>
              </w:rPr>
              <w:t>June 19,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Principal receipts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78,698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86,675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receipts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40,197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Reserve release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119,160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130,569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(69,074)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1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(12,724)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Voluntary clean-up call</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Interest to investors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(7,030)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(88,828)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Net Cash Flows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30,332</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424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cash flows between us and the Warehouse Credit Facility variable interest entity during the twenty-four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17, 2016 and June 19, 2015:</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256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June 17, 2016</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June 19, 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Proceeds from vacation ownership notes receivable securitizations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91,281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receipts</w:t>
            </w: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2,965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97,895</w:t>
            </w: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Principal to investors</w:t>
            </w:r>
          </w:p>
        </w:tc>
        <w:tc>
          <w:tcPr>
            <w:tcW w:w="1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to investors</w:t>
            </w:r>
          </w:p>
        </w:tc>
        <w:tc>
          <w:tcPr>
            <w:tcW w:w="1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Funding of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(3,635)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(707)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94,260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June 17,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investments in the Joint Venture to zero. At June 17, 2016, we had an accrual of $2.1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16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have a commitment to purchase an operating property located in New York, New York, that we currently manage as Marriott Vacation Club Pulse, New York City. Refer to Footnote No. 8,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June 17, 2016, our Balance Sheet reflects a $7.1 million capital lease asset and a $7.2 million capital lease liability for ancillary and operations space we lease from the variable interest entity. In addition, our Balance Sheet reflects a note receivable of $0.5 million from this variable interest entity, which we believe is our maximum exposure to loss as a result of our involvement with this variable interest entity as of June 17, 2016.</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w:t>
      </w:r>
    </w:p>
    <w:p>
      <w:pPr>
        <w:spacing w:after="0" w:line="12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1480" w:right="240" w:hanging="446"/>
        <w:spacing w:after="0" w:line="302" w:lineRule="auto"/>
        <w:tabs>
          <w:tab w:leader="none" w:pos="1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and related products under the Marriott Vacation Club and Grand Residences by Marriott brands. In 2016, we introduced Marriott Vacation Club Pulse</w:t>
      </w:r>
      <w:r>
        <w:rPr>
          <w:rFonts w:ascii="Arial" w:cs="Arial" w:eastAsia="Arial" w:hAnsi="Arial"/>
          <w:sz w:val="13"/>
          <w:szCs w:val="13"/>
          <w:color w:val="auto"/>
        </w:rPr>
        <w:t>SM</w:t>
      </w:r>
      <w:r>
        <w:rPr>
          <w:rFonts w:ascii="Arial" w:cs="Arial" w:eastAsia="Arial" w:hAnsi="Arial"/>
          <w:sz w:val="16"/>
          <w:szCs w:val="16"/>
          <w:color w:val="auto"/>
        </w:rPr>
        <w:t>, an extension to the Marriott Vacation Club brand. We also develop, market and sell vacation ownership and related products under The Ritz-Carlton Destination Club brand, as well as whole ownership residential products under The Ritz-Carlton Residences brand.</w:t>
      </w:r>
    </w:p>
    <w:p>
      <w:pPr>
        <w:spacing w:after="0" w:line="59" w:lineRule="exact"/>
        <w:rPr>
          <w:rFonts w:ascii="Arial" w:cs="Arial" w:eastAsia="Arial" w:hAnsi="Arial"/>
          <w:sz w:val="16"/>
          <w:szCs w:val="16"/>
          <w:color w:val="auto"/>
        </w:rPr>
      </w:pPr>
    </w:p>
    <w:p>
      <w:pPr>
        <w:ind w:left="1480" w:right="4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75" w:lineRule="exact"/>
        <w:rPr>
          <w:rFonts w:ascii="Arial" w:cs="Arial" w:eastAsia="Arial" w:hAnsi="Arial"/>
          <w:sz w:val="18"/>
          <w:szCs w:val="18"/>
          <w:color w:val="auto"/>
        </w:rPr>
      </w:pPr>
    </w:p>
    <w:p>
      <w:pPr>
        <w:jc w:val="both"/>
        <w:ind w:left="1480" w:right="100" w:hanging="446"/>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gridSpan w:val="2"/>
            <w:vMerge w:val="restart"/>
          </w:tcPr>
          <w:p>
            <w:pPr>
              <w:ind w:left="46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4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June 17, 2016</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0"/>
              </w:rPr>
              <w:t>June 19, 2015</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June 17, 2016</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0"/>
              </w:rPr>
              <w:t>June 19,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384,486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384,489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Europe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26,256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26,621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19,203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11,717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Total segment revenues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429,945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422,827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854,988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429,945</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422,827</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854,988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Income (Loss)</w:t>
            </w: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00" w:type="dxa"/>
            <w:vAlign w:val="bottom"/>
            <w:gridSpan w:val="2"/>
            <w:vMerge w:val="restart"/>
          </w:tcPr>
          <w:p>
            <w:pPr>
              <w:ind w:left="46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24"/>
                <w:szCs w:val="24"/>
                <w:color w:val="auto"/>
              </w:rPr>
            </w:pPr>
          </w:p>
        </w:tc>
        <w:tc>
          <w:tcPr>
            <w:tcW w:w="24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June 17, 2016</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0"/>
              </w:rPr>
              <w:t>June 19, 2015</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June 17, 2016</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0"/>
              </w:rPr>
              <w:t>June 19,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Europe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Total segment financial results</w:t>
            </w:r>
          </w:p>
        </w:tc>
        <w:tc>
          <w:tcPr>
            <w:tcW w:w="1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111,414</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107,554</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202,334</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(50,247)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(99,960)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(40,615)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36,309</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34,041</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25</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4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1260" w:type="dxa"/>
            <w:vAlign w:val="bottom"/>
          </w:tcPr>
          <w:p>
            <w:pPr>
              <w:jc w:val="right"/>
              <w:ind w:right="133"/>
              <w:spacing w:after="0"/>
              <w:rPr>
                <w:sz w:val="20"/>
                <w:szCs w:val="20"/>
                <w:color w:val="auto"/>
              </w:rPr>
            </w:pPr>
            <w:r>
              <w:rPr>
                <w:rFonts w:ascii="Arial" w:cs="Arial" w:eastAsia="Arial" w:hAnsi="Arial"/>
                <w:sz w:val="14"/>
                <w:szCs w:val="14"/>
                <w:b w:val="1"/>
                <w:bCs w:val="1"/>
                <w:color w:val="auto"/>
                <w:w w:val="92"/>
              </w:rPr>
              <w:t>At June 17, 2016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At January 1, 2016</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1,926,351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1,900,178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70,355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80,839</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99,448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134,661</w:t>
            </w:r>
          </w:p>
        </w:tc>
        <w:tc>
          <w:tcPr>
            <w:tcW w:w="60" w:type="dxa"/>
            <w:vAlign w:val="bottom"/>
            <w:shd w:val="clear" w:color="auto" w:fill="CCEEFF"/>
          </w:tcPr>
          <w:p>
            <w:pPr>
              <w:spacing w:after="0"/>
              <w:rPr>
                <w:sz w:val="18"/>
                <w:szCs w:val="18"/>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 segment assets</w:t>
            </w:r>
          </w:p>
        </w:tc>
        <w:tc>
          <w:tcPr>
            <w:tcW w:w="20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2,096,154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2,115,678</w:t>
            </w:r>
          </w:p>
        </w:tc>
        <w:tc>
          <w:tcPr>
            <w:tcW w:w="6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157,400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284,040</w:t>
            </w:r>
          </w:p>
        </w:tc>
        <w:tc>
          <w:tcPr>
            <w:tcW w:w="60" w:type="dxa"/>
            <w:vAlign w:val="bottom"/>
            <w:shd w:val="clear" w:color="auto" w:fill="CCEEFF"/>
          </w:tcPr>
          <w:p>
            <w:pPr>
              <w:spacing w:after="0"/>
              <w:rPr>
                <w:sz w:val="18"/>
                <w:szCs w:val="18"/>
                <w:color w:val="auto"/>
              </w:rPr>
            </w:pPr>
          </w:p>
        </w:tc>
      </w:tr>
      <w:tr>
        <w:trPr>
          <w:trHeight w:val="223"/>
        </w:trPr>
        <w:tc>
          <w:tcPr>
            <w:tcW w:w="54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2,253,554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2,399,718</w:t>
            </w:r>
          </w:p>
        </w:tc>
        <w:tc>
          <w:tcPr>
            <w:tcW w:w="6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Warehouse Credit Facility Borrowing</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Subsequent to the end of the second quarter of 2016, we securitized vacation ownership notes receivable under our Warehouse Credit Facility. The carrying amount of the vacation ownership notes receivable securitized was $41.8 million. The advance rate was 85 percent, which resulted in gross proceeds of $35.3 million. Net proceeds were $35.1 million due to the funding of reserve accounts in the amount of $0.2 million.</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Payments on Revolving Corporate Credit Facility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Subsequent to the end of the second quarter of 2016, we made repayments of $45.0 million on our Revolving Corporate Credit Facility.</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6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913"/>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189"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166"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The risk factors discussed in “Risk Factors” in our most recent Annual Report on Form 10-K, and which may be discussed in subsequent Quarterly Reports on Form 10-Q,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54"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In 2016, we introduced Marriott Vacation Club Pulse</w:t>
      </w:r>
      <w:r>
        <w:rPr>
          <w:rFonts w:ascii="Arial" w:cs="Arial" w:eastAsia="Arial" w:hAnsi="Arial"/>
          <w:sz w:val="15"/>
          <w:szCs w:val="15"/>
          <w:color w:val="auto"/>
        </w:rPr>
        <w:t>SM</w:t>
      </w:r>
      <w:r>
        <w:rPr>
          <w:rFonts w:ascii="Arial" w:cs="Arial" w:eastAsia="Arial" w:hAnsi="Arial"/>
          <w:sz w:val="18"/>
          <w:szCs w:val="18"/>
          <w:color w:val="auto"/>
        </w:rPr>
        <w:t>, an extension to the Marriott Vacation Club brand, which features unique properties that embrace the spirit and culture of their urban locations, creating an authentic sense of place while delivering easy access to local interests, attractions and transportation.</w:t>
      </w:r>
    </w:p>
    <w:p>
      <w:pPr>
        <w:spacing w:after="0" w:line="181" w:lineRule="exact"/>
        <w:rPr>
          <w:sz w:val="20"/>
          <w:szCs w:val="20"/>
          <w:color w:val="auto"/>
        </w:rPr>
      </w:pPr>
    </w:p>
    <w:p>
      <w:pPr>
        <w:jc w:val="both"/>
        <w:ind w:right="60" w:firstLine="913"/>
        <w:spacing w:after="0" w:line="312" w:lineRule="auto"/>
        <w:rPr>
          <w:sz w:val="20"/>
          <w:szCs w:val="20"/>
          <w:color w:val="auto"/>
        </w:rPr>
      </w:pPr>
      <w:r>
        <w:rPr>
          <w:rFonts w:ascii="Arial" w:cs="Arial" w:eastAsia="Arial" w:hAnsi="Arial"/>
          <w:sz w:val="16"/>
          <w:szCs w:val="16"/>
          <w:color w:val="auto"/>
        </w:rPr>
        <w:t>Our business is grouped into three reportable segments: North America, Europe and Asia Pacific. As of June 17,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jc w:val="both"/>
        <w:ind w:right="40" w:firstLine="913"/>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124"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Sales incentives are only awarded if the sale is closed.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66"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188" w:lineRule="exact"/>
        <w:rPr>
          <w:sz w:val="20"/>
          <w:szCs w:val="20"/>
          <w:color w:val="auto"/>
        </w:rPr>
      </w:pPr>
    </w:p>
    <w:p>
      <w:pPr>
        <w:ind w:right="220" w:firstLine="913"/>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true-ups, will have a positive or negative impact on our Statements of Income.</w:t>
      </w:r>
    </w:p>
    <w:p>
      <w:pPr>
        <w:spacing w:after="0" w:line="17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18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budgeted costs to operate the resorts or a fixed fee arrangement. We earn these fees regardless of usage or occupancy.</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35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Twenty-Four Weeks Ended</w:t>
            </w:r>
          </w:p>
        </w:tc>
      </w:tr>
      <w:tr>
        <w:trPr>
          <w:trHeight w:val="180"/>
        </w:trPr>
        <w:tc>
          <w:tcPr>
            <w:tcW w:w="6080" w:type="dxa"/>
            <w:vAlign w:val="bottom"/>
          </w:tcPr>
          <w:p>
            <w:pPr>
              <w:spacing w:after="0"/>
              <w:rPr>
                <w:sz w:val="15"/>
                <w:szCs w:val="15"/>
                <w:color w:val="auto"/>
              </w:rPr>
            </w:pPr>
          </w:p>
        </w:tc>
        <w:tc>
          <w:tcPr>
            <w:tcW w:w="1800" w:type="dxa"/>
            <w:vAlign w:val="bottom"/>
            <w:gridSpan w:val="2"/>
          </w:tcPr>
          <w:p>
            <w:pPr>
              <w:ind w:left="720"/>
              <w:spacing w:after="0"/>
              <w:rPr>
                <w:sz w:val="20"/>
                <w:szCs w:val="20"/>
                <w:color w:val="auto"/>
              </w:rPr>
            </w:pPr>
            <w:r>
              <w:rPr>
                <w:rFonts w:ascii="Arial" w:cs="Arial" w:eastAsia="Arial" w:hAnsi="Arial"/>
                <w:sz w:val="14"/>
                <w:szCs w:val="14"/>
                <w:b w:val="1"/>
                <w:bCs w:val="1"/>
                <w:color w:val="auto"/>
              </w:rPr>
              <w:t>June 17, 2016</w:t>
            </w: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June 19, 2015</w:t>
            </w:r>
          </w:p>
        </w:tc>
      </w:tr>
      <w:tr>
        <w:trPr>
          <w:trHeight w:val="111"/>
        </w:trPr>
        <w:tc>
          <w:tcPr>
            <w:tcW w:w="6080" w:type="dxa"/>
            <w:vAlign w:val="bottom"/>
            <w:tcBorders>
              <w:bottom w:val="single" w:sz="8" w:color="CCEEFF"/>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734</w:t>
            </w:r>
          </w:p>
        </w:tc>
      </w:tr>
    </w:tbl>
    <w:p>
      <w:pPr>
        <w:spacing w:after="0" w:line="20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18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In the first half of 2015, we implemented new programs to help increase financing propensity</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above the 40 to 45 percent rate that the company has averaged in recent years. We expect that interest income will continue to increase as new originations of vacation ownership notes receivable from growth in the business as well as the impact of higher financing propensity levels outpace the decline in principal of our existing vacation ownership notes receivable portfolio.</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Twenty-Four Weeks Ended</w:t>
            </w:r>
          </w:p>
        </w:tc>
      </w:tr>
      <w:tr>
        <w:trPr>
          <w:trHeight w:val="180"/>
        </w:trPr>
        <w:tc>
          <w:tcPr>
            <w:tcW w:w="6100" w:type="dxa"/>
            <w:vAlign w:val="bottom"/>
          </w:tcPr>
          <w:p>
            <w:pPr>
              <w:spacing w:after="0"/>
              <w:rPr>
                <w:sz w:val="15"/>
                <w:szCs w:val="15"/>
                <w:color w:val="auto"/>
              </w:rPr>
            </w:pPr>
          </w:p>
        </w:tc>
        <w:tc>
          <w:tcPr>
            <w:tcW w:w="1780" w:type="dxa"/>
            <w:vAlign w:val="bottom"/>
            <w:gridSpan w:val="2"/>
          </w:tcPr>
          <w:p>
            <w:pPr>
              <w:ind w:left="720"/>
              <w:spacing w:after="0"/>
              <w:rPr>
                <w:sz w:val="20"/>
                <w:szCs w:val="20"/>
                <w:color w:val="auto"/>
              </w:rPr>
            </w:pPr>
            <w:r>
              <w:rPr>
                <w:rFonts w:ascii="Arial" w:cs="Arial" w:eastAsia="Arial" w:hAnsi="Arial"/>
                <w:sz w:val="14"/>
                <w:szCs w:val="14"/>
                <w:b w:val="1"/>
                <w:bCs w:val="1"/>
                <w:color w:val="auto"/>
              </w:rPr>
              <w:t>June 17, 2016</w:t>
            </w:r>
          </w:p>
        </w:tc>
        <w:tc>
          <w:tcPr>
            <w:tcW w:w="1700" w:type="dxa"/>
            <w:vAlign w:val="bottom"/>
          </w:tcPr>
          <w:p>
            <w:pPr>
              <w:jc w:val="right"/>
              <w:ind w:right="59"/>
              <w:spacing w:after="0"/>
              <w:rPr>
                <w:sz w:val="20"/>
                <w:szCs w:val="20"/>
                <w:color w:val="auto"/>
              </w:rPr>
            </w:pPr>
            <w:r>
              <w:rPr>
                <w:rFonts w:ascii="Arial" w:cs="Arial" w:eastAsia="Arial" w:hAnsi="Arial"/>
                <w:sz w:val="14"/>
                <w:szCs w:val="14"/>
                <w:b w:val="1"/>
                <w:bCs w:val="1"/>
                <w:color w:val="auto"/>
              </w:rPr>
              <w:t>June 19, 2015</w:t>
            </w:r>
          </w:p>
        </w:tc>
      </w:tr>
      <w:tr>
        <w:trPr>
          <w:trHeight w:val="111"/>
        </w:trPr>
        <w:tc>
          <w:tcPr>
            <w:tcW w:w="6100" w:type="dxa"/>
            <w:vAlign w:val="bottom"/>
            <w:tcBorders>
              <w:bottom w:val="single" w:sz="8" w:color="CCEEFF"/>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17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1.8%</w:t>
            </w: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181"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under the Marriott Vacation Club Destinations</w:t>
      </w:r>
      <w:r>
        <w:rPr>
          <w:rFonts w:ascii="Arial" w:cs="Arial" w:eastAsia="Arial" w:hAnsi="Arial"/>
          <w:sz w:val="15"/>
          <w:szCs w:val="15"/>
          <w:color w:val="auto"/>
        </w:rPr>
        <w:t>TM</w:t>
      </w:r>
      <w:r>
        <w:rPr>
          <w:rFonts w:ascii="Arial" w:cs="Arial" w:eastAsia="Arial" w:hAnsi="Arial"/>
          <w:sz w:val="18"/>
          <w:szCs w:val="18"/>
          <w:color w:val="auto"/>
        </w:rPr>
        <w:t xml:space="preserve"> (“MVCD”) program when those points are redeemed for rental stays at one of our resorts or upon expiration of the points.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1920" w:hanging="318"/>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1920" w:right="540" w:hanging="318"/>
        <w:spacing w:after="0" w:line="277"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75" w:lineRule="exact"/>
        <w:rPr>
          <w:rFonts w:ascii="Arial" w:cs="Arial" w:eastAsia="Arial" w:hAnsi="Arial"/>
          <w:sz w:val="18"/>
          <w:szCs w:val="18"/>
          <w:color w:val="auto"/>
        </w:rPr>
      </w:pPr>
    </w:p>
    <w:p>
      <w:pPr>
        <w:ind w:left="1920" w:right="40" w:hanging="318"/>
        <w:spacing w:after="0" w:line="277"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the MVCD program.</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30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that is generally non-recourse to us.</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31" w:lineRule="exact"/>
        <w:rPr>
          <w:sz w:val="20"/>
          <w:szCs w:val="20"/>
          <w:color w:val="auto"/>
        </w:rPr>
      </w:pPr>
    </w:p>
    <w:p>
      <w:pPr>
        <w:ind w:left="1920" w:hanging="318"/>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30" w:lineRule="exact"/>
        <w:rPr>
          <w:rFonts w:ascii="Arial" w:cs="Arial" w:eastAsia="Arial" w:hAnsi="Arial"/>
          <w:sz w:val="18"/>
          <w:szCs w:val="18"/>
          <w:color w:val="auto"/>
        </w:rPr>
      </w:pPr>
    </w:p>
    <w:p>
      <w:pPr>
        <w:ind w:left="1920" w:hanging="318"/>
        <w:spacing w:after="0" w:line="259"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contract sales, excluding fractional and residential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twenty-four weeks ended June 17, 2016, compared to the twelve and twenty-four weeks ended June 19, 2015.</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Twelve Weeks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146,450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155,370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284,819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339,276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Resort management and other services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150,559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138,480</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28,654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28,294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57,878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57,346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75,069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155,357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148,841</w:t>
            </w:r>
          </w:p>
        </w:tc>
        <w:tc>
          <w:tcPr>
            <w:tcW w:w="0" w:type="dxa"/>
            <w:vAlign w:val="bottom"/>
          </w:tcPr>
          <w:p>
            <w:pPr>
              <w:spacing w:after="0"/>
              <w:rPr>
                <w:sz w:val="1"/>
                <w:szCs w:val="1"/>
                <w:color w:val="auto"/>
              </w:rPr>
            </w:pPr>
          </w:p>
        </w:tc>
      </w:tr>
      <w:tr>
        <w:trPr>
          <w:trHeight w:val="223"/>
        </w:trPr>
        <w:tc>
          <w:tcPr>
            <w:tcW w:w="34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429,945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422,827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854,988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877,707</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110,081</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78,919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77,137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157,331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157,132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Resort management and other services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49,311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87,889</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4,864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9,493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10,990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66,028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130,688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121,993</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24,588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22,892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49,885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45,669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11,269</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14,026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13,431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27,383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26,431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98,842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206,375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193,764</w:t>
            </w:r>
          </w:p>
        </w:tc>
        <w:tc>
          <w:tcPr>
            <w:tcW w:w="0" w:type="dxa"/>
            <w:vAlign w:val="bottom"/>
          </w:tcPr>
          <w:p>
            <w:pPr>
              <w:spacing w:after="0"/>
              <w:rPr>
                <w:sz w:val="1"/>
                <w:szCs w:val="1"/>
                <w:color w:val="auto"/>
              </w:rPr>
            </w:pPr>
          </w:p>
        </w:tc>
      </w:tr>
      <w:tr>
        <w:trPr>
          <w:trHeight w:val="230"/>
        </w:trPr>
        <w:tc>
          <w:tcPr>
            <w:tcW w:w="346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375,448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755,809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and other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10,668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(2,087)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3"/>
        </w:trPr>
        <w:tc>
          <w:tcPr>
            <w:tcW w:w="346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61,167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(46,692)</w:t>
            </w:r>
          </w:p>
        </w:tc>
        <w:tc>
          <w:tcPr>
            <w:tcW w:w="0" w:type="dxa"/>
            <w:vAlign w:val="bottom"/>
          </w:tcPr>
          <w:p>
            <w:pPr>
              <w:spacing w:after="0"/>
              <w:rPr>
                <w:sz w:val="1"/>
                <w:szCs w:val="1"/>
                <w:color w:val="auto"/>
              </w:rPr>
            </w:pPr>
          </w:p>
        </w:tc>
      </w:tr>
      <w:tr>
        <w:trPr>
          <w:trHeight w:val="223"/>
        </w:trPr>
        <w:tc>
          <w:tcPr>
            <w:tcW w:w="34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30</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June 19, 2015</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145,600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150,605</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(5,005)</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16"/>
        </w:trPr>
        <w:tc>
          <w:tcPr>
            <w:tcW w:w="5740" w:type="dxa"/>
            <w:vAlign w:val="bottom"/>
          </w:tcPr>
          <w:p>
            <w:pPr>
              <w:ind w:left="5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8"/>
                <w:szCs w:val="18"/>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9,938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2,597</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10,454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2,462</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23"/>
        </w:trPr>
        <w:tc>
          <w:tcPr>
            <w:tcW w:w="5740" w:type="dxa"/>
            <w:vAlign w:val="bottom"/>
          </w:tcPr>
          <w:p>
            <w:pPr>
              <w:ind w:left="180"/>
              <w:spacing w:after="0"/>
              <w:rPr>
                <w:sz w:val="20"/>
                <w:szCs w:val="20"/>
                <w:color w:val="auto"/>
              </w:rPr>
            </w:pPr>
            <w:r>
              <w:rPr>
                <w:rFonts w:ascii="Arial" w:cs="Arial" w:eastAsia="Arial" w:hAnsi="Arial"/>
                <w:sz w:val="18"/>
                <w:szCs w:val="18"/>
                <w:color w:val="auto"/>
              </w:rPr>
              <w:t>Total contract sales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165,992</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165,938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NM = not meaningful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changes in contract sales are described within the discussions of our segment results below.</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June 19, 2015</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285,250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306,598</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(21,348)</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16"/>
        </w:trPr>
        <w:tc>
          <w:tcPr>
            <w:tcW w:w="5740" w:type="dxa"/>
            <w:vAlign w:val="bottom"/>
          </w:tcPr>
          <w:p>
            <w:pPr>
              <w:ind w:left="5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14,356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1,717</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19,880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16,651</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3,229</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319,486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335,888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(16,402)</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54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28,420</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(28,420)</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319,486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364,308</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(44,822)</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changes in contract sales are described within the discussions of our segment results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4"/>
              </w:rPr>
              <w:t>June 19, 2015</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165,992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165,938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54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(11,352)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(7,179)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(4,173)</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(9,369)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(4,829)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146,450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155,370</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1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94615</wp:posOffset>
            </wp:positionV>
            <wp:extent cx="10890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Revenue reportability had a $1.2 million positive impact in the current period, compared to a $1.4 million positive impact in the prior year comparable period. The higher sales reserve reflects an increase in our North America segment due to the increase in financing propensity and Latin American default activity and higher reserves required in our Asia Pacific and Europe segments due to an unfavorable adjustment to correct an immaterial error in the current period with respect to historical static pool data.</w:t>
      </w:r>
    </w:p>
    <w:p>
      <w:pPr>
        <w:spacing w:after="0" w:line="18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increase in other adjustments is primarily driven by an increase in the utilization of plus points as a sales incentive in our North America segment in the second quarter of 2016. These revenues are deferred and recognized as rental revenue when those points are redeemed or upon expiration of the points.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8"/>
              </w:rPr>
              <w:t>June 19, 2015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319,486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364,308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2,038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54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(19,575)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(15,546)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(17,057)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(9,413)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284,819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339,276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(54,457)</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94615</wp:posOffset>
            </wp:positionV>
            <wp:extent cx="10890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220" w:firstLine="913"/>
        <w:spacing w:after="0" w:line="272" w:lineRule="auto"/>
        <w:rPr>
          <w:sz w:val="20"/>
          <w:szCs w:val="20"/>
          <w:color w:val="auto"/>
        </w:rPr>
      </w:pPr>
      <w:r>
        <w:rPr>
          <w:rFonts w:ascii="Arial" w:cs="Arial" w:eastAsia="Arial" w:hAnsi="Arial"/>
          <w:sz w:val="17"/>
          <w:szCs w:val="17"/>
          <w:color w:val="auto"/>
        </w:rPr>
        <w:t>Revenue reportability had a $2.0 million positive impact in the current period, compared to a $0.1 million negative impact in the prior year comparable period. The favorable change versus the prior year comparable period was due to an increase in the amount of sales meeting the down payment requirement for revenue reportability prior to the end of the current period, partially offset by an increase in the amount of sales that remained in the rescission period as of the end of the current period as compared to the prior year comparable period. The increase in the amount of sales meeting the down payment requirement for revenue reportability was due to an increase in down payment amounts in our North America segment compared to the prior year comparable period. The increase in down payment requirements occurred while achieving a 13.3 percentage point increase in the North America financing propensity in the first half of 2016 compared to the prior year comparable period.</w:t>
      </w:r>
    </w:p>
    <w:p>
      <w:pPr>
        <w:spacing w:after="0" w:line="17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higher sales reserve reflects an increase in our North America segment due to the increase in financing propensity and Latin American default activity and higher reserves required in our Asia Pacific segment due to an unfavorable adjustment to correct an immaterial error in the current period with respect to historical static pool data.</w:t>
      </w:r>
    </w:p>
    <w:p>
      <w:pPr>
        <w:spacing w:after="0" w:line="181"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The increase in other adjustments is primarily driven by an increase in the utilization of plus points as a sales incentive in our North America segment in the first half of 2016. These revenues are deferred and recognized as rental revenue when those points are redeemed or upon expiration of the points.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w w:val="98"/>
              </w:rPr>
              <w:t>June 17, 2016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98"/>
              </w:rPr>
              <w:t>June 19, 2015</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146,450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155,370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(8,920)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18"/>
                <w:szCs w:val="18"/>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(33,753)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(45,119)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11,366</w:t>
            </w:r>
          </w:p>
        </w:tc>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(78,919)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(77,137)</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(1,782)</w:t>
            </w:r>
          </w:p>
        </w:tc>
        <w:tc>
          <w:tcPr>
            <w:tcW w:w="11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Development margin</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33,778</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33,114</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664</w:t>
            </w:r>
          </w:p>
        </w:tc>
        <w:tc>
          <w:tcPr>
            <w:tcW w:w="11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1.8 pts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increase in development margin reflected the following increases:</w:t>
      </w:r>
    </w:p>
    <w:p>
      <w:pPr>
        <w:spacing w:after="0" w:line="131" w:lineRule="exact"/>
        <w:rPr>
          <w:sz w:val="20"/>
          <w:szCs w:val="20"/>
          <w:color w:val="auto"/>
        </w:rPr>
      </w:pPr>
    </w:p>
    <w:p>
      <w:pPr>
        <w:ind w:left="1920" w:hanging="318"/>
        <w:spacing w:after="0" w:line="259" w:lineRule="auto"/>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$6.9 million of higher favorable product cost true-ups ($7.5 million in the twelve weeks ended June 17, 2016 compared to $0.6 million in the prior year comparable period) of which $3.7 million was attributed to projected increases in development revenue primarily from a reduction in our estimate of future sales incentives and $3.2 million resulted from lower development spending for completion of common elements at multiple projects;</w:t>
      </w:r>
    </w:p>
    <w:p>
      <w:pPr>
        <w:spacing w:after="0" w:line="92" w:lineRule="exact"/>
        <w:rPr>
          <w:rFonts w:ascii="Arial" w:cs="Arial" w:eastAsia="Arial" w:hAnsi="Arial"/>
          <w:sz w:val="18"/>
          <w:szCs w:val="18"/>
          <w:color w:val="auto"/>
        </w:rPr>
      </w:pPr>
    </w:p>
    <w:p>
      <w:pPr>
        <w:ind w:left="1920" w:hanging="318"/>
        <w:spacing w:after="0"/>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$2.2 million from a favorable mix of lower cost real estate inventory being sold; and</w:t>
      </w:r>
    </w:p>
    <w:p>
      <w:pPr>
        <w:spacing w:after="0" w:line="130" w:lineRule="exact"/>
        <w:rPr>
          <w:rFonts w:ascii="Arial" w:cs="Arial" w:eastAsia="Arial" w:hAnsi="Arial"/>
          <w:sz w:val="18"/>
          <w:szCs w:val="18"/>
          <w:color w:val="auto"/>
        </w:rPr>
      </w:pPr>
    </w:p>
    <w:p>
      <w:pPr>
        <w:ind w:left="1920" w:right="620" w:hanging="318"/>
        <w:spacing w:after="0" w:line="277" w:lineRule="auto"/>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$0.6 million of higher vacation ownership contract sales volume net of lower direct variable expenses (i.e., cost of vacation ownership products and marketing and sales).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increases were partially offset by the following:</w:t>
      </w:r>
    </w:p>
    <w:p>
      <w:pPr>
        <w:spacing w:after="0" w:line="131" w:lineRule="exact"/>
        <w:rPr>
          <w:sz w:val="20"/>
          <w:szCs w:val="20"/>
          <w:color w:val="auto"/>
        </w:rPr>
      </w:pPr>
    </w:p>
    <w:p>
      <w:pPr>
        <w:ind w:left="1920" w:right="60" w:hanging="318"/>
        <w:spacing w:after="0" w:line="264" w:lineRule="auto"/>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$3.2 million of additional deferred revenue in the current period due to higher usage of plus points as a sales incentive in our North America segment; this revenue will be recognized as rental revenue when the plus points are redeemed or upon expiration of the plus points;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160" w:hanging="318"/>
        <w:spacing w:after="0" w:line="264" w:lineRule="auto"/>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$3.0 million of higher sales reserve activity in the current period due to the increase in financing propensity in our North America segment and higher reserves required in our Asia Pacific and Europe segments due to an unfavorable adjustment to correct an immaterial error in the current period with respect to historical static pool data;</w:t>
      </w:r>
    </w:p>
    <w:p>
      <w:pPr>
        <w:spacing w:after="0" w:line="86" w:lineRule="exact"/>
        <w:rPr>
          <w:rFonts w:ascii="Arial" w:cs="Arial" w:eastAsia="Arial" w:hAnsi="Arial"/>
          <w:sz w:val="18"/>
          <w:szCs w:val="18"/>
          <w:color w:val="auto"/>
        </w:rPr>
      </w:pPr>
    </w:p>
    <w:p>
      <w:pPr>
        <w:ind w:left="1920" w:right="360" w:hanging="318"/>
        <w:spacing w:after="0" w:line="277" w:lineRule="auto"/>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 million of pre-opening and startup expenses in the current period to support new sales locations in our North America and Asia Pacific segments; and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$0.5 million of higher development expenses in the current period due to fewer costs being capitalized.</w:t>
      </w:r>
    </w:p>
    <w:p>
      <w:pPr>
        <w:spacing w:after="0" w:line="225"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The 1.8 percentage point increase in the development margin percentage reflected a 4.5 percentage point increase due to the higher favorable product cost true-up activity year-over-year and a 1.4 percentage point increase due to a favorable mix of lower cost vacation ownership real estate inventory being sold in the twelve weeks ended June 17, 2016. These increases were partially offset by a 1.5 percentage point decline due to the higher usage of plus points as a sales incentive, a 1.3 percentage point decline due to the pre-opening and startup expenses, and a 1.3 percentage point decline due to the higher sales reserve activity primarily due to the increase in financing propensity.</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98"/>
              </w:rPr>
              <w:t>June 17, 2016</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284,819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339,276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(69,370)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(110,081)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40,711</w:t>
            </w:r>
          </w:p>
        </w:tc>
        <w:tc>
          <w:tcPr>
            <w:tcW w:w="1180" w:type="dxa"/>
            <w:vAlign w:val="bottom"/>
            <w:gridSpan w:val="2"/>
          </w:tcPr>
          <w:p>
            <w:pPr>
              <w:jc w:val="right"/>
              <w:ind w:right="25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(157,331)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(157,132)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Development margin</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58,118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72,063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(13,945)</w:t>
            </w:r>
          </w:p>
        </w:tc>
        <w:tc>
          <w:tcPr>
            <w:tcW w:w="1180" w:type="dxa"/>
            <w:vAlign w:val="bottom"/>
            <w:gridSpan w:val="2"/>
          </w:tcPr>
          <w:p>
            <w:pPr>
              <w:jc w:val="right"/>
              <w:ind w:right="19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 pts)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31" w:lineRule="exact"/>
        <w:rPr>
          <w:sz w:val="20"/>
          <w:szCs w:val="20"/>
          <w:color w:val="auto"/>
        </w:rPr>
      </w:pPr>
    </w:p>
    <w:p>
      <w:pPr>
        <w:ind w:left="1920" w:right="320" w:hanging="318"/>
        <w:spacing w:after="0" w:line="277"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$6.6 million of lower vacation ownership contract sales volume net of direct variable expenses (i.e., cost of vacation ownership products and marketing and sales);</w:t>
      </w:r>
    </w:p>
    <w:p>
      <w:pPr>
        <w:spacing w:after="0" w:line="75" w:lineRule="exact"/>
        <w:rPr>
          <w:rFonts w:ascii="Arial" w:cs="Arial" w:eastAsia="Arial" w:hAnsi="Arial"/>
          <w:sz w:val="18"/>
          <w:szCs w:val="18"/>
          <w:color w:val="auto"/>
        </w:rPr>
      </w:pPr>
    </w:p>
    <w:p>
      <w:pPr>
        <w:ind w:left="1920" w:right="240" w:hanging="318"/>
        <w:spacing w:after="0" w:line="342" w:lineRule="auto"/>
        <w:tabs>
          <w:tab w:leader="none" w:pos="1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$5.9 million of lower residential contract sales (there were no residential sales in the twenty-four weeks ended June 17, 2016, compared to $5.9 million from the sale of residential inventory in our Asia Pacific segment in the prior year comparable period);</w:t>
      </w:r>
    </w:p>
    <w:p>
      <w:pPr>
        <w:spacing w:after="0" w:line="29" w:lineRule="exact"/>
        <w:rPr>
          <w:rFonts w:ascii="Arial" w:cs="Arial" w:eastAsia="Arial" w:hAnsi="Arial"/>
          <w:sz w:val="16"/>
          <w:szCs w:val="16"/>
          <w:color w:val="auto"/>
        </w:rPr>
      </w:pPr>
    </w:p>
    <w:p>
      <w:pPr>
        <w:ind w:left="1920" w:right="60" w:hanging="318"/>
        <w:spacing w:after="0" w:line="264"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$5.5 million of additional deferred revenue in the current period due to higher usage of plus points as a sales incentive in our North America segment; this revenue will be recognized as rental revenue when the plus points are redeemed or upon expiration of the plus points;</w:t>
      </w:r>
    </w:p>
    <w:p>
      <w:pPr>
        <w:spacing w:after="0" w:line="86" w:lineRule="exact"/>
        <w:rPr>
          <w:rFonts w:ascii="Arial" w:cs="Arial" w:eastAsia="Arial" w:hAnsi="Arial"/>
          <w:sz w:val="18"/>
          <w:szCs w:val="18"/>
          <w:color w:val="auto"/>
        </w:rPr>
      </w:pPr>
    </w:p>
    <w:p>
      <w:pPr>
        <w:ind w:left="1920" w:right="160" w:hanging="318"/>
        <w:spacing w:after="0" w:line="277"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$3.3 million of pre-opening and startup expenses in the current period in support of new sales locations in our North America and Asia Pacific segments;</w:t>
      </w:r>
    </w:p>
    <w:p>
      <w:pPr>
        <w:spacing w:after="0" w:line="75" w:lineRule="exact"/>
        <w:rPr>
          <w:rFonts w:ascii="Arial" w:cs="Arial" w:eastAsia="Arial" w:hAnsi="Arial"/>
          <w:sz w:val="18"/>
          <w:szCs w:val="18"/>
          <w:color w:val="auto"/>
        </w:rPr>
      </w:pPr>
    </w:p>
    <w:p>
      <w:pPr>
        <w:jc w:val="both"/>
        <w:ind w:left="1920" w:right="160" w:hanging="318"/>
        <w:spacing w:after="0" w:line="264"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$3.3 million of higher sales reserve activity in the current period due to the increase in financing propensity in our North America segment and higher reserves required in our Asia Pacific segment due to an unfavorable adjustment to correct an immaterial error in the current period with respect to historical static pool data;</w:t>
      </w:r>
    </w:p>
    <w:p>
      <w:pPr>
        <w:spacing w:after="0" w:line="86" w:lineRule="exact"/>
        <w:rPr>
          <w:rFonts w:ascii="Arial" w:cs="Arial" w:eastAsia="Arial" w:hAnsi="Arial"/>
          <w:sz w:val="18"/>
          <w:szCs w:val="18"/>
          <w:color w:val="auto"/>
        </w:rPr>
      </w:pPr>
    </w:p>
    <w:p>
      <w:pPr>
        <w:ind w:left="1920" w:right="280" w:hanging="318"/>
        <w:spacing w:after="0" w:line="277"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$2.1 million of higher marketing and sales costs in the current period due to investment in new programs to help generate future incremental tour volumes; and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$0.4 million of higher development expenses in the current period due to fewer costs being capitalized in the current period.</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decreases were partially offset by the following:</w:t>
      </w:r>
    </w:p>
    <w:p>
      <w:pPr>
        <w:spacing w:after="0" w:line="131" w:lineRule="exact"/>
        <w:rPr>
          <w:sz w:val="20"/>
          <w:szCs w:val="20"/>
          <w:color w:val="auto"/>
        </w:rPr>
      </w:pPr>
    </w:p>
    <w:p>
      <w:pPr>
        <w:ind w:left="1920" w:right="240" w:hanging="318"/>
        <w:spacing w:after="0" w:line="259" w:lineRule="auto"/>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$7.5 million of higher favorable product cost true-ups ($10.7 million in the twenty-four weeks ended June 17, 2016 compared to $3.2 million in the prior year comparable period) of which $5.1 million was attributed to projected increases in development revenue primarily from a reduction in our estimate of future sales incentives and $2.5 million resulted from lower development spending for completion of common elements at multiple projects;</w:t>
      </w:r>
    </w:p>
    <w:p>
      <w:pPr>
        <w:spacing w:after="0" w:line="92" w:lineRule="exact"/>
        <w:rPr>
          <w:rFonts w:ascii="Arial" w:cs="Arial" w:eastAsia="Arial" w:hAnsi="Arial"/>
          <w:sz w:val="18"/>
          <w:szCs w:val="18"/>
          <w:color w:val="auto"/>
        </w:rPr>
      </w:pPr>
    </w:p>
    <w:p>
      <w:pPr>
        <w:ind w:left="1920" w:hanging="318"/>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$4.4 million from a favorable mix of lower cost real estate inventory being sold;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 million of higher revenue reportability compared to the prior year comparable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0.8 percentage point decline in the development margin percentage reflected a 1.6 percentage point decline due to higher marketing and sales spending (including a 1.0 percentage point impact from the pre-opening and startup expenses), a 1.2 percentage point decline due to the higher usage of plus points as a sales incentive, a 1.0 percentage point decline due to an inability to leverage fixed marketing and sales costs on lower vacation ownership contract sales, and a 0.7 percentage point decline due to the higher sales reserve activity primarily due to the increase in financing propensity. These declines were partially offset by a 2.1 percentage point increase due to the higher favorable product cost true-up activity year-over-year, a 1.3 percentage point increase due to a favorable mix of lower cost vacation ownership real estate inventory being sold in the twenty-four weeks ended June 17, 2016, and a 0.3 percentage point increase due to the favorable revenue reportability year-over-year.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June 19, 2015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19,411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17,956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1,455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61,519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56,107</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5,412</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80,930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74,063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6,867</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(45,480)</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(3,831)</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31,619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28,583</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3,036</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0.5 pts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increase in resort management and other services revenues reflected $4.1 million of higher ancillary revenues, $1.7 million of additional annual club dues earned in connection with the MVCD program due to the cumulative increase in owners enrolled in the program, $1.5 million of higher management fees, $0.6 million of higher customer service fees and $0.1 million of higher resales commission and other revenues compared to the second quarter of 2015. These increases were partially offset by $1.1 million of lower settlement and lien fees due to a decrease in the number of contracts closed and fewer lien fees assessed compared to the second quarter of 2015. The increase in ancillary revenues included $3.6 million of ancillary revenues at our operating property in Australia and $0.8 million of ancillary revenues at the property we manage in New York, partially offset by a $0.3 million decrease in ancillary revenues from food and beverage and golf offerings at our other resorts.</w:t>
      </w:r>
    </w:p>
    <w:p>
      <w:pPr>
        <w:spacing w:after="0" w:line="17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partially offset by $3.8 million of higher expenses, including $3.1 million from the operation of the ancillary businesses at the operating property in Australia and $0.8 million from the operation of the ancillary businesses at the property we manage in New York, partially offset by a $0.1 million decrease in other expenses in the current period. The ancillary revenue producing portions of the operating property in Australia were included in the sale of the operating property. Therefore, we do not anticipate future ancillary revenues or expenses at our property in Australia.</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June 19, 2015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37,851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35,536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2,315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112,708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102,944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9,764</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150,559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138,480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12,079</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(87,889)</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(7,219)</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55,451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50,591</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4,860</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0.3 pts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increase in resort management and other services revenues reflected $7.6 million of higher ancillary revenues, $2.7 million of additional annual club dues earned in connection with the MVCD program due to the cumulative increase in owners enrolled in the program, $2.4 million of higher management fees (net of $0.1 million negative foreign exchange impact in our Europe segment), $0.9 million of higher customer service fees and $0.2 million of higher resales commission and other revenues, compared to the prior year comparable period. These increases were partially offset by $1.3 million of lower settlement and lien fees due to a decrease in the number of contracts closed and fewer lien fees assessed and $0.4 million of lower brand fees due to fewer closings, in each case, compared to the prior year comparable period. The increase in ancillary revenues included $6.3 million of ancillary revenues at our operating property in Australia, $1.2 million of ancillary revenues at the property we manage in New York and a $0.1 million increase in ancillary revenues from food and beverage and golf offerings at our other resorts.</w:t>
      </w:r>
    </w:p>
    <w:p>
      <w:pPr>
        <w:spacing w:after="0" w:line="179"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partially offset by $7.2 million of higher expenses, including $5.4 million from the operation of the ancillary businesses at the operating property in Australia, $1.5 million from the operation of the ancillary businesses at the property we manage in New York and a $0.3 million increase in other expenses in the current period. The ancillary revenue producing portions of the operating property in Australia were included in the sale of the operating property. Therefore, we do not anticipate future ancillary revenues or expenses at our property in Australia.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27,253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26,927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326</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1,401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1,367</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34</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28,654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28,294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w:t>
            </w:r>
          </w:p>
        </w:tc>
        <w:tc>
          <w:tcPr>
            <w:tcW w:w="11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Financing expenses</w:t>
            </w:r>
          </w:p>
        </w:tc>
        <w:tc>
          <w:tcPr>
            <w:tcW w:w="22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(4,864)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1,221</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(5,117)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131</w:t>
            </w:r>
          </w:p>
        </w:tc>
        <w:tc>
          <w:tcPr>
            <w:tcW w:w="11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18,673</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16,961</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1,712</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20" w:firstLine="913"/>
        <w:spacing w:after="0" w:line="308" w:lineRule="auto"/>
        <w:rPr>
          <w:sz w:val="20"/>
          <w:szCs w:val="20"/>
          <w:color w:val="auto"/>
        </w:rPr>
      </w:pPr>
      <w:r>
        <w:rPr>
          <w:rFonts w:ascii="Arial" w:cs="Arial" w:eastAsia="Arial" w:hAnsi="Arial"/>
          <w:sz w:val="17"/>
          <w:szCs w:val="17"/>
          <w:color w:val="auto"/>
        </w:rPr>
        <w:t>The increase in financing revenues was due to a $14.6 million increase in the average gross vacation ownership notes receivable balance, partially offset by a slight decrease in the weighted average coupon rate of our vacation ownership notes receivable.</w:t>
      </w:r>
    </w:p>
    <w:p>
      <w:pPr>
        <w:spacing w:after="0" w:line="14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The increase in financing margin reflects the higher financing revenues, as well as lower financing expenses and lower consumer financing interest expense. The lower consumer financing interest expense was due to a lower average interest rate on the outstanding debt balances, partially offset by a higher average outstanding debt balance.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increase financing propensity above the 40 to 45 percent rate that the company has averaged in recent years. As a result of these programs, we expect that interest income will continue to increase as new originations of vacation ownership notes receivable outpace the decline in principal of existing vacation ownership notes receivables. We are targeting higher financing propensity for fiscal year 2016.</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Twenty Weeks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55,027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54,494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533</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2,851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2,852</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57,878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57,346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532</w:t>
            </w:r>
          </w:p>
        </w:tc>
        <w:tc>
          <w:tcPr>
            <w:tcW w:w="11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Financing expenses</w:t>
            </w:r>
          </w:p>
        </w:tc>
        <w:tc>
          <w:tcPr>
            <w:tcW w:w="240" w:type="dxa"/>
            <w:vAlign w:val="bottom"/>
          </w:tcPr>
          <w:p>
            <w:pPr>
              <w:spacing w:after="0"/>
              <w:rPr>
                <w:sz w:val="18"/>
                <w:szCs w:val="18"/>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(9,493)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1,497</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(10,479)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790</w:t>
            </w:r>
          </w:p>
        </w:tc>
        <w:tc>
          <w:tcPr>
            <w:tcW w:w="11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37,906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35,087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2,819</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increase in financing revenues was due to a $5.8 million increase in the average gross vacation ownership notes receivable balance, partially offset by a slight decrease in the weighted average coupon rate of our vacation ownership notes receivable.</w:t>
      </w:r>
    </w:p>
    <w:p>
      <w:pPr>
        <w:spacing w:after="0" w:line="17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The increase in financing margin reflects the higher financing revenues, as well as lower financing expenses and lower consumer financing interest expense. The lower consumer financing interest expense was due to a lower average interest rate on the outstanding debt balances, partially offset by a higher average outstanding debt balance.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increase financing propensity above the 40 to 45 percent rate that the company has averaged in recent years. As a result of these programs, we expect that interest income will continue to increase as new originations of vacation ownership notes receivable outpace the decline in principal of existing vacation ownership notes receivables. We are targeting higher financing propensity for fiscal year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June 17, 2016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75,069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72,642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2,427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Unsold maintenance fees — upscale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(1,888)</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Unsold maintenance fees — luxury</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1,476</w:t>
            </w:r>
          </w:p>
        </w:tc>
        <w:tc>
          <w:tcPr>
            <w:tcW w:w="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74%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(15,843)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(15,431)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(46,404)</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Rental margin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9,041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10,807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pts)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June 17, 2016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284,385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275,587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8,798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212.69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218.83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(6.14)</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pts)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890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76" w:lineRule="exact"/>
        <w:rPr>
          <w:sz w:val="20"/>
          <w:szCs w:val="20"/>
          <w:color w:val="auto"/>
        </w:rPr>
      </w:pPr>
    </w:p>
    <w:p>
      <w:pPr>
        <w:ind w:left="460" w:right="320" w:hanging="452"/>
        <w:spacing w:after="0" w:line="27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 preview stays and those associated with our operating properties in San Diego, California and Surfers Paradise, Australia.</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increase in rental revenues was due to $2.9 million of revenue from our operating property in Australia acquired during the third quarter of 2015, a company-wide 3 percent increase in transient keys rented ($1.8 million) primarily due to a 7 percent increase in available keys, and $0.1 million of higher plus points revenue (which is recognized upon utilization of plus points or upon expiration of the points), partially offset by a company-wide 3 percent decrease in average transient rate ($1.6 million) and $0.8 million of lower revenue from our operating property in San Diego due to the conversion of some of the inventory to vacation ownership inventory.</w:t>
      </w:r>
    </w:p>
    <w:p>
      <w:pPr>
        <w:spacing w:after="0" w:line="18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decrease in rental margin reflected a $1.1 million loss from our operating property in Australia, $0.9 million of lower rental revenues net of direct variable expenses (such as housekeeping), expenses incurred due to owners choosing alternative usage options, and unsold maintenance fees, partially offset by a $0.3 million improvement in the operation of the property in San Diego compared to the prior year comparable period and the $0.1 million increase in plus points revenue.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w w:val="98"/>
              </w:rPr>
              <w:t>June 17, 2016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155,357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148,841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6,516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Unsold maintenance fees — upscale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(25,468)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(3,827)</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Unsold maintenance fees — luxury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3,375</w:t>
            </w:r>
          </w:p>
        </w:tc>
        <w:tc>
          <w:tcPr>
            <w:tcW w:w="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76%</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(30,336)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(92,109)</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Rental margin</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24,669</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26,848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pts)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577,034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572,297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4,737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220.86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222.62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 pts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890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76" w:lineRule="exact"/>
        <w:rPr>
          <w:sz w:val="20"/>
          <w:szCs w:val="20"/>
          <w:color w:val="auto"/>
        </w:rPr>
      </w:pPr>
    </w:p>
    <w:p>
      <w:pPr>
        <w:ind w:left="460" w:right="320" w:hanging="452"/>
        <w:spacing w:after="0" w:line="27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 preview stays and those associated with our operating properties in San Diego, California and Surfers Paradise, Australia.</w:t>
      </w:r>
    </w:p>
    <w:p>
      <w:pPr>
        <w:spacing w:after="0" w:line="170"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increase in rental revenues was due to $6.1 million of revenue from our operating property in Australia acquired during the third quarter of 2015, a company-wide 1 percent increase in transient keys rented ($0.8 million) primarily due to a 2 percent increase in available keys, $0.5 million of higher plus points revenue (which is recognized upon utilization of plus points or upon expiration of the points) and a $0.3 million increase in preview keys and other revenue, partially offset by a company-wide 1 percent decrease in average transient rate ($0.8 million) and $0.4 million of lower revenue from our operating property in San Diego due to the conversion of some of the inventory to vacation ownership inventory.</w:t>
      </w:r>
    </w:p>
    <w:p>
      <w:pPr>
        <w:spacing w:after="0" w:line="17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decrease in rental margin reflected a $1.8 million of lower rental revenues net of direct variable expenses (such as housekeeping), expenses incurred due to owners choosing alternative usage options, and unsold maintenance fees, and a $1.1 million loss from our operating property in Australia, partially offset by the $0.5 million increase in plus points revenue and a $0.3 million improvement in the operation of the property in San Diego compared to the prior year comparable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11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Cost reimbursements increased $6.4 million, or 7 percent, over the prior year comparable period, reflecting an increase of $4.8 million due to higher costs, $1.4 million due to additional managed unit weeks in the twelve weeks ended June 17, 2016, and a $0.2 million impact from foreign exchange rates in our Europe segment.</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Cost reimbursements increased $12.6 million, or 6.5 percent, over the prior year comparable period, reflecting an increase of $10.4 million due to higher costs and $2.6 million due to additional managed unit weeks in the twenty-four weeks ended June 17, 2016, partially offset by a $0.4 million impact from foreign exchange rates in our Europe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11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General and administrative expenses increased $1.7 million (from $22.9 million to $24.6 million) and were driven by higher information technology project costs and inflationary cost increases.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11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General and administrative expenses increased $4.2 million (from $45.7 million to $49.9 million) and were driven by higher information technology project costs and inflationary cost increases.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117" w:lineRule="exact"/>
        <w:rPr>
          <w:sz w:val="20"/>
          <w:szCs w:val="20"/>
          <w:color w:val="auto"/>
        </w:rPr>
      </w:pPr>
    </w:p>
    <w:p>
      <w:pPr>
        <w:ind w:right="280" w:firstLine="913"/>
        <w:spacing w:after="0" w:line="286" w:lineRule="auto"/>
        <w:rPr>
          <w:sz w:val="20"/>
          <w:szCs w:val="20"/>
          <w:color w:val="auto"/>
        </w:rPr>
      </w:pPr>
      <w:r>
        <w:rPr>
          <w:rFonts w:ascii="Arial" w:cs="Arial" w:eastAsia="Arial" w:hAnsi="Arial"/>
          <w:sz w:val="17"/>
          <w:szCs w:val="17"/>
          <w:color w:val="auto"/>
        </w:rPr>
        <w:t>Royalty fee expense increased $0.6 million in the twelve weeks ended June 17, 2016 (from $13.4 million to $14.0 million), and included $0.9 million of higher costs due to an increase in initial sales of our real estate inventory, which carry a higher royalty fee as compared to sales of pre-owned inventory (two percent versus one percent), partially offset by $0.3 million of lower costs due to lower closings in the current period.</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117"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Royalty fee expense increased $1.0 million in the twenty-four weeks ended June 17, 2016 (from $26.4 million to $27.4 million), and included $1.4 million of higher costs due to an increase in initial sales of our real estate inventory, which carry a higher royalty fee as compared to sales of pre-owned inventory (two percent versus one percent), partially offset by $0.4 million of lower costs due to lower closings in the current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and Twenty-four Weeks Ended June 17, 2016</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the twelve and twenty-four weeks ended June 17, 2016, we recorded a $10.5 million gain on the disposition of excess inventory at our Ritz-Carlton project in San Francisco, California, the reversal of the remaining $1.7 million accrual associated with the disposition of a golf course and related assets in Kauai, Hawaii because we no longer expect to incur additional costs in connection with this sale and a $1.5 million loss on the sale of the portion of the operating property in Australia that we did not intend to convert to vacation ownership inventory.</w:t>
      </w:r>
    </w:p>
    <w:p>
      <w:pPr>
        <w:spacing w:after="0" w:line="18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During the second quarter of 2015, we recorded an $8.7 million gain on the disposition of undeveloped land in Kauai, Hawaii. During the first quarter of 2015, we recorded a $0.9 million gain from the disposition of a golf course and adjacent undeveloped land in Orlando, Florida. We disposed of the golf course and undeveloped land in Orlando, Florida in the first quarter of 2014 and, as a condition of the sale, we continued to operate the golf course through the end of the first quarter of 2015 at our own risk. We utilized the performance of services method to record a gain of $3.1 million over the period during which we operated the golf course following the sale.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Interest expense decreased $0.9 million (from $3.0 million to $2.1 million) due to a $0.8 million decline in expense associated with our liability for the Marriott Rewards customer loyalty program under our Marriott Rewards Affiliation Agreement with Marriott International, Inc. (“Marriott International”) and $0.1 million of lower other interest expense. Due to the payoff of the liability associated with the Marriott Rewards customer loyalty program at the end of 2015, we will not incur further interest expense associated with this liability in the future.</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11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Interest expense decreased $1.9 million (from $6.0 million to $4.1 million) due to a $1.7 million decline in expense associated with our liability for the Marriott Rewards customer loyalty program under our Marriott Rewards Affiliation Agreement with Marriott International and $0.2 million of lower other interest expense. Due to the payoff of the liability associated with the Marriott Rewards customer loyalty program at the end of 2015, we will not incur further interest expense associated with this liability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and Twenty-Four Weeks Ended June 17, 2016</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During the first quarter of 2016, we incurred $2.3 million of costs associated with the acquisition of an operating property in the South Beach area of Miami Beach and the anticipated future acquisition of the operating property in New York we are currently managing, and $0.2 million of transaction related costs associated with the then anticipated sale of the portion of the operating property located in Surfers Paradise, Australia that we did not intend to convert to vacation ownership inventory. See Footnote No. 5, “Acquisitions and Dispositions” and Footnote No. 8, “Contingencies and Commitments,” to our Financial Statements for further information related to these transactions.</w:t>
      </w:r>
    </w:p>
    <w:p>
      <w:pPr>
        <w:spacing w:after="0" w:line="188"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During the second quarter of 2016, we incurred $1.9 million of costs associated with the anticipated future acquisition of vacation ownership units located on the Big Island of Hawaii and the anticipated future acquisition of the operating property in New York we are currently managing.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During the second quarter of 2015, we incurred $1.2 million of transaction related costs associated with the purchase of the operating property located in Surfers Paradise, Australia that occurred in the third quarter of 2015. We did not incur any transaction related costs in the first quarter of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117"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Our provision for income taxes increased $1.5 million (from $23.4 million to $24.9 million) from the prior year comparable period. The increase was primarily due to an increase in U.S. income, partially offset by a decline in non-U.S. income for the twelve weeks ended June 17, 2016.</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Our provision for income taxes decreased $6.1 million (from $46.7 million to $40.6 million) from the prior year comparable period. The decrease was primarily due to a decline in non-U.S. income for the twenty-four weeks ended June 17,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and Adjusted EBITDA calculations,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17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14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2"/>
              </w:rPr>
              <w:t>June 17, 2016</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June 19, 2015</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2"/>
              </w:rPr>
              <w:t>June 19, 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36,309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60,717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3,009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4,069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24,858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23,403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40,615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5,052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4,493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10,177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EBITDA</w:t>
            </w:r>
          </w:p>
        </w:tc>
        <w:tc>
          <w:tcPr>
            <w:tcW w:w="1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68,306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64,946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115,578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129,328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4,332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3,945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6,856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Certain items</w:t>
            </w:r>
          </w:p>
        </w:tc>
        <w:tc>
          <w:tcPr>
            <w:tcW w:w="1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(6,678)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900"/>
              <w:spacing w:after="0"/>
              <w:rPr>
                <w:sz w:val="20"/>
                <w:szCs w:val="20"/>
                <w:color w:val="auto"/>
              </w:rPr>
            </w:pPr>
            <w:r>
              <w:rPr>
                <w:rFonts w:ascii="Arial" w:cs="Arial" w:eastAsia="Arial" w:hAnsi="Arial"/>
                <w:sz w:val="18"/>
                <w:szCs w:val="18"/>
                <w:color w:val="auto"/>
              </w:rPr>
              <w:t>Adjusted EBITDA</w:t>
            </w:r>
          </w:p>
        </w:tc>
        <w:tc>
          <w:tcPr>
            <w:tcW w:w="1500" w:type="dxa"/>
            <w:vAlign w:val="bottom"/>
          </w:tcPr>
          <w:p>
            <w:pPr>
              <w:spacing w:after="0"/>
              <w:rPr>
                <w:sz w:val="19"/>
                <w:szCs w:val="19"/>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64,165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61,665</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115,756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1700" w:type="dxa"/>
            <w:vAlign w:val="bottom"/>
            <w:gridSpan w:val="2"/>
          </w:tcPr>
          <w:p>
            <w:pPr>
              <w:jc w:val="center"/>
              <w:ind w:left="1350"/>
              <w:spacing w:after="0"/>
              <w:rPr>
                <w:sz w:val="20"/>
                <w:szCs w:val="20"/>
                <w:color w:val="auto"/>
              </w:rPr>
            </w:pPr>
            <w:r>
              <w:rPr>
                <w:rFonts w:ascii="Arial" w:cs="Arial" w:eastAsia="Arial" w:hAnsi="Arial"/>
                <w:sz w:val="18"/>
                <w:szCs w:val="18"/>
                <w:color w:val="auto"/>
                <w:w w:val="89"/>
              </w:rPr>
              <w:t>39</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certain items for the twelve weeks ended June 17, 2016 consisted of $10.7 million of gains and other income, $2.0 million of transaction costs associated with acquisitions, and $0.2 million of losses from the operations of the property we acquired in Australia in 2015 that we sold in the second quarter of 2016. These exclusions decreased EBITDA by $8.5 million.</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certain items for the twelve weeks ended June 19, 2015 consisted of $8.6 million of gains and other income, $1.3 million of transaction costs associated with acquisitions, $0.1 million of organizational and separation related costs and less than $0.1 million of litigation expense. These exclusions decreased EBITDA by $7.2 million.</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117"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The certain items for the twenty-four weeks ended June 17, 2016 consisted of $10.7 million of gains and other income, $4.6 million of transaction costs associated with acquisitions, $0.3 million of profit from the operations of the property we acquired in Australia in 2015 that we sold in the second quarter of 2016, and a $0.3 million reversal of litigation expense. These exclusions decreased EBITDA by $6.7 million.</w:t>
      </w:r>
    </w:p>
    <w:p>
      <w:pPr>
        <w:spacing w:after="0" w:line="166"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certain items for the twenty-four weeks ended June 19, 2015 consisted of $9.5 million of gains and other income, $5.9 million of development profit from the disposition of units in Macau as whole ownership residential units rather than through our Marriott Vacation Club, Asia Pacific points program, $1.3 million of transaction costs associated with acquisitions, $0.3 million of organizational and separation related costs and a $0.2 million reversal of litigation expense. These exclusions decreased EBITDA by $14.1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14, “Business Segments,” to our Financial Statements for further information on our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North America segment for the twelve and twenty-four weeks ended June 17, 2016, compared to the twelve and twenty-four weeks ended June 19, 2015.</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28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June 19, 2015</w:t>
            </w: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June 19, 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132,473</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142,148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257,157</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69,357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131,022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26,853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54,261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65,629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138,137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90,174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84,037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189,356</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384,486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384,489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769,933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66,911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55,593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111,549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2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90,174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84,037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189,356</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283,349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288,630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576,999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2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12,317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12,324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111,721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104,603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201,245</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w w:val="98"/>
              </w:rPr>
              <w:t>June 17, 2016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145,600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150,605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(5,005)</w:t>
            </w:r>
          </w:p>
        </w:tc>
        <w:tc>
          <w:tcPr>
            <w:tcW w:w="10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145,600</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150,605</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(5,005)</w:t>
            </w:r>
          </w:p>
        </w:tc>
        <w:tc>
          <w:tcPr>
            <w:tcW w:w="10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decrease in North America vacation ownership contract sales reflected a $3.8 million decrease in sales at off-site (non tour-based) sales locations, a $0.7 million decrease in fractional sales as we continue to sell through remaining luxury inventory and a $0.5 million decrease in sales at on-site sales locations.</w:t>
      </w:r>
    </w:p>
    <w:p>
      <w:pPr>
        <w:spacing w:after="0" w:line="18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The decrease in sales at North America on-site locations is primarily driven by an increase in sales in the prior year comparable period as a result of enhancements during that period to our owner recognition levels that created a near-term incentive for existing owners to purchase additional points at that time. The decrease in sales at on-site sales locations reflected a 0.6 percent decrease in VPG to $3,384 in the twelve weeks ended June 17, 2016 from $3,404 in the prior year comparable period, partially offset by a 0.3 percent increase in the number of tours. The slight decrease in VPG resulted from a 1.4 percentage point decrease in closing efficiency, partially offset by an increase in the number of points sold per contract due to a shift in the mix of sales towards more first time buyers who, on average, purchase more points per contract than existing owners, and higher pricing. The increase in the number of tours was driven by an increase in first time buyer tours, partially offset by fewer existing owner tours due to prior year enhancements to our owner recognition levels that created a near-term incentive for existing owners to take a tour in the prior year comparable period. The sales at North America off-site locations were negatively impacted by the strength of the U.S. dollar, primarily in Latin America, a trend that has been impacting our results since the third quarter of 2015, as well as lower sales to existing owners due to the enhancements in the owner recognition levels that drove higher sales in the prior year comparable period.</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Twenty-Four Weeks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June 17, 2016</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June 19, 2015</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285,250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306,598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(21,348)</w:t>
            </w:r>
          </w:p>
        </w:tc>
        <w:tc>
          <w:tcPr>
            <w:tcW w:w="10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285,250</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306,598</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(21,348)</w:t>
            </w:r>
          </w:p>
        </w:tc>
        <w:tc>
          <w:tcPr>
            <w:tcW w:w="10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The decrease in North America vacation ownership contract sales reflected a $12.5 million decrease in sales at on-site sales locations, a $6.7 million decrease in sales at off-site (non tour-based) sales locations and a $2.1 million decrease in fractional sales as we continue to sell through remaining luxury inventory.</w:t>
      </w:r>
    </w:p>
    <w:p>
      <w:pPr>
        <w:spacing w:after="0" w:line="18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decrease in sales at North America on-site locations is primarily driven by an increase in sales in the prior year comparable period as a result of enhancements during that period to our owner recognition levels that created a near-term incentive for existing owners to purchase additional points at that time. The decrease in sales at on-site sales locations reflected a 1.8 percent decrease in the number of tours and a 2.3 percent decrease in VPG to $3,438 in the twenty-four weeks ended June 17, 2016 from $3,519 in the prior year comparable period. The decrease in VPG resulted from a 1.7 percentage point decrease in closing efficiency, partially offset by an increase in the number of points sold per contract due to a shift in the mix of sales towards more first time buyers who, on average, purchase more points per contract than existing owners, and higher pricing. The decrease in the number of tours was driven by fewer existing owner tours, which was also due to prior year enhancements to our owner recognition levels that created a near-term incentive for existing owners to take a tour in the prior year comparable period, partially offset by an increase in first time buyer tours. The sales at North America off-site locations were negatively impacted by the strength of the U.S. dollar, primarily in Latin America, a trend that has been impacting our results since the third quarter of 2015, as well as lower sales to existing owners due to the enhancements in the owner recognition levels that drove higher sales in the prior year comparable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June 17, 2016</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145,600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150,605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1"/>
              </w:rPr>
              <w:t>(5,005)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3,783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8"/>
              </w:rPr>
              <w:t>1,841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center"/>
              <w:ind w:left="93"/>
              <w:spacing w:after="0"/>
              <w:rPr>
                <w:sz w:val="20"/>
                <w:szCs w:val="20"/>
                <w:color w:val="auto"/>
              </w:rPr>
            </w:pPr>
            <w:r>
              <w:rPr>
                <w:rFonts w:ascii="Arial" w:cs="Arial" w:eastAsia="Arial" w:hAnsi="Arial"/>
                <w:sz w:val="18"/>
                <w:szCs w:val="18"/>
                <w:color w:val="auto"/>
                <w:w w:val="91"/>
              </w:rPr>
              <w:t>(1,980)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w w:val="91"/>
              </w:rPr>
              <w:t>(4,531)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132,473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142,148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91"/>
              </w:rPr>
              <w:t>(9,675)</w:t>
            </w:r>
          </w:p>
        </w:tc>
        <w:tc>
          <w:tcPr>
            <w:tcW w:w="10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Revenue reportability improved due to an increase in the amount of sales meeting the down payment requirement for revenue reportability prior to the end of the current period, partially offset by an increase in the amount of sales that remained in the rescission period as of the end of the current period as compared to the prior year comparable period. The increase in the amount of sales meeting the down payment requirement for revenue reportability was due to an increase in down payment amounts compared to the prior year comparable period. The increase in down payment requirements occurred while achieving a 12.1 percentage point increase in financing propensity in the second quarter of 2016 compared to the prior year comparable period.</w:t>
      </w:r>
    </w:p>
    <w:p>
      <w:pPr>
        <w:spacing w:after="0" w:line="15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higher sales reserve reflects an increase in the rate due to the increase in financing propensity and Latin American default activity, partially offset by the lower vacation ownership contract sales volume.</w:t>
      </w:r>
    </w:p>
    <w:p>
      <w:pPr>
        <w:spacing w:after="0" w:line="170"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increase in other adjustments is primarily driven by an increase in the utilization of plus points as a sales incentive in our North America segment in the second quarter of 2016. These revenues are deferred and recognized as rental revenue when those points are redeemed or upon expiration of the points.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June 17, 2016</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285,250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306,598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(21,348)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3,871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5,373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(15,037)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(11,985)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(3,052)</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(7,692)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257,157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283,876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(26,719)</w:t>
            </w:r>
          </w:p>
        </w:tc>
        <w:tc>
          <w:tcPr>
            <w:tcW w:w="10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Revenue reportability improved due to an increase in the amount of sales meeting the down payment requirement for revenue reportability prior to the end of the current period, partially offset by an increase in the amount of sales that remained in the rescission period as of the end of the current period as compared to the prior year comparable period. The increase in the amount of sales meeting the down payment requirement for revenue reportability was due to an increase in down payment amounts compared to the prior year comparable period. The increase in down payment requirements occurred while achieving a 13.3 percentage point increase in financing propensity in the first half of 2016 compared to the prior year comparable period.</w:t>
      </w:r>
    </w:p>
    <w:p>
      <w:pPr>
        <w:spacing w:after="0" w:line="15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higher sales reserve reflects an increase in the rate due to the increase in financing propensity and Latin American default activity, partially offset by the lower vacation ownership contract sales volume.</w:t>
      </w:r>
    </w:p>
    <w:p>
      <w:pPr>
        <w:spacing w:after="0" w:line="170"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The increase in other adjustments is primarily driven by an increase in the utilization of plus points as a sales incentive in our North America segment in the first half of 2016. These revenues are deferred and recognized as rental revenue when those points are redeemed or upon expiration of the points.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13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June 17, 2016</w:t>
            </w:r>
          </w:p>
        </w:tc>
        <w:tc>
          <w:tcPr>
            <w:tcW w:w="3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w w:val="90"/>
              </w:rPr>
              <w:t>June 19, 2015</w:t>
            </w: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132,473</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142,148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(9,675)</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40" w:type="dxa"/>
            <w:vAlign w:val="bottom"/>
          </w:tcPr>
          <w:p>
            <w:pPr>
              <w:spacing w:after="0"/>
              <w:rPr>
                <w:sz w:val="18"/>
                <w:szCs w:val="18"/>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(29,080)</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11,754</w:t>
            </w:r>
          </w:p>
        </w:tc>
        <w:tc>
          <w:tcPr>
            <w:tcW w:w="1280" w:type="dxa"/>
            <w:vAlign w:val="bottom"/>
            <w:gridSpan w:val="2"/>
          </w:tcPr>
          <w:p>
            <w:pPr>
              <w:jc w:val="center"/>
              <w:ind w:left="250"/>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(66,911)</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(67,837)</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926</w:t>
            </w:r>
          </w:p>
        </w:tc>
        <w:tc>
          <w:tcPr>
            <w:tcW w:w="128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Development margin</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36,482</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33,477</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3,005</w:t>
            </w:r>
          </w:p>
        </w:tc>
        <w:tc>
          <w:tcPr>
            <w:tcW w:w="128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3.9 pts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31" w:lineRule="exact"/>
        <w:rPr>
          <w:sz w:val="20"/>
          <w:szCs w:val="20"/>
          <w:color w:val="auto"/>
        </w:rPr>
      </w:pPr>
    </w:p>
    <w:p>
      <w:pPr>
        <w:ind w:left="1920" w:hanging="318"/>
        <w:spacing w:after="0" w:line="259" w:lineRule="auto"/>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$6.5 million from higher favorable product cost true-ups ($7.0 million in the twelve weeks ended June 17, 2016 compared to $0.5 million in the prior year comparable period) of which $3.5 million was attributed to projected increases in development revenue primarily from a reduction in our estimate of future sales incentives and $3.0 million resulted from lower development spending for completion of common elements at multiple projects;</w:t>
      </w:r>
    </w:p>
    <w:p>
      <w:pPr>
        <w:spacing w:after="0" w:line="92" w:lineRule="exact"/>
        <w:rPr>
          <w:rFonts w:ascii="Arial" w:cs="Arial" w:eastAsia="Arial" w:hAnsi="Arial"/>
          <w:sz w:val="18"/>
          <w:szCs w:val="18"/>
          <w:color w:val="auto"/>
        </w:rPr>
      </w:pPr>
    </w:p>
    <w:p>
      <w:pPr>
        <w:ind w:left="1920" w:hanging="318"/>
        <w:spacing w:after="0"/>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million from a favorable mix of lower cost real estate inventory being sold;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 million of higher revenue reportability compared to the prior year comparable period.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increases were partially offset by the following:</w:t>
      </w:r>
    </w:p>
    <w:p>
      <w:pPr>
        <w:spacing w:after="0" w:line="131" w:lineRule="exact"/>
        <w:rPr>
          <w:sz w:val="20"/>
          <w:szCs w:val="20"/>
          <w:color w:val="auto"/>
        </w:rPr>
      </w:pPr>
    </w:p>
    <w:p>
      <w:pPr>
        <w:ind w:left="1920" w:right="20" w:hanging="318"/>
        <w:spacing w:after="0" w:line="308" w:lineRule="auto"/>
        <w:tabs>
          <w:tab w:leader="none" w:pos="1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$3.3 million of additional deferred revenue in the current period due to higher usage of plus points as a sales incentive; this revenue will be recognized as rental revenue when the plus points are redeemed or upon expiration of the plus points</w:t>
      </w:r>
    </w:p>
    <w:p>
      <w:pPr>
        <w:spacing w:after="0" w:line="51" w:lineRule="exact"/>
        <w:rPr>
          <w:rFonts w:ascii="Arial" w:cs="Arial" w:eastAsia="Arial" w:hAnsi="Arial"/>
          <w:sz w:val="17"/>
          <w:szCs w:val="17"/>
          <w:color w:val="auto"/>
        </w:rPr>
      </w:pPr>
    </w:p>
    <w:p>
      <w:pPr>
        <w:ind w:left="1920" w:hanging="318"/>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$1.6 million of higher sales reserve activity in the current period due to the increase in financing propensity;</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$1.3 million of pre-opening and startup expenses in support of new sales locations; and</w:t>
      </w:r>
    </w:p>
    <w:p>
      <w:pPr>
        <w:spacing w:after="0" w:line="130" w:lineRule="exact"/>
        <w:rPr>
          <w:rFonts w:ascii="Arial" w:cs="Arial" w:eastAsia="Arial" w:hAnsi="Arial"/>
          <w:sz w:val="18"/>
          <w:szCs w:val="18"/>
          <w:color w:val="auto"/>
        </w:rPr>
      </w:pPr>
    </w:p>
    <w:p>
      <w:pPr>
        <w:ind w:left="1920" w:right="320" w:hanging="318"/>
        <w:spacing w:after="0" w:line="277" w:lineRule="auto"/>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 million of lower vacation ownership contract sales volume net of direct variable expenses (i.e., cost of vacation ownership products and marketing and sales).</w:t>
      </w:r>
    </w:p>
    <w:p>
      <w:pPr>
        <w:spacing w:after="0" w:line="17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3.9 percentage point decline in the development margin percentage reflected a 4.7 percentage point increase due to the higher favorable product cost true-up activity year-over-year, a 1.8 percentage point increase due to a favorable mix of lower cost vacation ownership real estate inventory being sold in the twelve weeks ended June 17, 2016, and a 0.5 percentage point increase due to the favorable revenue reportability year-over-year. These increases were partially offset by a 1.6 percentage point decline due to the higher usage of plus points as a sales incentive, a 0.8 percentage point decline due to the higher marketing and sales spending (including a 0.9 percentage point impact from the pre-opening and startup expenses), and a 0.7 percentage point decline due to the higher sales reserve rate.</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Twenty-Four Weeks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June 17, 2016</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June 19, 2015</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257,157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283,876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(26,719)</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40" w:type="dxa"/>
            <w:vAlign w:val="bottom"/>
          </w:tcPr>
          <w:p>
            <w:pPr>
              <w:spacing w:after="0"/>
              <w:rPr>
                <w:sz w:val="18"/>
                <w:szCs w:val="18"/>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(59,742)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(81,335)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21,593</w:t>
            </w:r>
          </w:p>
        </w:tc>
        <w:tc>
          <w:tcPr>
            <w:tcW w:w="1280" w:type="dxa"/>
            <w:vAlign w:val="bottom"/>
            <w:gridSpan w:val="2"/>
          </w:tcPr>
          <w:p>
            <w:pPr>
              <w:jc w:val="center"/>
              <w:ind w:left="25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(135,226)</w:t>
            </w:r>
          </w:p>
        </w:tc>
        <w:tc>
          <w:tcPr>
            <w:tcW w:w="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(136,854)</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1,628</w:t>
            </w:r>
          </w:p>
        </w:tc>
        <w:tc>
          <w:tcPr>
            <w:tcW w:w="128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Development margin</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62,189</w:t>
            </w: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65,687</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(3,498)</w:t>
            </w:r>
          </w:p>
        </w:tc>
        <w:tc>
          <w:tcPr>
            <w:tcW w:w="128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 pts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31" w:lineRule="exact"/>
        <w:rPr>
          <w:sz w:val="20"/>
          <w:szCs w:val="20"/>
          <w:color w:val="auto"/>
        </w:rPr>
      </w:pPr>
    </w:p>
    <w:p>
      <w:pPr>
        <w:ind w:left="1920" w:right="120" w:hanging="318"/>
        <w:spacing w:after="0" w:line="277" w:lineRule="auto"/>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$8.4 million from lower vacation ownership contract sales volume net of direct variable expenses (i.e., cost of vacation ownership products and marketing and sales);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20" w:hanging="318"/>
        <w:spacing w:after="0" w:line="308" w:lineRule="auto"/>
        <w:tabs>
          <w:tab w:leader="none" w:pos="1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$5.5 million of additional deferred revenue in the current period due to higher usage of plus points as a sales incentive; this revenue will be recognized as rental revenue when the plus points are redeemed or upon expiration of the plus points;</w:t>
      </w:r>
    </w:p>
    <w:p>
      <w:pPr>
        <w:spacing w:after="0" w:line="51" w:lineRule="exact"/>
        <w:rPr>
          <w:rFonts w:ascii="Arial" w:cs="Arial" w:eastAsia="Arial" w:hAnsi="Arial"/>
          <w:sz w:val="17"/>
          <w:szCs w:val="17"/>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$2.8 million of higher sales reserve activity in the current period due to the increase in financing propensity;</w:t>
      </w:r>
    </w:p>
    <w:p>
      <w:pPr>
        <w:spacing w:after="0" w:line="130" w:lineRule="exact"/>
        <w:rPr>
          <w:rFonts w:ascii="Arial" w:cs="Arial" w:eastAsia="Arial" w:hAnsi="Arial"/>
          <w:sz w:val="18"/>
          <w:szCs w:val="18"/>
          <w:color w:val="auto"/>
        </w:rPr>
      </w:pPr>
    </w:p>
    <w:p>
      <w:pPr>
        <w:ind w:left="1920" w:right="560" w:hanging="318"/>
        <w:spacing w:after="0" w:line="277"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$2.5 million of higher marketing and sales costs due to investment in new programs to help generate future incremental tour volumes; and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$1.6 million of pre-opening and startup expenses in support of new sales locations.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decreases were partially offset by the following:</w:t>
      </w:r>
    </w:p>
    <w:p>
      <w:pPr>
        <w:spacing w:after="0" w:line="131" w:lineRule="exact"/>
        <w:rPr>
          <w:sz w:val="20"/>
          <w:szCs w:val="20"/>
          <w:color w:val="auto"/>
        </w:rPr>
      </w:pPr>
    </w:p>
    <w:p>
      <w:pPr>
        <w:ind w:left="1920" w:right="40" w:hanging="318"/>
        <w:spacing w:after="0" w:line="259" w:lineRule="auto"/>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$8.9 million from higher favorable product cost true-ups ($10.4 million in the twenty-four weeks ended June 17, 2016 compared to $1.5 million in the prior year comparable period) of which $5.0 million was attributed to projected increases in development revenue primarily from a reduction in our estimate of future sales incentives and $3.9 million resulted from lower development spending for completion of common elements at multiple projects;</w:t>
      </w:r>
    </w:p>
    <w:p>
      <w:pPr>
        <w:spacing w:after="0" w:line="92" w:lineRule="exact"/>
        <w:rPr>
          <w:rFonts w:ascii="Arial" w:cs="Arial" w:eastAsia="Arial" w:hAnsi="Arial"/>
          <w:sz w:val="18"/>
          <w:szCs w:val="18"/>
          <w:color w:val="auto"/>
        </w:rPr>
      </w:pPr>
    </w:p>
    <w:p>
      <w:pPr>
        <w:ind w:left="1920" w:hanging="318"/>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$4.8 million from a favorable mix of lower cost real estate inventory being sold;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$3.4 million of higher revenue reportability compared to the prior year comparable period;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$0.2 million of lower other development expenses.</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1.1 percentage point increase in the development margin percentage reflected a 3.2 percentage point increase due to the higher favorable product cost true-up activity year-over-year, a 1.7 percentage point increase due to a favorable mix of lower cost vacation ownership real estate inventory being sold in the twenty-four weeks ended June 17, 2016, a 0.8 percentage point increase due to the favorable revenue reportability year-over-year and a 0.1 percentage point increase due to lower other development expenses. These increases were partially offset by a 1.4 percentage point decline due to the higher marketing and sales spending (including a 0.6 percentage point impact from the pre-opening and startup expenses), a 1.3 percentage point decline due to an inability to leverage fixed marketing and sales costs on lower vacation ownership contract sales, a 1.3 percentage point decline due to the higher usage of plus points as a sales incentive and a 0.7 percentage point decline due to the higher sales reserve rate.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17,229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15,909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52,128</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50,285</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1,843</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69,357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66,194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3,163</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(39,101)</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30,020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27,093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2,927</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28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2.4 pts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increase in resort management and other services revenues reflected $1.6 million of additional annual club dues earned in connection with the MVCD program due to the cumulative increase in owners enrolled in the program, $1.3 million of higher management fees, $0.6 million of higher ancillary revenues, $0.6 million of higher customer service fees and $0.1 million of higher resales commission and other revenues compared to the second quarter of 2015. These increases were partially offset by $1.1 million of lower settlement and lien fees due to a decrease in the number of contracts closed and fewer lien fees assessed compared to the second quarter of 2015. The increase in ancillary revenues included $0.8 million of ancillary revenues at the property we manage in New York, partially offset by a $0.2 million decrease in ancillary revenues from food and beverage and golf offerings at our other resorts.</w:t>
      </w:r>
    </w:p>
    <w:p>
      <w:pPr>
        <w:spacing w:after="0" w:line="16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partially offset by $0.2 million of higher expenses, including $0.8 million from the operation of the ancillary businesses at the property we manage in New York, partially offset by a $0.6 million decrease in other expenses in the current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33,692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31,477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2,215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97,330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93,292</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4,038</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131,022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124,769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6,253</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(76,069)</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53,533</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48,700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4,833</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28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 pts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The increase in resort management and other services revenues reflected $2.6 million of additional annual club dues earned in connection with the MVCD program due to the cumulative increase in owners enrolled in the program, $2.2 million of higher management fees, $1.8 million of higher ancillary revenues, $0.9 million of higher customer service fees and $0.4 million of higher resales commission and other revenues, in each case, compared to the prior year comparable period. These increases were partially offset by $1.3 million of lower settlement and lien fees due to a decrease in the number of contracts closed and fewer lien fees assessed and $0.4 million of lower brand fees due to fewer closings, in each case, compared to the prior year comparable period. The increase in ancillary revenues included $1.2 million of ancillary revenues at the property we manage in New York and a $0.6 million increase in ancillary revenues from food and beverage and golf offerings at our other resorts.</w:t>
      </w:r>
    </w:p>
    <w:p>
      <w:pPr>
        <w:spacing w:after="0" w:line="178"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partially offset by $1.4 million of higher expenses, including $1.5 million from the operation of the ancillary businesses at the property we manage in New York, and a $0.1 million decrease in other expenses in the current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25,482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25,027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1,327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26,853</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26,354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499</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The increase in financing revenues was due to an increase in the average gross vacation ownership notes receivable balance, partially offset by a slight decrease in the weighted average coupon rate of our vacation ownership notes receivable. The increase in financing propensity resulted from new programs implemented in the first half of 2015 to help increase financing propensity above the 40 to 45 percent rate that the company has averaged in recent years. As a result of these programs, we expect that interest income will continue to increase as new originations of vacation ownership notes receivable outpace the decline in principal of existing vacation ownership notes receivables. We are targeting higher financing propensity for fiscal year 2016.</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51,475</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50,636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2,786</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2,774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54,261</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53,410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851</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The increase in financing revenues was due to an increase in the average gross vacation ownership notes receivable balance, partially offset by a slight decrease in the weighted average coupon rate of our vacation ownership notes receivable. The increase in financing propensity resulted from new programs implemented in the first half of 2015 to help increase financing propensity above the 40 to 45 percent rate that the company has averaged in recent years. As a result of these programs, we expect that interest income will continue to increase as new originations of vacation ownership notes receivable outpace the decline in principal of existing vacation ownership notes receivables. We are targeting higher financing propensity for fiscal year 2016.</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73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65,629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65,756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Unsold maintenance fees — upscale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(1,506)</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1,476</w:t>
            </w:r>
          </w:p>
        </w:tc>
        <w:tc>
          <w:tcPr>
            <w:tcW w:w="1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74%</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Unsold maintenance fees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(14,444)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(40,714)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Rental margin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10,036</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10,628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pts)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261,320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252,199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9,121</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Average transient key rate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209.08</w:t>
            </w: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214.51</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(5.43)</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pts)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1" w:lineRule="exact"/>
        <w:rPr>
          <w:sz w:val="20"/>
          <w:szCs w:val="20"/>
          <w:color w:val="auto"/>
        </w:rPr>
      </w:pPr>
    </w:p>
    <w:p>
      <w:pPr>
        <w:ind w:left="460" w:right="440" w:hanging="452"/>
        <w:spacing w:after="0" w:line="27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decrease in rental revenues was due to a 3 percent decrease in average transient rate ($1.4 million) and $0.8 million of lower revenue from our operating property in San Diego due to the conversion of some of the inventory to vacation ownership inventory, partially offset by a 4 percent increase in transient keys rented ($2.0 million) primarily due to a 10 percent increase in available keys and $0.1 million of higher plus points revenue (which is recognized upon utilization of plus points or upon expiration of the points).</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The decrease in rental margin reflected $0.9 million of lower rental revenues net of direct variable expenses (such as housekeeping), expenses incurred due to owners choosing alternative usage options, and unsold maintenance fees, partially offset by a $0.3 million improvement in the operation of the property in San Diego compared to the prior year comparable period and the $0.1 million increase in plus points revenue.</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138,137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137,471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2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(26,930)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(23,344)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(3,586)</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(4,416)</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3,375</w:t>
            </w:r>
          </w:p>
        </w:tc>
        <w:tc>
          <w:tcPr>
            <w:tcW w:w="1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76%</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(27,971)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(27,760)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(83,578)</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(81,979)</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Rental margin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26,588</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27,732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pts)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535,691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531,960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3,731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219.71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220.57</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(0.86)</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pts)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1" w:lineRule="exact"/>
        <w:rPr>
          <w:sz w:val="20"/>
          <w:szCs w:val="20"/>
          <w:color w:val="auto"/>
        </w:rPr>
      </w:pPr>
    </w:p>
    <w:p>
      <w:pPr>
        <w:ind w:left="460" w:right="440" w:hanging="452"/>
        <w:spacing w:after="0" w:line="27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The increase in rental revenues was due to a 1 percent increase in transient keys rented ($0.8 million) primarily due to a 4 percent increase in available keys, $0.5 million of higher plus points revenue (which is recognized upon utilization of plus points or upon expiration of the points) and a $0.2 million increase in preview keys and other revenue, partially offset by a less than 1 percent decrease in average transient rate ($0.4 million) and $0.4 million of lower revenue from the operation of our operating property in San Diego due to the conversion of some of the inventory to vacation ownership inventory.</w:t>
      </w:r>
    </w:p>
    <w:p>
      <w:pPr>
        <w:spacing w:after="0" w:line="154" w:lineRule="exact"/>
        <w:rPr>
          <w:sz w:val="20"/>
          <w:szCs w:val="20"/>
          <w:color w:val="auto"/>
        </w:rPr>
      </w:pPr>
    </w:p>
    <w:p>
      <w:pPr>
        <w:jc w:val="both"/>
        <w:ind w:right="240" w:firstLine="913"/>
        <w:spacing w:after="0" w:line="286" w:lineRule="auto"/>
        <w:rPr>
          <w:sz w:val="20"/>
          <w:szCs w:val="20"/>
          <w:color w:val="auto"/>
        </w:rPr>
      </w:pPr>
      <w:r>
        <w:rPr>
          <w:rFonts w:ascii="Arial" w:cs="Arial" w:eastAsia="Arial" w:hAnsi="Arial"/>
          <w:sz w:val="17"/>
          <w:szCs w:val="17"/>
          <w:color w:val="auto"/>
        </w:rPr>
        <w:t>The decrease in rental margin reflected $1.8 million of lower rental revenues net of direct variable expenses (such as housekeeping), expenses incurred due to owners choosing alternative usage options, and unsold maintenance fees, partially offset by the $0.5 million increase in plus points revenue and a $0.3 million improvement in the operation of the property in San Diego compared to the prior year comparable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Europe segment for the twelve and twenty-four weeks ended June 17, 2016, compared to the twelve and twenty-four weeks ended June 19, 2015.</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14"/>
                <w:szCs w:val="14"/>
                <w:color w:val="auto"/>
              </w:rPr>
            </w:pPr>
          </w:p>
        </w:tc>
        <w:tc>
          <w:tcPr>
            <w:tcW w:w="25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4"/>
              </w:rPr>
              <w:t>June 19, 2015</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4"/>
              </w:rPr>
              <w:t>June 19,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5,867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5,647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11,027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7,983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7,789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26,256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26,621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7,983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7,789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24,099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23,615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June 17, 2016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9,938</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7,341</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2,597</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9,938</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2,597</w:t>
            </w:r>
          </w:p>
        </w:tc>
        <w:tc>
          <w:tcPr>
            <w:tcW w:w="13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firstLine="913"/>
        <w:spacing w:after="0" w:line="342" w:lineRule="auto"/>
        <w:rPr>
          <w:sz w:val="20"/>
          <w:szCs w:val="20"/>
          <w:color w:val="auto"/>
        </w:rPr>
      </w:pPr>
      <w:r>
        <w:rPr>
          <w:rFonts w:ascii="Arial" w:cs="Arial" w:eastAsia="Arial" w:hAnsi="Arial"/>
          <w:sz w:val="16"/>
          <w:szCs w:val="16"/>
          <w:color w:val="auto"/>
        </w:rPr>
        <w:t>The increase in Europe vacation ownership contract sales was due to $3.8 million of higher sales, primarily from several large multi-week purchases in the current period, partially offset by $1.2 million of lower fractional sales due to the near sell-out of developer inventory in 2015.</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June 17, 2016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12,639</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1,717</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1,717</w:t>
            </w:r>
          </w:p>
        </w:tc>
        <w:tc>
          <w:tcPr>
            <w:tcW w:w="13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firstLine="913"/>
        <w:spacing w:after="0" w:line="342" w:lineRule="auto"/>
        <w:rPr>
          <w:sz w:val="20"/>
          <w:szCs w:val="20"/>
          <w:color w:val="auto"/>
        </w:rPr>
      </w:pPr>
      <w:r>
        <w:rPr>
          <w:rFonts w:ascii="Arial" w:cs="Arial" w:eastAsia="Arial" w:hAnsi="Arial"/>
          <w:sz w:val="16"/>
          <w:szCs w:val="16"/>
          <w:color w:val="auto"/>
        </w:rPr>
        <w:t>The increase in Europe vacation ownership contract sales was due to $4.3 million of higher sales, primarily from several large multi-week purchases in the current period, partially offset by $2.6 million of lower fractional sales due to the near sell-out of developer inventory in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9,938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7,341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2,597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Revenue recognition adjustments: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2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5,867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5,647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220</w:t>
            </w:r>
          </w:p>
        </w:tc>
        <w:tc>
          <w:tcPr>
            <w:tcW w:w="1260" w:type="dxa"/>
            <w:vAlign w:val="bottom"/>
            <w:gridSpan w:val="2"/>
          </w:tcPr>
          <w:p>
            <w:pPr>
              <w:jc w:val="right"/>
              <w:ind w:right="33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Revenue reportability had a larger unfavorable impact in the current period compared to the prior year comparable period because fewer sales met the down payment requirement for revenue recognition purposes prior to the end of the current period compared to the prior year comparable period. This was driven by a large multi-week sale that was not reportable at the end of the current period. The increase in the sales reserve was due to an unfavorable adjustment to correct an immaterial error of $0.5 million in the current period with respect to historical static pool data.</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14,356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12,639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Revenue recognition adjustments: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2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(1,902)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11,027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11,547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60" w:type="dxa"/>
            <w:vAlign w:val="bottom"/>
            <w:gridSpan w:val="2"/>
          </w:tcPr>
          <w:p>
            <w:pPr>
              <w:jc w:val="right"/>
              <w:ind w:right="27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Revenue reportability had an unfavorable impact in the current period compared to a favorable impact in the prior year comparable period because fewer sales met the down payment requirement for revenue recognition purposes prior to the end of the current period compared to the prior year comparable period. This was driven by a large multi-week sale that was not reportable at the end of the current period. The decrease in the sales reserve was due to an unfavorable adjustment to the reserve in the prior year comparable period, partially offset by the higher contract sales volume in the current period, and due to an unfavorable adjustment in the current year to correct an immaterial error of $0.5 million in the current period with respect to historical static pool data.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June 17, 2016</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5,647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Development margin</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(57%)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pts)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913"/>
        <w:spacing w:after="0" w:line="279" w:lineRule="auto"/>
        <w:rPr>
          <w:sz w:val="20"/>
          <w:szCs w:val="20"/>
          <w:color w:val="auto"/>
        </w:rPr>
      </w:pPr>
      <w:r>
        <w:rPr>
          <w:rFonts w:ascii="Arial" w:cs="Arial" w:eastAsia="Arial" w:hAnsi="Arial"/>
          <w:sz w:val="17"/>
          <w:szCs w:val="17"/>
          <w:color w:val="auto"/>
        </w:rPr>
        <w:t>The decrease in development margin reflected $1.1 million of lower revenue reportability year-over-year and the $0.3 million increase in the sales reserve, partially offset by $1.0 million of higher vacation ownership contract sales volume net of direct variable expenses (i.e., cost of vacation ownership products and marketing and sales) and $0.1 million of higher product cost true-ups ($0.2 million favorable true-up in the twelve weeks ended June 17, 2016 compared to $0.1 million favorable true-up in the prior year comparable period) .</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June 17, 2016</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8"/>
              </w:rPr>
              <w:t>June 19, 2015</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11,547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1,090</w:t>
            </w:r>
          </w:p>
        </w:tc>
        <w:tc>
          <w:tcPr>
            <w:tcW w:w="10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Development margin</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 pts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The increase in development margin reflected $1.8 million of higher vacation ownership contract sales volume net of direct variable expenses (i.e., cost of vacation ownership products and marketing and sales) due to lower marketing and sales costs, as well as $0.3 million from the year over year change in the sales reserve, partially offset by $1.5 million from the lower revenue reportability year-over-year and $0.5 million of lower product cost true-ups ($0.3 million unfavorable true-up in the twenty-four weeks ended June 17, 2016 compared to a $0.2 million favorable true-up in the prior year comparable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Asia Pacific segment for the twelve and twenty-four weeks ended June 17, 2016, compared to the twelve and twenty-four weeks ended June 19, 2015.</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14"/>
                <w:szCs w:val="14"/>
                <w:color w:val="auto"/>
              </w:rPr>
            </w:pPr>
          </w:p>
        </w:tc>
        <w:tc>
          <w:tcPr>
            <w:tcW w:w="25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ind w:left="34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4"/>
              </w:rPr>
              <w:t>June 19, 2015</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2"/>
              </w:rPr>
              <w:t>June 19, 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16,635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19,203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20,148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Losses and other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In our Asia Pacific segment, we continue to identify opportunities for development margin improvement. We plan to focus on future inventory acquisitions with strong on-site sales locations. 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In the third quarter of 2015, we reinvested the proceeds from this disposition into the purchase of an operating property located in Surfers Paradise, Australia. We have commenced conversion of a portion of this hotel into vacation ownership inventory, the completed portion of which has been contributed to our new Marriott Vacation Club Destinations, Australia program. During the second quarter of 2016, we sold the portion of this operating property that we did not intend to convert to vacation ownership inventory. We began selling from this new location at the end of the first quarter of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10,454</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7,992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2,462</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10,454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7,992</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2,462</w:t>
            </w:r>
          </w:p>
        </w:tc>
        <w:tc>
          <w:tcPr>
            <w:tcW w:w="1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increase in Asia Pacific vacation ownership contract sales was driven by a 9 percent increase in VPG and a 20 percent increase in tours. These increases were both driven by an increase in sales to existing owners, and the increase in tours was also driven by the opening of the new sales location in Australia during the second quarter of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98"/>
              </w:rPr>
              <w:t>June 17, 2016</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19,880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16,651</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3,229</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(28,420)</w:t>
            </w:r>
          </w:p>
        </w:tc>
        <w:tc>
          <w:tcPr>
            <w:tcW w:w="1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19,880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(25,191)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(56%)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The increase in Asia Pacific vacation ownership contract sales was driven by a 7 percent increase in VPG and an 11 percent increase in tours. These increases were both driven by an increase in sales to existing owners, and the increase in tours was also driven by the opening of the new sales location in Australia during the second quarter of 2016. The decrease in Asia Pacific residential sales was due to the bulk sale of 18 whole ownership residential units in Macau during the first quarter of 2015 for $28.4 million, following which no residential inventory remained in this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2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June 17, 2016</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June 19, 2015</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10,454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2,462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18"/>
                <w:szCs w:val="18"/>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8,110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535</w:t>
            </w:r>
          </w:p>
        </w:tc>
        <w:tc>
          <w:tcPr>
            <w:tcW w:w="1360" w:type="dxa"/>
            <w:vAlign w:val="bottom"/>
            <w:gridSpan w:val="2"/>
          </w:tcPr>
          <w:p>
            <w:pPr>
              <w:jc w:val="right"/>
              <w:ind w:right="41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increase in the sales reserve was due to an unfavorable adjustment to correct an immaterial error of $1.3 million in the current period with respect to historical static pool data and the higher vacation ownership contract sales volume.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June 17, 2016</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June 19, 2015</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19,880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(25,191)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80" w:type="dxa"/>
            <w:vAlign w:val="bottom"/>
          </w:tcPr>
          <w:p>
            <w:pPr>
              <w:spacing w:after="0"/>
              <w:rPr>
                <w:sz w:val="18"/>
                <w:szCs w:val="18"/>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16,635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(27,218)</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increase in the sales reserve was due to an unfavorable adjustment to correct an immaterial error of $1.3 million in the current period with respect to historical static pool data and the higher vacation ownership contract sales volume in the current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2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June 17, 2016</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8"/>
              </w:rPr>
              <w:t>June 19, 2015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8,110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7,575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140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Development margin</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4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(114%)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 pts)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31" w:lineRule="exact"/>
        <w:rPr>
          <w:sz w:val="20"/>
          <w:szCs w:val="20"/>
          <w:color w:val="auto"/>
        </w:rPr>
      </w:pPr>
    </w:p>
    <w:p>
      <w:pPr>
        <w:ind w:left="1920" w:right="140" w:hanging="318"/>
        <w:spacing w:after="0" w:line="264" w:lineRule="auto"/>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 million of the higher sales reserve activity compared to the prior year comparable period due to an unfavorable adjustment to correct an immaterial error in the current period with respect to historical static pool data and the higher vacation ownership contract sales volume;</w:t>
      </w:r>
    </w:p>
    <w:p>
      <w:pPr>
        <w:spacing w:after="0" w:line="86" w:lineRule="exact"/>
        <w:rPr>
          <w:rFonts w:ascii="Arial" w:cs="Arial" w:eastAsia="Arial" w:hAnsi="Arial"/>
          <w:sz w:val="18"/>
          <w:szCs w:val="18"/>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$0.9 million of pre-opening and startup expenses in support of the new sales location in Australia;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$0.3 million of lower revenue reportability compared to the prior year comparable period.</w:t>
      </w:r>
    </w:p>
    <w:p>
      <w:pPr>
        <w:spacing w:after="0" w:line="225" w:lineRule="exact"/>
        <w:rPr>
          <w:sz w:val="20"/>
          <w:szCs w:val="20"/>
          <w:color w:val="auto"/>
        </w:rPr>
      </w:pPr>
    </w:p>
    <w:p>
      <w:pPr>
        <w:ind w:right="580" w:firstLine="913"/>
        <w:spacing w:after="0" w:line="264" w:lineRule="auto"/>
        <w:rPr>
          <w:sz w:val="20"/>
          <w:szCs w:val="20"/>
          <w:color w:val="auto"/>
        </w:rPr>
      </w:pPr>
      <w:r>
        <w:rPr>
          <w:rFonts w:ascii="Arial" w:cs="Arial" w:eastAsia="Arial" w:hAnsi="Arial"/>
          <w:sz w:val="18"/>
          <w:szCs w:val="18"/>
          <w:color w:val="auto"/>
        </w:rPr>
        <w:t>The decreases were partially offset by $0.5 million of higher sales volume net of direct variable expenses (i.e., cost of vacation ownership products and marketing and sales) and $0.3 million of higher favorable product cost true-ups ($0.3 million in the twelve weeks ended June 17, 2016, compared to no product cost true-ups in the prior year comparable period).</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2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June 17, 2016</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16,635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43,853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(27,218)</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2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20,493</w:t>
            </w:r>
          </w:p>
        </w:tc>
        <w:tc>
          <w:tcPr>
            <w:tcW w:w="1400" w:type="dxa"/>
            <w:vAlign w:val="bottom"/>
            <w:gridSpan w:val="2"/>
          </w:tcPr>
          <w:p>
            <w:pPr>
              <w:jc w:val="right"/>
              <w:ind w:right="359"/>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(12,906)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4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Development margin</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10,065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1400" w:type="dxa"/>
            <w:vAlign w:val="bottom"/>
            <w:gridSpan w:val="2"/>
          </w:tcPr>
          <w:p>
            <w:pPr>
              <w:jc w:val="right"/>
              <w:ind w:right="299"/>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 pts)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31" w:lineRule="exact"/>
        <w:rPr>
          <w:sz w:val="20"/>
          <w:szCs w:val="20"/>
          <w:color w:val="auto"/>
        </w:rPr>
      </w:pPr>
    </w:p>
    <w:p>
      <w:pPr>
        <w:ind w:left="1920" w:right="320" w:hanging="318"/>
        <w:spacing w:after="0" w:line="277"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$5.9 million of lower residential contract sales (no residential sales in the twenty-four weeks ended June 17, 2016, compared to $5.9 million from the sale of residential inventory in the prior year comparable period);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$1.7 million of pre-opening and startup expenses in support of the new sales location in Australia;</w:t>
      </w:r>
    </w:p>
    <w:p>
      <w:pPr>
        <w:spacing w:after="0" w:line="130" w:lineRule="exact"/>
        <w:rPr>
          <w:rFonts w:ascii="Arial" w:cs="Arial" w:eastAsia="Arial" w:hAnsi="Arial"/>
          <w:sz w:val="18"/>
          <w:szCs w:val="18"/>
          <w:color w:val="auto"/>
        </w:rPr>
      </w:pPr>
    </w:p>
    <w:p>
      <w:pPr>
        <w:ind w:left="1920" w:right="400" w:hanging="318"/>
        <w:spacing w:after="0" w:line="277"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$0.8 million of lower favorable product cost true-ups ($0.7 million in the twelve weeks ended June 17, 2016 compared to $1.5 million in the prior year comparable period);</w:t>
      </w:r>
    </w:p>
    <w:p>
      <w:pPr>
        <w:spacing w:after="0" w:line="75" w:lineRule="exact"/>
        <w:rPr>
          <w:rFonts w:ascii="Arial" w:cs="Arial" w:eastAsia="Arial" w:hAnsi="Arial"/>
          <w:sz w:val="18"/>
          <w:szCs w:val="18"/>
          <w:color w:val="auto"/>
        </w:rPr>
      </w:pPr>
    </w:p>
    <w:p>
      <w:pPr>
        <w:ind w:left="1920" w:right="140" w:hanging="318"/>
        <w:spacing w:after="0" w:line="264"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$0.8 million of the higher sales reserve activity compared to the prior year comparable period due to an unfavorable adjustment to correct an immaterial error in the current period with respect to historical static pool data and the higher vacation ownership contract sales volume; and</w:t>
      </w:r>
    </w:p>
    <w:p>
      <w:pPr>
        <w:spacing w:after="0" w:line="86" w:lineRule="exact"/>
        <w:rPr>
          <w:rFonts w:ascii="Arial" w:cs="Arial" w:eastAsia="Arial" w:hAnsi="Arial"/>
          <w:sz w:val="18"/>
          <w:szCs w:val="18"/>
          <w:color w:val="auto"/>
        </w:rPr>
      </w:pPr>
    </w:p>
    <w:p>
      <w:pPr>
        <w:ind w:left="1920" w:hanging="318"/>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$0.5 million of lower revenue reportability compared to the prior year comparable period.</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decreases were partially offset by $0.1 million of higher sales volume net of higher direct variable expenses (i.e., cost of vacation ownership products and marketing and sales), including higher marketing and sales costs in support of future growth in this region.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w w:val="94"/>
              </w:rPr>
              <w:t>June 19, 2015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691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671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3,882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3,609</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309</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 pts)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increase in resort management and other services revenues reflected $3.6 million of ancillary revenues at our operating property in Australia acquired in the third quarter of 2015.</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There was no change in the resort management and other services margin, which included $0.5 million of profit at our operating property in Australia and $0.5 million of higher other costs, including spending in support of future growth in the business. The ancillary revenue producing portions of the operating property in Australia were included in the sale of the operating property. Therefore, we do not anticipate future ancillary revenues or expenses at our property in Australia.</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Twenty-Four Weeks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w w:val="94"/>
              </w:rPr>
              <w:t>June 19, 2015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1,235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1,230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6,835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6,238</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6,243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(7,778)</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(1,505)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322</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 pts)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increase in resort management and other services revenues reflected $6.3 million of ancillary revenues at our operating property in Australia acquired in the third quarter of 2015.</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There was no change in the resort management and other services margin, which included $0.8 million of profit at our operating property in Australia and $0.8 million of higher other costs, including spending in support of future growth in the business. The ancillary revenue producing portions of the operating property in Australia were included in the sale of the operating property. Therefore, we do not anticipate future ancillary revenues or expenses at our property in Australia.</w:t>
      </w:r>
    </w:p>
    <w:p>
      <w:pPr>
        <w:spacing w:after="0" w:line="291" w:lineRule="exact"/>
        <w:rPr>
          <w:sz w:val="20"/>
          <w:szCs w:val="20"/>
          <w:color w:val="auto"/>
        </w:rPr>
      </w:pPr>
    </w:p>
    <w:p>
      <w:pPr>
        <w:jc w:val="right"/>
        <w:ind w:right="8360"/>
        <w:spacing w:after="0"/>
        <w:rPr>
          <w:sz w:val="20"/>
          <w:szCs w:val="20"/>
          <w:color w:val="auto"/>
        </w:rPr>
      </w:pPr>
      <w:r>
        <w:rPr>
          <w:rFonts w:ascii="Arial" w:cs="Arial" w:eastAsia="Arial" w:hAnsi="Arial"/>
          <w:sz w:val="16"/>
          <w:szCs w:val="16"/>
          <w:b w:val="1"/>
          <w:bCs w:val="1"/>
          <w:color w:val="auto"/>
        </w:rPr>
        <w:t>Rental Revenues, Expenses and Margin</w:t>
      </w:r>
    </w:p>
    <w:p>
      <w:pPr>
        <w:spacing w:after="0" w:line="144" w:lineRule="exact"/>
        <w:rPr>
          <w:sz w:val="20"/>
          <w:szCs w:val="20"/>
          <w:color w:val="auto"/>
        </w:rPr>
      </w:pPr>
    </w:p>
    <w:p>
      <w:pPr>
        <w:jc w:val="right"/>
        <w:ind w:right="8400"/>
        <w:spacing w:after="0"/>
        <w:rPr>
          <w:sz w:val="20"/>
          <w:szCs w:val="20"/>
          <w:color w:val="auto"/>
        </w:rPr>
      </w:pPr>
      <w:r>
        <w:rPr>
          <w:rFonts w:ascii="Arial" w:cs="Arial" w:eastAsia="Arial" w:hAnsi="Arial"/>
          <w:sz w:val="18"/>
          <w:szCs w:val="18"/>
          <w:i w:val="1"/>
          <w:iCs w:val="1"/>
          <w:color w:val="auto"/>
        </w:rPr>
        <w:t>Twelve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4,828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1,503</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3,325</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Rental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(2,794)</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1180" w:type="dxa"/>
            <w:vAlign w:val="bottom"/>
            <w:gridSpan w:val="2"/>
          </w:tcPr>
          <w:p>
            <w:pPr>
              <w:jc w:val="right"/>
              <w:ind w:right="159"/>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(1,291)</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1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Rental margin percentage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45.8 pts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increase in rental revenues includes $2.9 million from the operation of the property in Australia and $0.4 million from an increase in transient keys rented. The decrease in rental margin reflected a $1.1 million loss from our operating property in Australia, partially offset by $0.5 million of higher rental revenues net of direct variable expenses (such as housekeeping), expenses incurred due to owners choosing alternative usage options, and unsold maintenance fees.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17,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Twenty-Four Weeks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w w:val="98"/>
              </w:rPr>
              <w:t>June 17, 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10,449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3,855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6,594</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Rental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(5,290)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(7,264)</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(670)</w:t>
            </w:r>
          </w:p>
        </w:tc>
        <w:tc>
          <w:tcPr>
            <w:tcW w:w="12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5"/>
              </w:rPr>
              <w:t>(47%)</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Rental margin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17.1 pts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increase in rental revenues includes $6.1 million from the operation of the property in Australia and $0.5 million from an increase in transient keys rented. The decrease in rental margin reflected a $1.1 million loss from our operating property in Australia, partially offset by $0.4 million of higher rental revenues net of direct variable expenses (such as housekeeping), expenses incurred due to owners choosing alternative usage options, and unsold maintenance fees.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280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ind w:left="46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8"/>
              </w:rPr>
              <w:t>June 17, 2016</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June 19, 2015</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8"/>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8"/>
              </w:rPr>
              <w:t>June 19, 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1,808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1,249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3,763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24,588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22,892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49,885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2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10,479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11,475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11,507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22,951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47,852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47,101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96,571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Losses and other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financial results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(50,110)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(101,002)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our spin-off from Marriott International.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June 17, 2016</w:t>
      </w:r>
    </w:p>
    <w:p>
      <w:pPr>
        <w:spacing w:after="0" w:line="117" w:lineRule="exact"/>
        <w:rPr>
          <w:sz w:val="20"/>
          <w:szCs w:val="20"/>
          <w:color w:val="auto"/>
        </w:rPr>
      </w:pPr>
    </w:p>
    <w:p>
      <w:pPr>
        <w:jc w:val="both"/>
        <w:ind w:right="360" w:firstLine="913"/>
        <w:spacing w:after="0" w:line="279" w:lineRule="auto"/>
        <w:rPr>
          <w:sz w:val="20"/>
          <w:szCs w:val="20"/>
          <w:color w:val="auto"/>
        </w:rPr>
      </w:pPr>
      <w:r>
        <w:rPr>
          <w:rFonts w:ascii="Arial" w:cs="Arial" w:eastAsia="Arial" w:hAnsi="Arial"/>
          <w:sz w:val="17"/>
          <w:szCs w:val="17"/>
          <w:color w:val="auto"/>
        </w:rPr>
        <w:t>Total expenses increased $0.8 million from the prior year comparable period. The $0.8 million increase resulted from $1.7 million of higher general and administrative expenses due to higher information technology project costs and inflationary cost increases and $0.6 million of higher cost of vacation ownership products expenses due to higher non-capitalizable project expenses, partially offset by $1.2 million of lower financing expenses, $0.1 million of lower consumer financing interest expense, and $0.1 million of prior year litigation settlement expenses.</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Twenty-Four Weeks Ended June 17, 2016</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Total expenses increased $2.6 million from the prior year comparable period. The $2.6 million increase resulted from $4.2 million of higher general and administrative expenses due to higher information technology project costs and inflationary cost increases and $0.9 million of higher cost of vacation ownership products expenses due to higher non-capitalizable project expenses, partially offset by $1.5 million of lower financing expenses, $0.8 million of lower consumer financing interest expense, and $0.1 million each of lower litigation settlement and organizational and separation related expenses.</w:t>
      </w:r>
    </w:p>
    <w:p>
      <w:pPr>
        <w:spacing w:after="0" w:line="154" w:lineRule="exact"/>
        <w:rPr>
          <w:sz w:val="20"/>
          <w:szCs w:val="20"/>
          <w:color w:val="auto"/>
        </w:rPr>
      </w:pPr>
    </w:p>
    <w:p>
      <w:pPr>
        <w:ind w:right="540" w:firstLine="913"/>
        <w:spacing w:after="0" w:line="259" w:lineRule="auto"/>
        <w:rPr>
          <w:sz w:val="20"/>
          <w:szCs w:val="20"/>
          <w:color w:val="auto"/>
        </w:rPr>
      </w:pPr>
      <w:r>
        <w:rPr>
          <w:rFonts w:ascii="Arial" w:cs="Arial" w:eastAsia="Arial" w:hAnsi="Arial"/>
          <w:sz w:val="18"/>
          <w:szCs w:val="18"/>
          <w:color w:val="auto"/>
        </w:rPr>
        <w:t>The $0.8 million decline in consumer financing interest expense was due to a lower average interest rate on the outstanding debt balances, partially offset by a higher average outstanding debt balance.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capital needs are supported by cash on hand ($97.4 million at the end of the second quarter of 2016),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the second quarter of 2016, we had $746.3 million of total gross debt outstanding, which included $602.8 million of non-recourse debt associated with vacation ownership notes receivable securitizations, $89.0 million of debt associated with our non-recourse Warehouse Credit Facility and $45.0 million of debt associated with our Revolving Corporate Credit Facility. In addition, we have $40.0 million of gross mandatorily redeemable preferred stock of a consolidated subsidiary that we are not required to redeem until October 2021. However, we expect to exercise our option to redeem the preferred stock at par in October 2016.</w:t>
      </w:r>
    </w:p>
    <w:p>
      <w:pPr>
        <w:spacing w:after="0" w:line="166"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At the end of the second quarter of 2016, we had $697.9 million of real estate inventory on hand, comprised of $296.5 million of finished goods, $76.6 million of work-in-progress and $324.8 million of land and infrastructure. We expect to continue to sell excess Ritz-Carlton branded inventory through the MVCD program in order to generate incremental cash and reduce related carrying costs.</w:t>
      </w:r>
    </w:p>
    <w:p>
      <w:pPr>
        <w:spacing w:after="0" w:line="18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178" w:lineRule="exact"/>
        <w:rPr>
          <w:sz w:val="20"/>
          <w:szCs w:val="20"/>
          <w:color w:val="auto"/>
        </w:rPr>
      </w:pPr>
    </w:p>
    <w:p>
      <w:pPr>
        <w:jc w:val="both"/>
        <w:ind w:right="440" w:firstLine="913"/>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by targeting high-quality inventory that would allow us to add desirable new destinations to our system with new on-site sales locations through transactions that limit our up-front capital investment and allow us to purchase finished inventory closer to the time it is needed for sale. These capital efficient deals may consist of the development of new inventory, or the conversion of previously built units by third parties, just prior to sale.</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70" w:lineRule="exact"/>
        <w:rPr>
          <w:sz w:val="20"/>
          <w:szCs w:val="20"/>
          <w:color w:val="auto"/>
        </w:rPr>
      </w:pPr>
    </w:p>
    <w:p>
      <w:pPr>
        <w:ind w:right="520" w:firstLine="913"/>
        <w:spacing w:after="0" w:line="308" w:lineRule="auto"/>
        <w:rPr>
          <w:sz w:val="20"/>
          <w:szCs w:val="20"/>
          <w:color w:val="auto"/>
        </w:rPr>
      </w:pPr>
      <w:r>
        <w:rPr>
          <w:rFonts w:ascii="Arial" w:cs="Arial" w:eastAsia="Arial" w:hAnsi="Arial"/>
          <w:sz w:val="17"/>
          <w:szCs w:val="17"/>
          <w:color w:val="auto"/>
        </w:rPr>
        <w:t>During the twenty-four weeks ended June 17, 2016, we had a net decrease in cash and cash equivalents of $79.6 million compared to a net decrease of $95.6 million during the twenty-four weeks ended June 19, 2015. The following table summarizes these changes: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4"/>
                <w:szCs w:val="14"/>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7460" w:type="dxa"/>
            <w:vAlign w:val="bottom"/>
            <w:tcBorders>
              <w:bottom w:val="single" w:sz="8" w:color="CCEEFF"/>
            </w:tcBorders>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4"/>
              </w:rPr>
              <w:t>June 17, 2016</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8"/>
              </w:rPr>
              <w:t>June 19,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21,078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78,665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57,565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(155,190)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change in exchange rates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18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In the twenty-four weeks ended June 17, 2016, we generated $21.1 million of cash flows from operating activities, compared to $78.7 million in the twenty-four weeks ended June 19, 2015. Excluding the impact of changes in net income and adjustments for non-cash items, the decrease in cash flows reflects the timing of distributions to property owners’ associations for maintenance fees collected on their behalf, higher financing propensity due to the new financing incentive program implemented in the first half of 2015, lower collections due to the reduction in the portfolio of outstanding vacation ownership notes receivable and timing of payments related to employee benefits programs, partially offset by lower payments on the liability for the Marriott Rewards customer loyalty program and lower real estate inventory spending.</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twenty-four weeks ended June 19, 2015, we recorded residential contract sales of $28.4 million associated with the sale of 18 units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to net income and adjustments for non-cash items, the following operating activities are key drivers of our cash flow from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Real Estate Inventory Spending (In Excess of) Less Than Cost of Sales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2820" w:type="dxa"/>
            <w:vAlign w:val="bottom"/>
            <w:gridSpan w:val="5"/>
          </w:tcPr>
          <w:p>
            <w:pPr>
              <w:ind w:left="44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746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June 17, 2016</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8"/>
              </w:rPr>
              <w:t>June 19,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Purchase of operating property for future conversion to inventory</w:t>
            </w:r>
          </w:p>
        </w:tc>
        <w:tc>
          <w:tcPr>
            <w:tcW w:w="2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costs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63,900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Real estate inventory spending (in excess of) less than cost of sales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2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Our real estate inventory spending exceeded real estate inventory costs in the twenty-four weeks ended June 17, 2016, as a result of our opportunistic acquisition efforts. Real estate inventory spending included $23.5 million for the acquisition of an operating property located in the South Beach area of Miami Beach, Florida that we intend to convert, in its entirety, into vacation ownership interests for future use in our MVCD program. See Footnote No. 5, “Acquisitions and Dispositions,” to our Financial Statements for additional information regarding this transaction. During the twenty-four weeks ended June 19, 2015, we capitalized on the opportunity to add a premier destination to our portfolio through the acquisition of an operating property in San Diego, California. In order to ensure consistency with the expected related future cash flow presentation, $46.6 million of the cash purchase price allocated to property and equipment was included as an operating activity in the Purchase of operating property for future conversion to inventory line on our Cash Flows. See Footnote No. 5, “Acquisitions and Dispositions,” to our Financial Statements for additional information regarding this transaction. In the twenty-four weeks ended June 19, 2016, we began conversion of this property into vacation ownership interests for future use in our MVCD program.</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Real estate inventory costs for the twenty-four weeks ended June 19, 2015 included $21.6 million related to the sale of the residential units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1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ectPr>
          <w:pgSz w:w="11900" w:h="16838" w:orient="portrait"/>
          <w:cols w:equalWidth="0" w:num="1">
            <w:col w:w="11400"/>
          </w:cols>
          <w:pgMar w:left="240" w:top="459" w:right="259" w:bottom="1440" w:gutter="0" w:footer="0" w:header="0"/>
        </w:sectPr>
      </w:pPr>
    </w:p>
    <w:bookmarkStart w:id="59" w:name="page60"/>
    <w:bookmarkEnd w:id="59"/>
    <w:p>
      <w:pPr>
        <w:ind w:left="920"/>
        <w:spacing w:after="0"/>
        <w:rPr>
          <w:sz w:val="20"/>
          <w:szCs w:val="20"/>
          <w:color w:val="auto"/>
        </w:rPr>
      </w:pPr>
      <w:r>
        <w:rPr>
          <w:rFonts w:ascii="Arial" w:cs="Arial" w:eastAsia="Arial" w:hAnsi="Arial"/>
          <w:sz w:val="18"/>
          <w:szCs w:val="18"/>
          <w:i w:val="1"/>
          <w:iCs w:val="1"/>
          <w:color w:val="auto"/>
        </w:rPr>
        <w:t>Notes Receivable Collections (Less Than) in Excess of New Mortgages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4"/>
                <w:szCs w:val="14"/>
                <w:color w:val="auto"/>
              </w:rPr>
            </w:pPr>
          </w:p>
        </w:tc>
        <w:tc>
          <w:tcPr>
            <w:tcW w:w="3080" w:type="dxa"/>
            <w:vAlign w:val="bottom"/>
            <w:gridSpan w:val="5"/>
          </w:tcPr>
          <w:p>
            <w:pPr>
              <w:ind w:left="54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8080" w:type="dxa"/>
            <w:vAlign w:val="bottom"/>
            <w:tcBorders>
              <w:bottom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98"/>
              </w:rPr>
              <w:t>June 19,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collections — non-securitized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38,229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26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82,319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85,483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originations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(124,318)</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Vacation ownership notes receivable collections (less than) in excess of originations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(3,770)</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5620"/>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declined during the twenty-four weeks ended June 17, 2016, as compared to the twenty-four weeks ended June 19, 2015 due to the reduction in the portfolio of outstanding vacation ownership notes receivable. Vacation ownership notes receivable originations in the twenty-four weeks ended June 17, 2016 increased due to an increase in financing propensity to 56.2 percent for the twenty-four weeks ended June 17, 2016 compared to 42.7 percent for the twenty-four weeks ended June 19, 2015, due to a new financing incentive program implemented in our North America segment in the first half of 2015. Given the success of this program to date, we expect financing propensity levels to remain higher than the 40 to 45 percent that we have been averaging in recent years.</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4"/>
                <w:szCs w:val="14"/>
                <w:color w:val="auto"/>
              </w:rPr>
            </w:pPr>
          </w:p>
        </w:tc>
        <w:tc>
          <w:tcPr>
            <w:tcW w:w="3080" w:type="dxa"/>
            <w:vAlign w:val="bottom"/>
            <w:gridSpan w:val="5"/>
          </w:tcPr>
          <w:p>
            <w:pPr>
              <w:ind w:left="54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8080" w:type="dxa"/>
            <w:vAlign w:val="bottom"/>
            <w:tcBorders>
              <w:bottom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June 19,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(15,142)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2"/>
              </w:rPr>
              <w:t>(15,718)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26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2,969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left="454"/>
              <w:spacing w:after="0"/>
              <w:rPr>
                <w:sz w:val="20"/>
                <w:szCs w:val="20"/>
                <w:color w:val="auto"/>
              </w:rPr>
            </w:pPr>
            <w:r>
              <w:rPr>
                <w:rFonts w:ascii="Arial" w:cs="Arial" w:eastAsia="Arial" w:hAnsi="Arial"/>
                <w:sz w:val="18"/>
                <w:szCs w:val="18"/>
                <w:color w:val="auto"/>
                <w:w w:val="90"/>
              </w:rPr>
              <w:t>43,758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Dispositions, net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69,738</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90"/>
              </w:rPr>
              <w:t>20,346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90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57,565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ind w:left="454"/>
              <w:spacing w:after="0"/>
              <w:rPr>
                <w:sz w:val="20"/>
                <w:szCs w:val="20"/>
                <w:color w:val="auto"/>
              </w:rPr>
            </w:pPr>
            <w:r>
              <w:rPr>
                <w:rFonts w:ascii="Arial" w:cs="Arial" w:eastAsia="Arial" w:hAnsi="Arial"/>
                <w:sz w:val="18"/>
                <w:szCs w:val="18"/>
                <w:color w:val="auto"/>
                <w:w w:val="90"/>
              </w:rPr>
              <w:t>48,386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In the twenty-four weeks ended June 17, 2016, capital expenditures for property and equipment of $15.1 million included $11.3 million to support business operations (including $0.6 million for ancillary and operations assets and $10.7 million for sales location) and $3.8 million for technology spending.</w:t>
      </w:r>
    </w:p>
    <w:p>
      <w:pPr>
        <w:spacing w:after="0" w:line="18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the twenty-four weeks ended June 19, 2015, capital expenditures for property and equipment of $15.7 million included $12.1 million to support business operations (including $1.6 million for ancillary and operations assets and $2.8 million for sales locations other than the operating property in San Diego, California), and $3.6 million for technology spending. The capital expenditures for ancillary and operations assets included $7.7 million associated with the purchase price allocation for the operating property in San Diego, California. See Footnote No. 5, “Acquisitions and Dispositions,” to our Financial Statements for additional information regarding the San Diego transaction.</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Decrease in Restricted Cash</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applicable legal requirements.</w:t>
      </w:r>
    </w:p>
    <w:p>
      <w:pPr>
        <w:spacing w:after="0" w:line="18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decrease in restricted cash in the twenty-four weeks ended June 17, 2016 reflected $20.3 million of higher cash distributions for maintenance fees remitted to certain property owners’ associations subsequent to the end of 2015 and $2.5 million in property refurbishment reserves transferred to the new Surfers Paradise hotel owner, partially offset by $12.4 million increase in cash that was collected for distribution to investors in connection with securitized vacation ownership notes receivable and $7.4 million increase in cash associated with vacation ownership sales held in escrow.</w:t>
      </w:r>
    </w:p>
    <w:p>
      <w:pPr>
        <w:spacing w:after="0" w:line="15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decrease in restricted cash in the twenty-four weeks ended June 19, 2015 reflected $49.6 million of higher cash distributions for maintenance fees remitted to certain property owners’ associations subsequent to the end of 2014, partially offset by a $3.4 million increase in cash associated with vacation ownership sales held in escrow and a $2.4 million increase in cash that was collected for distribution to investors in connection with securitized vacation ownership notes receivable.</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Dispositions, net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Dispositions in the twenty-four weeks ended June 17, 2016 related to the sale of 216 rooms and resort amenities of the hotel in Surfers Paradise, Australia for $50.3 million, the sale of excess inventory at The Ritz-Carlton Club, San Francisco in San Francisco, California for $19.3 million and the sale of undeveloped land in Absecon, New Jersey for $0.1 million.</w:t>
      </w:r>
    </w:p>
    <w:p>
      <w:pPr>
        <w:spacing w:after="0" w:line="181"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Dispositions in the twenty-four weeks ended June 19, 2015 related to the sale of undeveloped land in Kauai, Hawaii for $19.5 million, two lots in St. Thomas, U.S. Virgin Islands for $0.4 million and an operations facility in Hilton Head, South Carolina for $0.4 million.</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44"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7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4"/>
                <w:szCs w:val="14"/>
                <w:color w:val="auto"/>
              </w:rPr>
            </w:pPr>
          </w:p>
        </w:tc>
        <w:tc>
          <w:tcPr>
            <w:tcW w:w="3100" w:type="dxa"/>
            <w:vAlign w:val="bottom"/>
            <w:gridSpan w:val="5"/>
          </w:tcPr>
          <w:p>
            <w:pPr>
              <w:ind w:left="56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June 17, 2016</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June 19,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securitization transactions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91,281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Repayment of debt related to securitizations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(84,040)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Revolving Corporate Credit Facility</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Repayment of Revolving Corporate Credit Facility</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vacation ownership inventory arrangement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Accelerated stock repurchase forward contract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(155,190)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Borrowings from / Repayments of Debt Related to Securitization Transactions</w:t>
      </w:r>
    </w:p>
    <w:p>
      <w:pPr>
        <w:spacing w:after="0" w:line="11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During the first half of 2016, we securitized vacation ownership notes receivable under our Warehouse Credit Facility. The total carrying amount of the vacation ownership notes receivable securitized was $107.7 million. The advance rate was 85 percent, which resulted in total gross proceeds of $91.3 million. The total net proceeds were $90.6 million due to the funding of reserve accounts in the amount of $0.7 million.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June 17, 2016, $104.8 million of gross vacation ownership notes receivable were eligible for securitization.</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Borrowings from / Repayments of Revolving Corporate Credit Facility Transactions</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During the first half of 2016, we made draws on the Revolving Corporate Credit Facility for $85.0 million to facilitate our short-term business needs, of which $45.0 million was outstanding as of June 17, 2016.</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Proceeds from Vacation Ownership Inventory Arrangement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 connection with our initiative of pursuing growth opportunities in ways that optimize the timing of our capital investments, including working with third parties to develop new inventory or convert previously built units to be sold to us close to when we need such inventory for sale, we sold real property located in Marco Island, Florida during the first quarter of 2015 to a third-party developer. Pursuant to this transaction, we are obligated to repurchase the completed property from the developer contingent upon the property meeting our brand standards and provided that the third-party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During the twenty-four weeks ended June 17, 2016, we repurchased 2,801,035 shares of our common stock at an average price of $58.32 per share for a total of $163.4 million, including amounts under an accelerated share repurchase program pursuant to which we received an initial delivery of 1,168,917 shares. The maximum number of additional shares that may be delivered to us under the accelerated share repurchase program is 834,940. This accelerated share repurchases program effectively accelerated a significant amount of our third quarter repurchases and is expected to be in place through the end of the third quarter of 2016. As a result, we anticipate our ability to repurchase shares in the third quarter of 2016 will be very limited. See Footnote No. 11, “Shareholders’ Equity,” to our Financial Statements for further information related to our share repurchase program.</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distributed cash dividends to holders of common stock during the twenty-four weeks ended June 17, 2016 as follows:</w:t>
      </w:r>
    </w:p>
    <w:p>
      <w:pPr>
        <w:spacing w:after="0" w:line="244"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54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Shareholder Record Date</w:t>
            </w:r>
          </w:p>
        </w:tc>
        <w:tc>
          <w:tcPr>
            <w:tcW w:w="5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5"/>
              </w:rPr>
              <w:t>Distribution Date</w:t>
            </w:r>
          </w:p>
        </w:tc>
        <w:tc>
          <w:tcPr>
            <w:tcW w:w="580" w:type="dxa"/>
            <w:vAlign w:val="bottom"/>
          </w:tcPr>
          <w:p>
            <w:pPr>
              <w:spacing w:after="0"/>
              <w:rPr>
                <w:sz w:val="16"/>
                <w:szCs w:val="16"/>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Dividend per Share</w:t>
            </w:r>
          </w:p>
        </w:tc>
      </w:tr>
      <w:tr>
        <w:trPr>
          <w:trHeight w:val="196"/>
        </w:trPr>
        <w:tc>
          <w:tcPr>
            <w:tcW w:w="1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December 8, 2015</w:t>
            </w:r>
          </w:p>
        </w:tc>
        <w:tc>
          <w:tcPr>
            <w:tcW w:w="5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December 21, 2015</w:t>
            </w:r>
          </w:p>
        </w:tc>
        <w:tc>
          <w:tcPr>
            <w:tcW w:w="56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January 6, 2016</w:t>
            </w:r>
          </w:p>
        </w:tc>
        <w:tc>
          <w:tcPr>
            <w:tcW w:w="5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$ 0.30</w:t>
            </w:r>
          </w:p>
        </w:tc>
        <w:tc>
          <w:tcPr>
            <w:tcW w:w="2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11, 2016</w:t>
            </w:r>
          </w:p>
        </w:tc>
        <w:tc>
          <w:tcPr>
            <w:tcW w:w="5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5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March 10, 2016</w:t>
            </w:r>
          </w:p>
        </w:tc>
        <w:tc>
          <w:tcPr>
            <w:tcW w:w="2200" w:type="dxa"/>
            <w:vAlign w:val="bottom"/>
            <w:gridSpan w:val="2"/>
          </w:tcPr>
          <w:p>
            <w:pPr>
              <w:jc w:val="center"/>
              <w:ind w:left="470"/>
              <w:spacing w:after="0"/>
              <w:rPr>
                <w:sz w:val="20"/>
                <w:szCs w:val="20"/>
                <w:color w:val="auto"/>
              </w:rPr>
            </w:pPr>
            <w:r>
              <w:rPr>
                <w:rFonts w:ascii="Arial" w:cs="Arial" w:eastAsia="Arial" w:hAnsi="Arial"/>
                <w:sz w:val="18"/>
                <w:szCs w:val="18"/>
                <w:color w:val="auto"/>
                <w:w w:val="87"/>
              </w:rPr>
              <w:t>$ 0.30</w:t>
            </w:r>
          </w:p>
        </w:tc>
        <w:tc>
          <w:tcPr>
            <w:tcW w:w="20" w:type="dxa"/>
            <w:vAlign w:val="bottom"/>
          </w:tcPr>
          <w:p>
            <w:pPr>
              <w:spacing w:after="0"/>
              <w:rPr>
                <w:sz w:val="18"/>
                <w:szCs w:val="18"/>
                <w:color w:val="auto"/>
              </w:rPr>
            </w:pPr>
          </w:p>
        </w:tc>
      </w:tr>
      <w:tr>
        <w:trPr>
          <w:trHeight w:val="216"/>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12, 2016</w:t>
            </w:r>
          </w:p>
        </w:tc>
        <w:tc>
          <w:tcPr>
            <w:tcW w:w="5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26, 2016</w:t>
            </w:r>
          </w:p>
        </w:tc>
        <w:tc>
          <w:tcPr>
            <w:tcW w:w="5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9, 2016</w:t>
            </w:r>
          </w:p>
        </w:tc>
        <w:tc>
          <w:tcPr>
            <w:tcW w:w="22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7"/>
              </w:rPr>
              <w:t>$ 0.30</w:t>
            </w:r>
          </w:p>
        </w:tc>
        <w:tc>
          <w:tcPr>
            <w:tcW w:w="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1, 2016, other than those discussed below.</w:t>
      </w:r>
    </w:p>
    <w:p>
      <w:pPr>
        <w:spacing w:after="0" w:line="181"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As of June 17, 2016, debt, net increased by $55.0 million to $733.8 million compared to $678.8 million at January 1, 2016, mainly due to $91.3 million of net proceeds drawn on the Warehouse Credit Facility, $85.0 million drawn on the Revolving Corporate Credit Facility and $7.2 million related to non-cash acquisitions of property via capital leases, partially offset by a decrease of $81.8 million related to repayments of non-recourse gross debt associated with vacation ownership notes receivable securitizations, $40.0 million related to repayments of the Revolving Corporate Credit Facility and $2.2 million repayments of the Warehouse Credit Facility. As of June 17, 2016, future debt payments to be paid out of collections from our vacation ownership notes receivable, including principal and interest, totaled $758.9 million and are due as follows: $63.7 million in 2016; $104.9 million in 2017; $173.7 million in 2018; $81.2 million in 2019; $76.7 million in 2020; and $258.7 million thereafter.</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Subsequent to the second quarter of 2016, we made repayments of $45.0 million on our Revolving Corporate Credit Facility.</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We expect to exercise our option to redeem the mandatorily redeemable preferred stock of a consolidated subsidiary at par in October 2016, although we are not required to redeem it until October 2021.</w:t>
      </w:r>
    </w:p>
    <w:p>
      <w:pPr>
        <w:spacing w:after="0" w:line="17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We have commitments to purchase vacation ownership units located in two resorts in Bali, Indonesia in two separate transactions, contingent upon completion of construction at agreed upon standards within specified timeframes, for use in our Asia Pacific segment. We expect to complete the acquisition of 51 vacation ownership units in 2017 pursuant to one of the commitments, and to make remaining payments with respect to these units, when specific construction milestones are completed, as follows: $2.3 million in 2016 and $19.0 million in 2017. We expect to complete the acquisition of 88 vacation ownership units in 2019 pursuant to the other commitment, and to make payments with respect to these units, when specific construction milestones are completed, as follows: $7.8 million in 2016, $5.9 million in 2018, and $25.4 million in 2019.</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have a commitment to purchase an operating property, which we currently manage, located in New York, New York for $158.5 million. We expect to acquire the units in the property, in their current form, over time, and we expect to make payments for these units of $96.8 million and $61.7 million in 2018 and 2019, respectively. See Footnote No. 8, “Contingencies and Commitments,” and Footnote No. 13, “Variable Interest Entities,” to our Financial Statements for additional information on this transaction.</w:t>
      </w:r>
    </w:p>
    <w:p>
      <w:pPr>
        <w:spacing w:after="0" w:line="187" w:lineRule="exact"/>
        <w:rPr>
          <w:sz w:val="20"/>
          <w:szCs w:val="20"/>
          <w:color w:val="auto"/>
        </w:rPr>
      </w:pPr>
    </w:p>
    <w:p>
      <w:pPr>
        <w:jc w:val="both"/>
        <w:ind w:right="480" w:firstLine="913"/>
        <w:spacing w:after="0" w:line="264" w:lineRule="auto"/>
        <w:rPr>
          <w:sz w:val="20"/>
          <w:szCs w:val="20"/>
          <w:color w:val="auto"/>
        </w:rPr>
      </w:pPr>
      <w:r>
        <w:rPr>
          <w:rFonts w:ascii="Arial" w:cs="Arial" w:eastAsia="Arial" w:hAnsi="Arial"/>
          <w:sz w:val="18"/>
          <w:szCs w:val="18"/>
          <w:color w:val="auto"/>
        </w:rPr>
        <w:t>We have a commitment of $137.1 million to purchase vacation ownership units located in Marco Island, Florida, of which we expect $33.3 million, $50.0 million and $53.8 million will be paid in 2017, 2018 and 2019, respectively. See Footnote No. 5, “Acquisitions and Dispositions,” to our Financial Statements for additional information on this transaction.</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entered into new operating lease commitments that expire at various dates through 2027. Our aggregate minimum lease payments under these contracts as of June 17, 2016 were $23.0 million, of which we expect $0.2 million, $1.6 million, $1.9 million, $2.1 million, $2.4 million and $14.8 million will be paid in 2016, 2017, 2018, 2019, 2020 and thereafter, respectively.</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sales of vacation ownership products. The terms of these guarantees generally require us to fund if the purchaser fails to pay under the terms of its note payable. We are entitled to recover any payments we make to third-party lenders under these guarantees through reacquisition and resale of the vacation ownership product. Our commitments under these guarantees expire as the underlying notes mature or are repaid. Our maximum exposure under such guarantees as of June 17, 2016 was $7.0 million. The terms of the underlying debt to third-party lenders extend to 2022.</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to our Financial Statements.</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8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7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January 1, 2016.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100" w:type="dxa"/>
            <w:vAlign w:val="bottom"/>
            <w:gridSpan w:val="2"/>
          </w:tcPr>
          <w:p>
            <w:pPr>
              <w:ind w:left="180"/>
              <w:spacing w:after="0"/>
              <w:rPr>
                <w:sz w:val="20"/>
                <w:szCs w:val="20"/>
                <w:color w:val="auto"/>
              </w:rPr>
            </w:pPr>
            <w:r>
              <w:rPr>
                <w:rFonts w:ascii="Arial" w:cs="Arial" w:eastAsia="Arial" w:hAnsi="Arial"/>
                <w:sz w:val="18"/>
                <w:szCs w:val="18"/>
                <w:b w:val="1"/>
                <w:bCs w:val="1"/>
                <w:color w:val="auto"/>
                <w:w w:val="94"/>
              </w:rPr>
              <w:t>Unregistered Sales of Equity Securities and Use of Proceeds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5100" w:type="dxa"/>
            <w:vAlign w:val="bottom"/>
            <w:gridSpan w:val="2"/>
          </w:tcPr>
          <w:p>
            <w:pPr>
              <w:ind w:left="180"/>
              <w:spacing w:after="0"/>
              <w:rPr>
                <w:sz w:val="20"/>
                <w:szCs w:val="20"/>
                <w:color w:val="auto"/>
              </w:rPr>
            </w:pPr>
            <w:r>
              <w:rPr>
                <w:rFonts w:ascii="Arial" w:cs="Arial" w:eastAsia="Arial" w:hAnsi="Arial"/>
                <w:sz w:val="18"/>
                <w:szCs w:val="18"/>
                <w:i w:val="1"/>
                <w:iCs w:val="1"/>
                <w:color w:val="auto"/>
              </w:rPr>
              <w:t>Issuer Purchases of Equity Securities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2"/>
                <w:szCs w:val="12"/>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Plans or</w:t>
            </w:r>
          </w:p>
        </w:tc>
        <w:tc>
          <w:tcPr>
            <w:tcW w:w="1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740" w:type="dxa"/>
            <w:vAlign w:val="bottom"/>
            <w:vMerge w:val="continue"/>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38"/>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1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26, 2016 – April 22, 2016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182,636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65.76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182,636</w:t>
            </w:r>
          </w:p>
        </w:tc>
        <w:tc>
          <w:tcPr>
            <w:tcW w:w="1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2,536,299</w:t>
            </w:r>
          </w:p>
        </w:tc>
        <w:tc>
          <w:tcPr>
            <w:tcW w:w="0" w:type="dxa"/>
            <w:vAlign w:val="bottom"/>
          </w:tcPr>
          <w:p>
            <w:pPr>
              <w:spacing w:after="0"/>
              <w:rPr>
                <w:sz w:val="1"/>
                <w:szCs w:val="1"/>
                <w:color w:val="auto"/>
              </w:rPr>
            </w:pP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color w:val="auto"/>
              </w:rPr>
              <w:t>April 23, 2016 – May 20, 2016</w:t>
            </w:r>
          </w:p>
        </w:tc>
        <w:tc>
          <w:tcPr>
            <w:tcW w:w="1200" w:type="dxa"/>
            <w:vAlign w:val="bottom"/>
          </w:tcPr>
          <w:p>
            <w:pPr>
              <w:jc w:val="right"/>
              <w:ind w:right="158"/>
              <w:spacing w:after="0"/>
              <w:rPr>
                <w:sz w:val="20"/>
                <w:szCs w:val="20"/>
                <w:color w:val="auto"/>
              </w:rPr>
            </w:pPr>
            <w:r>
              <w:rPr>
                <w:rFonts w:ascii="Arial" w:cs="Arial" w:eastAsia="Arial" w:hAnsi="Arial"/>
                <w:sz w:val="18"/>
                <w:szCs w:val="18"/>
                <w:color w:val="auto"/>
              </w:rPr>
              <w:t>47,500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65.17</w:t>
            </w:r>
          </w:p>
        </w:tc>
        <w:tc>
          <w:tcPr>
            <w:tcW w:w="120" w:type="dxa"/>
            <w:vAlign w:val="bottom"/>
          </w:tcPr>
          <w:p>
            <w:pPr>
              <w:spacing w:after="0"/>
              <w:rPr>
                <w:sz w:val="18"/>
                <w:szCs w:val="18"/>
                <w:color w:val="auto"/>
              </w:rPr>
            </w:pPr>
          </w:p>
        </w:tc>
        <w:tc>
          <w:tcPr>
            <w:tcW w:w="1260" w:type="dxa"/>
            <w:vAlign w:val="bottom"/>
          </w:tcPr>
          <w:p>
            <w:pPr>
              <w:jc w:val="right"/>
              <w:ind w:right="141"/>
              <w:spacing w:after="0"/>
              <w:rPr>
                <w:sz w:val="20"/>
                <w:szCs w:val="20"/>
                <w:color w:val="auto"/>
              </w:rPr>
            </w:pPr>
            <w:r>
              <w:rPr>
                <w:rFonts w:ascii="Arial" w:cs="Arial" w:eastAsia="Arial" w:hAnsi="Arial"/>
                <w:sz w:val="18"/>
                <w:szCs w:val="18"/>
                <w:color w:val="auto"/>
              </w:rPr>
              <w:t>47,500</w:t>
            </w:r>
          </w:p>
        </w:tc>
        <w:tc>
          <w:tcPr>
            <w:tcW w:w="19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2,488,799</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21, 2016 – June 17, 2016</w:t>
            </w:r>
            <w:r>
              <w:rPr>
                <w:rFonts w:ascii="Arial" w:cs="Arial" w:eastAsia="Arial" w:hAnsi="Arial"/>
                <w:sz w:val="15"/>
                <w:szCs w:val="15"/>
                <w:color w:val="auto"/>
              </w:rPr>
              <w:t>(2)</w:t>
            </w:r>
          </w:p>
        </w:tc>
        <w:tc>
          <w:tcPr>
            <w:tcW w:w="12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1,243,917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60.31</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1,243,917</w:t>
            </w:r>
          </w:p>
        </w:tc>
        <w:tc>
          <w:tcPr>
            <w:tcW w:w="1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1,244,882</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1,474,053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61.15</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1,474,053</w:t>
            </w:r>
          </w:p>
        </w:tc>
        <w:tc>
          <w:tcPr>
            <w:tcW w:w="19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1,244,882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89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8" w:lineRule="exact"/>
        <w:rPr>
          <w:sz w:val="20"/>
          <w:szCs w:val="20"/>
          <w:color w:val="auto"/>
        </w:rPr>
      </w:pPr>
    </w:p>
    <w:p>
      <w:pPr>
        <w:jc w:val="both"/>
        <w:ind w:left="460" w:right="80" w:hanging="452"/>
        <w:spacing w:after="0" w:line="288"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6"/>
          <w:szCs w:val="16"/>
          <w:color w:val="auto"/>
        </w:rPr>
        <w:t>On February 11, 2016, our Board of Directors approved the repurchase of up to an additional 2,000,000 shares of our common stock under our existing share repurchase program prior to March 24, 2017. Prior to that authorization, our Board of Directors had authorized the repurchase of an aggregate of up to 8,900,000 shares of our common stock under the share repurchase program since the initiation of the program in October 2013.</w:t>
      </w:r>
    </w:p>
    <w:p>
      <w:pPr>
        <w:ind w:left="460" w:right="40" w:hanging="452"/>
        <w:spacing w:after="0" w:line="255"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During the second quarter, pursuant to our existing share repurchase program, we entered into an accelerated share repurchase agreement (“ASR”) with a financial institution to repurchase shares of our common stock. See Footnote No. 11 “Shareholders’ Equity,” to our Financial Statements for a description of this ASR.</w:t>
      </w:r>
    </w:p>
    <w:p>
      <w:pPr>
        <w:spacing w:after="0" w:line="3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jc w:val="center"/>
        <w:ind w:right="9060"/>
        <w:spacing w:after="0"/>
        <w:tabs>
          <w:tab w:leader="none" w:pos="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jc w:val="center"/>
        <w:ind w:right="91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July 21, 2016</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5080</wp:posOffset>
            </wp:positionV>
            <wp:extent cx="2914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78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 (incorporated by reference to Exhibit 3.1 to the Company’s Current Report on Form 8-K filed on November 22, 2011).</w:t>
      </w:r>
    </w:p>
    <w:p>
      <w:pPr>
        <w:spacing w:after="0" w:line="62" w:lineRule="exact"/>
        <w:rPr>
          <w:sz w:val="20"/>
          <w:szCs w:val="20"/>
          <w:color w:val="auto"/>
        </w:rPr>
      </w:pPr>
    </w:p>
    <w:p>
      <w:pPr>
        <w:sectPr>
          <w:pgSz w:w="11900" w:h="16838" w:orient="portrait"/>
          <w:cols w:equalWidth="0" w:num="2">
            <w:col w:w="580" w:space="580"/>
            <w:col w:w="102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Restated Bylaws of Marriott Vacations Worldwide Corporation (incorporated by reference to Exhibit 3.2 to the Company’s Current Report on</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Form 8-K filed on November 22, 2011).</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500" w:type="dxa"/>
            <w:vAlign w:val="bottom"/>
          </w:tcPr>
          <w:p>
            <w:pPr>
              <w:ind w:left="240"/>
              <w:spacing w:after="0"/>
              <w:rPr>
                <w:sz w:val="20"/>
                <w:szCs w:val="20"/>
                <w:color w:val="auto"/>
              </w:rPr>
            </w:pPr>
            <w:r>
              <w:rPr>
                <w:rFonts w:ascii="Arial" w:cs="Arial" w:eastAsia="Arial" w:hAnsi="Arial"/>
                <w:sz w:val="18"/>
                <w:szCs w:val="18"/>
                <w:color w:val="auto"/>
                <w:w w:val="90"/>
              </w:rPr>
              <w:t>Indenture Supplement, dated June 16, 2016, among Marriott Vacations Worldwide Owner Trust 2011-1, Marriott Ownership Resorts, Inc., and</w:t>
            </w: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Wells Fargo Bank, National Association, Deutsche Bank AG, New York Branch, and the Conduits, Alternate Purchasers, Funding Agents and</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Non-Conduit Committed Purchasers signatory thereto.</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10.2</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Omnibus Amendment No. 4, dated May 20, 2016, relating to, among other agreements, the Third Amended and Restated Indenture and the</w:t>
            </w: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4"/>
              </w:rPr>
              <w:t>Second Amended and Restated Sale Agreement, by and among Marriott Vacations Worldwide Owner Trust 2011-1, Marriott Ownership</w:t>
            </w: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Resorts, Inc., Wells Fargo Bank, National Association, MORI SPC Series Corp., Marriott Vacations Worldwide Corporation, the Purchasers</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signatory thereto, Deutsche Bank AG, New York Branch, Wilmington Trust, National Association, and MVCO Series LLC.</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0500" w:type="dxa"/>
            <w:vAlign w:val="bottom"/>
          </w:tcPr>
          <w:p>
            <w:pPr>
              <w:ind w:left="240"/>
              <w:spacing w:after="0"/>
              <w:rPr>
                <w:sz w:val="20"/>
                <w:szCs w:val="20"/>
                <w:color w:val="auto"/>
              </w:rPr>
            </w:pPr>
            <w:r>
              <w:rPr>
                <w:rFonts w:ascii="Arial" w:cs="Arial" w:eastAsia="Arial" w:hAnsi="Arial"/>
                <w:sz w:val="18"/>
                <w:szCs w:val="18"/>
                <w:color w:val="auto"/>
                <w:w w:val="96"/>
              </w:rPr>
              <w:t>Letter Agreement, dated May 9, 2016, among Marriott Vacations Worldwide Corporation, Marriott Worldwide Corporation and Marriott</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International, Inc.</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105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105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105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32.2</w:t>
            </w:r>
          </w:p>
        </w:tc>
        <w:tc>
          <w:tcPr>
            <w:tcW w:w="105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attached the following documents formatted in XBRL (Extensible Business Reporting Language) as Exhibit 101 to this report: (i) the Interim Consolidated Statements of Income for the twelve and twenty-four weeks ended June 17, 2016 and June 19, 2015, respectively; (ii) the Interim Consolidated Statements of Comprehensive Income for the twelve and twenty-four weeks ended June 17, 2016 and June 19, 2015, respectively; (iii) the Interim Consolidated Balance Sheets at June 17, 2016 and January 1, 2016; and (iv) the Interim Consolidated Statements of Cash Flows for the twenty-four weeks ended June 17, 2016 and June 19, 2015, respectively.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 SUPPLEMENT</w:t>
      </w:r>
    </w:p>
    <w:p>
      <w:pPr>
        <w:spacing w:after="0" w:line="229"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This INDENTURE SUPPLEMENT, dated June 16, 2016 (this “</w:t>
      </w:r>
      <w:r>
        <w:rPr>
          <w:rFonts w:ascii="Arial" w:cs="Arial" w:eastAsia="Arial" w:hAnsi="Arial"/>
          <w:sz w:val="16"/>
          <w:szCs w:val="16"/>
          <w:u w:val="single" w:color="auto"/>
          <w:color w:val="auto"/>
        </w:rPr>
        <w:t>Supplement</w:t>
      </w:r>
      <w:r>
        <w:rPr>
          <w:rFonts w:ascii="Arial" w:cs="Arial" w:eastAsia="Arial" w:hAnsi="Arial"/>
          <w:sz w:val="16"/>
          <w:szCs w:val="16"/>
          <w:color w:val="auto"/>
        </w:rPr>
        <w:t>”), by and among Marriott Vacations Worldwide Owner Trust 2011-1, as issuer (the “</w:t>
      </w:r>
      <w:r>
        <w:rPr>
          <w:rFonts w:ascii="Arial" w:cs="Arial" w:eastAsia="Arial" w:hAnsi="Arial"/>
          <w:sz w:val="16"/>
          <w:szCs w:val="16"/>
          <w:u w:val="single" w:color="auto"/>
          <w:color w:val="auto"/>
        </w:rPr>
        <w:t>Issuer</w:t>
      </w:r>
      <w:r>
        <w:rPr>
          <w:rFonts w:ascii="Arial" w:cs="Arial" w:eastAsia="Arial" w:hAnsi="Arial"/>
          <w:sz w:val="16"/>
          <w:szCs w:val="16"/>
          <w:color w:val="auto"/>
        </w:rPr>
        <w:t>”), Marriott Ownership Resorts, Inc. (“</w:t>
      </w:r>
      <w:r>
        <w:rPr>
          <w:rFonts w:ascii="Arial" w:cs="Arial" w:eastAsia="Arial" w:hAnsi="Arial"/>
          <w:sz w:val="16"/>
          <w:szCs w:val="16"/>
          <w:u w:val="single" w:color="auto"/>
          <w:color w:val="auto"/>
        </w:rPr>
        <w:t>MORI</w:t>
      </w:r>
      <w:r>
        <w:rPr>
          <w:rFonts w:ascii="Arial" w:cs="Arial" w:eastAsia="Arial" w:hAnsi="Arial"/>
          <w:sz w:val="16"/>
          <w:szCs w:val="16"/>
          <w:color w:val="auto"/>
        </w:rPr>
        <w:t>”), as servicer (the “</w:t>
      </w:r>
      <w:r>
        <w:rPr>
          <w:rFonts w:ascii="Arial" w:cs="Arial" w:eastAsia="Arial" w:hAnsi="Arial"/>
          <w:sz w:val="16"/>
          <w:szCs w:val="16"/>
          <w:u w:val="single" w:color="auto"/>
          <w:color w:val="auto"/>
        </w:rPr>
        <w:t>Servicer</w:t>
      </w:r>
      <w:r>
        <w:rPr>
          <w:rFonts w:ascii="Arial" w:cs="Arial" w:eastAsia="Arial" w:hAnsi="Arial"/>
          <w:sz w:val="16"/>
          <w:szCs w:val="16"/>
          <w:color w:val="auto"/>
        </w:rPr>
        <w:t>”), Wells Fargo Bank, National Association, as indenture trustee (the “</w:t>
      </w:r>
      <w:r>
        <w:rPr>
          <w:rFonts w:ascii="Arial" w:cs="Arial" w:eastAsia="Arial" w:hAnsi="Arial"/>
          <w:sz w:val="16"/>
          <w:szCs w:val="16"/>
          <w:u w:val="single" w:color="auto"/>
          <w:color w:val="auto"/>
        </w:rPr>
        <w:t>Indenture Trustee</w:t>
      </w:r>
      <w:r>
        <w:rPr>
          <w:rFonts w:ascii="Arial" w:cs="Arial" w:eastAsia="Arial" w:hAnsi="Arial"/>
          <w:sz w:val="16"/>
          <w:szCs w:val="16"/>
          <w:color w:val="auto"/>
        </w:rPr>
        <w:t>”) and as back-up servicer (the “</w:t>
      </w:r>
      <w:r>
        <w:rPr>
          <w:rFonts w:ascii="Arial" w:cs="Arial" w:eastAsia="Arial" w:hAnsi="Arial"/>
          <w:sz w:val="16"/>
          <w:szCs w:val="16"/>
          <w:u w:val="single" w:color="auto"/>
          <w:color w:val="auto"/>
        </w:rPr>
        <w:t>Back-Up Servicer</w:t>
      </w:r>
      <w:r>
        <w:rPr>
          <w:rFonts w:ascii="Arial" w:cs="Arial" w:eastAsia="Arial" w:hAnsi="Arial"/>
          <w:sz w:val="16"/>
          <w:szCs w:val="16"/>
          <w:color w:val="auto"/>
        </w:rPr>
        <w:t>”), Deutsche Bank AG, New York Branch, as administrative agent, and the Conduits, Alternate Purchasers, Funding Agents and Non-Conduit Committed Purchasers signatory hereto (collectively, the “</w:t>
      </w:r>
      <w:r>
        <w:rPr>
          <w:rFonts w:ascii="Arial" w:cs="Arial" w:eastAsia="Arial" w:hAnsi="Arial"/>
          <w:sz w:val="16"/>
          <w:szCs w:val="16"/>
          <w:u w:val="single" w:color="auto"/>
          <w:color w:val="auto"/>
        </w:rPr>
        <w:t>Transaction Parties</w:t>
      </w:r>
      <w:r>
        <w:rPr>
          <w:rFonts w:ascii="Arial" w:cs="Arial" w:eastAsia="Arial" w:hAnsi="Arial"/>
          <w:sz w:val="16"/>
          <w:szCs w:val="16"/>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the Transaction Parties desire to amend the Third Amended and Restated Indenture and Servicing Agreement, dated as of September 1, 2014 (as amended, restated, modified and/or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among the Issuer, the Servicer, the Indenture, Trustee and the Back-Up Servicer, in the manner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Indenture may be amended by the parties thereto with the consent of the Majority Facility Investors;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WHEREAS, the undersigned Conduits, Alternate Purchasers, Funding Agents and Non-Conduit Committed Purchasers constitute 100% of the Conduits, Alternate Purchasers, Funding Agents and Non-Conduit Committed Purchasers; and</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terms used herein but not otherwise defined shall have the meanings set forth in the Third Amended and Restated Standard Definitions (as amended) attached as Annex A to the Indenture.</w:t>
      </w:r>
    </w:p>
    <w:p>
      <w:pPr>
        <w:spacing w:after="0" w:line="170" w:lineRule="exact"/>
        <w:rPr>
          <w:sz w:val="20"/>
          <w:szCs w:val="20"/>
          <w:color w:val="auto"/>
        </w:rPr>
      </w:pPr>
    </w:p>
    <w:p>
      <w:pPr>
        <w:jc w:val="both"/>
        <w:ind w:right="420" w:firstLine="456"/>
        <w:spacing w:after="0" w:line="277" w:lineRule="auto"/>
        <w:rPr>
          <w:sz w:val="20"/>
          <w:szCs w:val="20"/>
          <w:color w:val="auto"/>
        </w:rPr>
      </w:pPr>
      <w:r>
        <w:rPr>
          <w:rFonts w:ascii="Arial" w:cs="Arial" w:eastAsia="Arial" w:hAnsi="Arial"/>
          <w:sz w:val="18"/>
          <w:szCs w:val="18"/>
          <w:color w:val="auto"/>
        </w:rPr>
        <w:t>NOW, THEREFORE, in consideration of the mutual promises hereinafter set forth, and for other good and adequate consideration, the receipt and sufficiency of which are hereby acknowledged, the parties hereto hereby agree as follows: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i w:val="1"/>
          <w:iCs w:val="1"/>
          <w:color w:val="auto"/>
        </w:rPr>
        <w:t>Supplement to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12.01(e) of the Indenture shall be amended by deleting the same in its entirety and replacing it with:</w:t>
      </w:r>
    </w:p>
    <w:p>
      <w:pPr>
        <w:spacing w:after="0" w:line="225" w:lineRule="exact"/>
        <w:rPr>
          <w:sz w:val="20"/>
          <w:szCs w:val="20"/>
          <w:color w:val="auto"/>
        </w:rPr>
      </w:pPr>
    </w:p>
    <w:p>
      <w:pPr>
        <w:jc w:val="both"/>
        <w:ind w:right="420" w:firstLine="456"/>
        <w:spacing w:after="0" w:line="288"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pending or threatened action, suit or proceeding, nor any injunction, writ, restraining order or other order of any nature against or affecting the Issuer, its officers or directors, or the property of the Issuer, in any court or tribunal, or before any arbitrator of any kind or before or by any Governmental Authority (i) asserting the invalidity of this Indenture and Servicing Agreement or any of the other Facility Documents,</w:t>
      </w:r>
    </w:p>
    <w:p>
      <w:pPr>
        <w:ind w:right="80" w:firstLine="8"/>
        <w:spacing w:after="0" w:line="323" w:lineRule="auto"/>
        <w:tabs>
          <w:tab w:leader="none" w:pos="2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seeking to prevent the sale and assignment of any Timeshare Loan or the consummation of any of the transactions contemplated thereby, (iii) seeking any determination or ruling that would, if decided adversely, materially and adversely affect (A) the performance by the Issuer of this Indenture and Servicing</w:t>
      </w:r>
    </w:p>
    <w:p>
      <w:pPr>
        <w:sectPr>
          <w:pgSz w:w="11900" w:h="16838" w:orient="portrait"/>
          <w:cols w:equalWidth="0" w:num="1">
            <w:col w:w="11420"/>
          </w:cols>
          <w:pgMar w:left="240" w:top="121" w:right="239" w:bottom="1440" w:gutter="0" w:footer="0" w:header="0"/>
        </w:sectPr>
      </w:pPr>
    </w:p>
    <w:bookmarkStart w:id="68" w:name="page69"/>
    <w:bookmarkEnd w:id="6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or any of the other Facility Documents or the interests of the Noteholders, (B) the validity or enforceability of this Indenture and Servicing Agreement or any of the other Facility Documents, (C) any Timeshare Loan, or (D) the Intended Tax Characterization, or (iv) asserting a claim for payment of money adverse to the Issuer or the conduct of its business or which is inconsistent with the due consummation of the transactions contemplated by this Indenture and Servicing Agreement or any of the other Facility Documents.”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i w:val="1"/>
          <w:iCs w:val="1"/>
          <w:color w:val="auto"/>
        </w:rPr>
        <w:t>Representations and Warranties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MORI and the Issuer hereby represent and warrant to each of the other Transaction Parties that, after giving effect to this Supplement: (a) the representations and warranties set forth in each of the Transaction Documents by each of MORI and the Issuer are true and correct in all material respects (except to the extent that any representation and warranty is qualified by materiality) on and as of the date hereof, with the same effect as though made on and as of such date (except to the extent that any representation and warranty expressly relates to an earlier date, then such earlier date), (b) on the date hereof, no Default, Servicer Event of Default, Event of Default or Amortization Event has occurred and is continuing, and (c) the execution, delivery and performance of this Supplement in accordance with its terms and the consummation of the transactions contemplated hereby by any of them do not and will not (i) require any consent or approval of any Person, except for consents and approvals that have already been obtained, (ii) violate any applicable law, or (iii) contravene, conflict with, result in a breach of, or constitute a default under their organization documents, as the same may have been amended or restated, or contravene, conflict with, result in a breach of or constitute a default under (with or without notice or lapse of time or both) any indenture, agreement or other instrument, to which such entity is a party or by which it or any of its properties or assets may be bound.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i w:val="1"/>
          <w:iCs w:val="1"/>
          <w:color w:val="auto"/>
        </w:rPr>
        <w:t>References in all Transaction Documents.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To the extent any Transaction Document contains a provision that conflicts with the intent of this Supplement, the parties agree that the provisions herein shall govern.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This Supplement may be executed (by facsimile or otherwise) in any number of counterparts, each of which counterparts shall be deemed to be an original, and such counterparts shall constitute but one and the same instrument.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i w:val="1"/>
          <w:iCs w:val="1"/>
          <w:color w:val="auto"/>
        </w:rPr>
        <w:t>Governing Law.</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THIS SUPPLEMENT SHALL BE CONSTRUED IN ACCORDANCE WITH AND GOVERNED BY THE SUBSTANTIVE LAWS OF THE STATE OF NEW YORK APPLICABLE TO AGREEMENTS MADE AND TO BE PERFORMED IN THE STATE OF NEW YORK AND THE OBLIGATIONS, RIGHTS AND REMEDIES OF THE TRANSACTION PARTIES SHALL BE DETERMINED IN ACCORDANCE WITH SUCH 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8"/>
          <w:szCs w:val="18"/>
          <w:b w:val="1"/>
          <w:bCs w:val="1"/>
          <w:i w:val="1"/>
          <w:iCs w:val="1"/>
          <w:color w:val="auto"/>
        </w:rPr>
        <w:t>Severability of Provisions.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any one or more of the covenants, agreements, provisions or terms of this Supplement shall be for any reason whatsoever held invalid, then such covenants, agreements, provisions or terms shall be deemed severable from the remaining covenants, agreements, provisions or terms of this Supplement and shall in no way affect the validity or enforceability of the other provisions of this Supplement.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i w:val="1"/>
          <w:iCs w:val="1"/>
          <w:color w:val="auto"/>
        </w:rPr>
        <w:t>Continuing Effect.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Except as expressly amended hereby, each Transaction Document shall continue in full force and effect in accordance with the provisions thereof and each Transaction Document is in all respects hereby ratified, confirmed and preserved.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i w:val="1"/>
          <w:iCs w:val="1"/>
          <w:color w:val="auto"/>
        </w:rPr>
        <w:t>Successors and Assigns.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Supplement shall be binding upon and inure to the benefit of the Transaction Parties and their respective successors and permitted assigns.</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2.08 </w:t>
      </w:r>
      <w:r>
        <w:rPr>
          <w:rFonts w:ascii="Arial" w:cs="Arial" w:eastAsia="Arial" w:hAnsi="Arial"/>
          <w:sz w:val="18"/>
          <w:szCs w:val="18"/>
          <w:b w:val="1"/>
          <w:bCs w:val="1"/>
          <w:i w:val="1"/>
          <w:iCs w:val="1"/>
          <w:color w:val="auto"/>
        </w:rPr>
        <w:t>No Bankruptcy Petition.</w:t>
      </w:r>
    </w:p>
    <w:p>
      <w:pPr>
        <w:spacing w:after="0" w:line="121" w:lineRule="exact"/>
        <w:rPr>
          <w:sz w:val="20"/>
          <w:szCs w:val="20"/>
          <w:color w:val="auto"/>
        </w:rPr>
      </w:pPr>
    </w:p>
    <w:p>
      <w:pPr>
        <w:ind w:firstLine="464"/>
        <w:spacing w:after="0" w:line="257" w:lineRule="auto"/>
        <w:tabs>
          <w:tab w:leader="none" w:pos="7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party hereto hereby covenants and agrees that, prior to the date which is one year and one day after the payment in full of all outstanding Related Commercial Paper or other indebtedness of a Conduit, it will not institute against, or join any other Person in instituting against a Conduit any bankruptcy, reorganization, arrangement, insolvency or liquidation proceedings or other similar proceeding under the laws of the United States or any state of the United States or any other jurisdiction with authority over such Conduit. The provisions of this Section 2.08(a) shall survive the termination of this Agreement.</w:t>
      </w:r>
    </w:p>
    <w:p>
      <w:pPr>
        <w:spacing w:after="0" w:line="188" w:lineRule="exact"/>
        <w:rPr>
          <w:rFonts w:ascii="Arial" w:cs="Arial" w:eastAsia="Arial" w:hAnsi="Arial"/>
          <w:sz w:val="18"/>
          <w:szCs w:val="18"/>
          <w:color w:val="auto"/>
        </w:rPr>
      </w:pPr>
    </w:p>
    <w:p>
      <w:pPr>
        <w:ind w:right="380" w:firstLine="464"/>
        <w:spacing w:after="0" w:line="259"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party hereto hereby covenants and agrees that, prior to the date which is one year and one day after the payment in full of all Notes and Exchange Notes, it will not institute against, or join any other Person in instituting against the Issuer or the Seller any bankruptcy, reorganization, arrangement, insolvency or liquidation proceedings or other similar proceeding under the laws of the United States or any state of the United States. The provisions of this Section 2.08(b) shall survive the termination of this Agreement.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70" w:name="page71"/>
    <w:bookmarkEnd w:id="70"/>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below have caused this Supplement to be duly executed by their respective duly authorized officers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MARRIOTT VACATIONS WORLDWIDE OWNER TRUST</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2011-1, as Issuer</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Wilmington Trust, National Association, not</w:t>
            </w:r>
          </w:p>
        </w:tc>
      </w:tr>
      <w:tr>
        <w:trPr>
          <w:trHeight w:val="216"/>
        </w:trPr>
        <w:tc>
          <w:tcPr>
            <w:tcW w:w="4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individually, but solely in its capacity as Owner</w:t>
            </w:r>
          </w:p>
        </w:tc>
      </w:tr>
      <w:tr>
        <w:trPr>
          <w:trHeight w:val="230"/>
        </w:trPr>
        <w:tc>
          <w:tcPr>
            <w:tcW w:w="42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w w:val="94"/>
              </w:rPr>
              <w:t>Trustee</w:t>
            </w:r>
          </w:p>
        </w:tc>
        <w:tc>
          <w:tcPr>
            <w:tcW w:w="338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Dorri Costello</w:t>
            </w:r>
          </w:p>
        </w:tc>
      </w:tr>
      <w:tr>
        <w:trPr>
          <w:trHeight w:val="209"/>
        </w:trPr>
        <w:tc>
          <w:tcPr>
            <w:tcW w:w="4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Dorri Costello</w:t>
            </w:r>
          </w:p>
        </w:tc>
      </w:tr>
      <w:tr>
        <w:trPr>
          <w:trHeight w:val="230"/>
        </w:trPr>
        <w:tc>
          <w:tcPr>
            <w:tcW w:w="42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Wilmington Trust, National Association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Delaware 19801</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Rachel L. Simpson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Number: (302) 636-6128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Number: (302) 636-4140</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MARRIOTT OWNERSHIP RESORTS, INC., as Servicer</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Joseph J. Bramuchi</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Orlando, Florida 32821</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(407) 513-6680</w:t>
      </w:r>
    </w:p>
    <w:p>
      <w:pPr>
        <w:sectPr>
          <w:pgSz w:w="11900" w:h="16838" w:orient="portrait"/>
          <w:cols w:equalWidth="0" w:num="1">
            <w:col w:w="11420"/>
          </w:cols>
          <w:pgMar w:left="240" w:top="274" w:right="239" w:bottom="1440" w:gutter="0" w:footer="0" w:header="0"/>
        </w:sectPr>
      </w:pPr>
    </w:p>
    <w:bookmarkStart w:id="71" w:name="page72"/>
    <w:bookmarkEnd w:id="7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Indenture Trustee and Back-Up Servicer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C. Westberg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C. Westberg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MAC N9311-161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Sixth Street &amp; Marquette Avenue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Minneapolis, Minnesota 55479</w:t>
      </w:r>
    </w:p>
    <w:p>
      <w:pPr>
        <w:spacing w:after="0" w:line="211" w:lineRule="exact"/>
        <w:rPr>
          <w:sz w:val="20"/>
          <w:szCs w:val="20"/>
          <w:color w:val="auto"/>
        </w:rPr>
      </w:pPr>
    </w:p>
    <w:p>
      <w:pPr>
        <w:ind w:left="5660"/>
        <w:spacing w:after="0"/>
        <w:tabs>
          <w:tab w:leader="none" w:pos="67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Corporate Trust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Services/Asset-Backed Administration</w:t>
      </w:r>
    </w:p>
    <w:p>
      <w:pPr>
        <w:spacing w:after="0" w:line="9" w:lineRule="exact"/>
        <w:rPr>
          <w:sz w:val="20"/>
          <w:szCs w:val="20"/>
          <w:color w:val="auto"/>
        </w:rPr>
      </w:pPr>
    </w:p>
    <w:p>
      <w:pPr>
        <w:ind w:left="5660"/>
        <w:spacing w:after="0"/>
        <w:tabs>
          <w:tab w:leader="none" w:pos="7240" w:val="left"/>
        </w:tabs>
        <w:rPr>
          <w:sz w:val="20"/>
          <w:szCs w:val="20"/>
          <w:color w:val="auto"/>
        </w:rPr>
      </w:pPr>
      <w:r>
        <w:rPr>
          <w:rFonts w:ascii="Arial" w:cs="Arial" w:eastAsia="Arial" w:hAnsi="Arial"/>
          <w:sz w:val="18"/>
          <w:szCs w:val="18"/>
          <w:color w:val="auto"/>
        </w:rPr>
        <w:t>Facsimile Number:</w:t>
      </w:r>
      <w:r>
        <w:rPr>
          <w:sz w:val="20"/>
          <w:szCs w:val="20"/>
          <w:color w:val="auto"/>
        </w:rPr>
        <w:tab/>
      </w:r>
      <w:r>
        <w:rPr>
          <w:rFonts w:ascii="Arial" w:cs="Arial" w:eastAsia="Arial" w:hAnsi="Arial"/>
          <w:sz w:val="16"/>
          <w:szCs w:val="16"/>
          <w:color w:val="auto"/>
        </w:rPr>
        <w:t>(612) 667-3539</w:t>
      </w:r>
    </w:p>
    <w:p>
      <w:pPr>
        <w:spacing w:after="0" w:line="9" w:lineRule="exact"/>
        <w:rPr>
          <w:sz w:val="20"/>
          <w:szCs w:val="20"/>
          <w:color w:val="auto"/>
        </w:rPr>
      </w:pPr>
    </w:p>
    <w:p>
      <w:pPr>
        <w:ind w:left="5660"/>
        <w:spacing w:after="0"/>
        <w:tabs>
          <w:tab w:leader="none" w:pos="72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Arial" w:cs="Arial" w:eastAsia="Arial" w:hAnsi="Arial"/>
          <w:sz w:val="16"/>
          <w:szCs w:val="16"/>
          <w:color w:val="auto"/>
        </w:rPr>
        <w:t>(612) 667-8058</w:t>
      </w:r>
    </w:p>
    <w:p>
      <w:pPr>
        <w:sectPr>
          <w:pgSz w:w="11900" w:h="16838" w:orient="portrait"/>
          <w:cols w:equalWidth="0" w:num="1">
            <w:col w:w="9920"/>
          </w:cols>
          <w:pgMar w:left="1440" w:top="274" w:right="539" w:bottom="1440" w:gutter="0" w:footer="0" w:header="0"/>
        </w:sectPr>
      </w:pPr>
    </w:p>
    <w:bookmarkStart w:id="72" w:name="page73"/>
    <w:bookmarkEnd w:id="7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McElroy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Joseph McElroy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Allman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Keith Allman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Mary Conners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250-4731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797-5300</w:t>
      </w:r>
    </w:p>
    <w:p>
      <w:pPr>
        <w:sectPr>
          <w:pgSz w:w="11900" w:h="16838" w:orient="portrait"/>
          <w:cols w:equalWidth="0" w:num="1">
            <w:col w:w="10220"/>
          </w:cols>
          <w:pgMar w:left="1440" w:top="274" w:right="239" w:bottom="1440" w:gutter="0" w:footer="0" w:header="0"/>
        </w:sectPr>
      </w:pPr>
    </w:p>
    <w:bookmarkStart w:id="73" w:name="page74"/>
    <w:bookmarkEnd w:id="7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MOUNTCLIFF FUNDING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Conduit</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 Borg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Josh Borg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20 Gates Management LLC</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30 Irving Place, 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NY 10003</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Vidrik Frankfather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295-4146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295-3785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mountcliff@20gates.com; and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mountcliff.group@db.com</w:t>
      </w:r>
    </w:p>
    <w:p>
      <w:pPr>
        <w:sectPr>
          <w:pgSz w:w="11900" w:h="16838" w:orient="portrait"/>
          <w:cols w:equalWidth="0" w:num="1">
            <w:col w:w="10220"/>
          </w:cols>
          <w:pgMar w:left="1440" w:top="274" w:right="239" w:bottom="1440" w:gutter="0" w:footer="0" w:header="0"/>
        </w:sectPr>
      </w:pPr>
    </w:p>
    <w:bookmarkStart w:id="74" w:name="page75"/>
    <w:bookmarkEnd w:id="7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CAYMAN ISLANDS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Alternate Purchaser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Hart</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Patrick J. Hart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McCutcheon</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Erin McCutcheon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Conduit Lending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538-1890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325-4599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abcp.monitoring@credit-suisse.com</w:t>
      </w:r>
    </w:p>
    <w:p>
      <w:pPr>
        <w:sectPr>
          <w:pgSz w:w="11900" w:h="16838" w:orient="portrait"/>
          <w:cols w:equalWidth="0" w:num="1">
            <w:col w:w="10220"/>
          </w:cols>
          <w:pgMar w:left="1440" w:top="274" w:right="239" w:bottom="1440" w:gutter="0" w:footer="0" w:header="0"/>
        </w:sectPr>
      </w:pPr>
    </w:p>
    <w:bookmarkStart w:id="75" w:name="page76"/>
    <w:bookmarkEnd w:id="7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NEW YORK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Funding Agent</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Hart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Patrick J. Hart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McCutcheon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Erin McCutcheon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Conduit Lending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538-1890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325-4599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abcp.monitoring@credit-suisse.com</w:t>
      </w:r>
    </w:p>
    <w:p>
      <w:pPr>
        <w:sectPr>
          <w:pgSz w:w="11900" w:h="16838" w:orient="portrait"/>
          <w:cols w:equalWidth="0" w:num="1">
            <w:col w:w="10220"/>
          </w:cols>
          <w:pgMar w:left="1440" w:top="274" w:right="239" w:bottom="1440" w:gutter="0" w:footer="0" w:header="0"/>
        </w:sectPr>
      </w:pPr>
    </w:p>
    <w:bookmarkStart w:id="76" w:name="page77"/>
    <w:bookmarkEnd w:id="7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Non-Conduit Committed Purchaser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Hufnagel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Hufnagel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3333 Peachtree Street NE</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r>
        <w:rPr>
          <w:rFonts w:ascii="Arial" w:cs="Arial" w:eastAsia="Arial" w:hAnsi="Arial"/>
          <w:sz w:val="18"/>
          <w:szCs w:val="18"/>
          <w:color w:val="auto"/>
        </w:rPr>
        <w:t xml:space="preserve"> Floor East</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Atlanta, Georgia 30326</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Attention: Kayla Williams and David Morley</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(404) 926-5475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(404) 495-2171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strh.afg@suntrust.com</w:t>
      </w:r>
    </w:p>
    <w:p>
      <w:pPr>
        <w:sectPr>
          <w:pgSz w:w="11900" w:h="16838" w:orient="portrait"/>
          <w:cols w:equalWidth="0" w:num="1">
            <w:col w:w="9019"/>
          </w:cols>
          <w:pgMar w:left="1440" w:top="274" w:right="1440" w:bottom="1440" w:gutter="0" w:footer="0" w:header="0"/>
        </w:sectPr>
      </w:pPr>
    </w:p>
    <w:bookmarkStart w:id="77" w:name="page78"/>
    <w:bookmarkEnd w:id="7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Non-Conduit Committed Purchaser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McElroy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Joseph McElroy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Allman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Keith Allman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Mary Conners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250-4731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797-5300</w:t>
      </w:r>
    </w:p>
    <w:p>
      <w:pPr>
        <w:sectPr>
          <w:pgSz w:w="11900" w:h="16838" w:orient="portrait"/>
          <w:cols w:equalWidth="0" w:num="1">
            <w:col w:w="10220"/>
          </w:cols>
          <w:pgMar w:left="1440" w:top="274" w:right="239" w:bottom="1440" w:gutter="0" w:footer="0" w:header="0"/>
        </w:sectPr>
      </w:pPr>
    </w:p>
    <w:bookmarkStart w:id="78" w:name="page79"/>
    <w:bookmarkEnd w:id="7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Non-Conduit Committed Purchaser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C. Picoli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Elizabeth C. Picoli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National Association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214 North Tryon Street, 15th Floor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NC1-027-15-01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Charlotte, North Carolina 28255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Attention: Securitization Finance Group c/o Robert Wood /</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Christen Picoli</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980-388-5938 / 980-388-8138</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Email: robert.wood@baml.com elizabeth.c.picoli@baml.com</w:t>
      </w:r>
    </w:p>
    <w:p>
      <w:pPr>
        <w:sectPr>
          <w:pgSz w:w="11900" w:h="16838" w:orient="portrait"/>
          <w:cols w:equalWidth="0" w:num="1">
            <w:col w:w="10100"/>
          </w:cols>
          <w:pgMar w:left="1440" w:top="274" w:right="359" w:bottom="1440" w:gutter="0" w:footer="0" w:header="0"/>
        </w:sectPr>
      </w:pPr>
    </w:p>
    <w:bookmarkStart w:id="79" w:name="page80"/>
    <w:bookmarkEnd w:id="7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CAPITAL FINANCE, LLC</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Non-Conduit Committed Purchaser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Ajay Jagsi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14241 Dallas Parkway, Suite 1300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Dallas, Texas 75254</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Ajay Jagsi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(972) 361-7220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(866) 719-9124</w:t>
      </w:r>
    </w:p>
    <w:p>
      <w:pPr>
        <w:sectPr>
          <w:pgSz w:w="11900" w:h="16838" w:orient="portrait"/>
          <w:cols w:equalWidth="0" w:num="1">
            <w:col w:w="9019"/>
          </w:cols>
          <w:pgMar w:left="1440" w:top="274"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AMENDMENT No. 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OMNIBUS AMENDMENT NO. 4, dated as of May 20, 2016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by and among the Transaction Parties (defined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below) and relates to the following transaction documents (the “</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in each case as the same may be amended, restated modified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supplemented from time to time: (1) the Third Amended and Restated Indenture and Servicing Agreement, dated as of September 1, 2014, by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Marriott Vacations Worldwide Owner Trust 2011-1, as issuer (the “</w:t>
      </w:r>
      <w:r>
        <w:rPr>
          <w:rFonts w:ascii="Arial" w:cs="Arial" w:eastAsia="Arial" w:hAnsi="Arial"/>
          <w:sz w:val="16"/>
          <w:szCs w:val="16"/>
          <w:u w:val="single" w:color="auto"/>
          <w:color w:val="auto"/>
        </w:rPr>
        <w:t>Issuer</w:t>
      </w:r>
      <w:r>
        <w:rPr>
          <w:rFonts w:ascii="Arial" w:cs="Arial" w:eastAsia="Arial" w:hAnsi="Arial"/>
          <w:sz w:val="16"/>
          <w:szCs w:val="16"/>
          <w:color w:val="auto"/>
        </w:rPr>
        <w:t>”), Marriott Ownership Resorts, Inc., as servicer (the “</w:t>
      </w:r>
      <w:r>
        <w:rPr>
          <w:rFonts w:ascii="Arial" w:cs="Arial" w:eastAsia="Arial" w:hAnsi="Arial"/>
          <w:sz w:val="16"/>
          <w:szCs w:val="16"/>
          <w:u w:val="single" w:color="auto"/>
          <w:color w:val="auto"/>
        </w:rPr>
        <w:t>Servicer</w:t>
      </w:r>
      <w:r>
        <w:rPr>
          <w:rFonts w:ascii="Arial" w:cs="Arial" w:eastAsia="Arial" w:hAnsi="Arial"/>
          <w:sz w:val="16"/>
          <w:szCs w:val="16"/>
          <w:color w:val="auto"/>
        </w:rPr>
        <w:t>” or “</w:t>
      </w:r>
      <w:r>
        <w:rPr>
          <w:rFonts w:ascii="Arial" w:cs="Arial" w:eastAsia="Arial" w:hAnsi="Arial"/>
          <w:sz w:val="16"/>
          <w:szCs w:val="16"/>
          <w:u w:val="single" w:color="auto"/>
          <w:color w:val="auto"/>
        </w:rPr>
        <w:t>MORI</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Wells Fargo Bank, National Association, as indenture trustee (the “</w:t>
      </w:r>
      <w:r>
        <w:rPr>
          <w:rFonts w:ascii="Arial" w:cs="Arial" w:eastAsia="Arial" w:hAnsi="Arial"/>
          <w:sz w:val="17"/>
          <w:szCs w:val="17"/>
          <w:u w:val="single" w:color="auto"/>
          <w:color w:val="auto"/>
        </w:rPr>
        <w:t>Indenture Trustee</w:t>
      </w:r>
      <w:r>
        <w:rPr>
          <w:rFonts w:ascii="Arial" w:cs="Arial" w:eastAsia="Arial" w:hAnsi="Arial"/>
          <w:sz w:val="17"/>
          <w:szCs w:val="17"/>
          <w:color w:val="auto"/>
        </w:rPr>
        <w:t>”) and as back-up servicer (the “</w:t>
      </w:r>
      <w:r>
        <w:rPr>
          <w:rFonts w:ascii="Arial" w:cs="Arial" w:eastAsia="Arial" w:hAnsi="Arial"/>
          <w:sz w:val="17"/>
          <w:szCs w:val="17"/>
          <w:u w:val="single" w:color="auto"/>
          <w:color w:val="auto"/>
        </w:rPr>
        <w:t>Back-Up Servicer</w:t>
      </w:r>
      <w:r>
        <w:rPr>
          <w:rFonts w:ascii="Arial" w:cs="Arial" w:eastAsia="Arial" w:hAnsi="Arial"/>
          <w:sz w:val="17"/>
          <w:szCs w:val="17"/>
          <w:color w:val="auto"/>
        </w:rPr>
        <w: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(2) the Second Amended and Restated Note Purchase Agreement, dated September 15, 2014, by and among the Issuer, the Servicer, MORI SPC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Series Corp., as seller (the “</w:t>
      </w:r>
      <w:r>
        <w:rPr>
          <w:rFonts w:ascii="Arial" w:cs="Arial" w:eastAsia="Arial" w:hAnsi="Arial"/>
          <w:sz w:val="17"/>
          <w:szCs w:val="17"/>
          <w:u w:val="single" w:color="auto"/>
          <w:color w:val="auto"/>
        </w:rPr>
        <w:t>Seller</w:t>
      </w:r>
      <w:r>
        <w:rPr>
          <w:rFonts w:ascii="Arial" w:cs="Arial" w:eastAsia="Arial" w:hAnsi="Arial"/>
          <w:sz w:val="17"/>
          <w:szCs w:val="17"/>
          <w:color w:val="auto"/>
        </w:rPr>
        <w:t>”), Marriott Vacations Worldwide Corporation, as performance guarantor (the “</w:t>
      </w:r>
      <w:r>
        <w:rPr>
          <w:rFonts w:ascii="Arial" w:cs="Arial" w:eastAsia="Arial" w:hAnsi="Arial"/>
          <w:sz w:val="17"/>
          <w:szCs w:val="17"/>
          <w:u w:val="single" w:color="auto"/>
          <w:color w:val="auto"/>
        </w:rPr>
        <w:t>Performance Guarantor</w:t>
      </w:r>
      <w:r>
        <w:rPr>
          <w:rFonts w:ascii="Arial" w:cs="Arial" w:eastAsia="Arial" w:hAnsi="Arial"/>
          <w:sz w:val="17"/>
          <w:szCs w:val="17"/>
          <w:color w:val="auto"/>
        </w:rPr>
        <w:t>” or “</w:t>
      </w:r>
      <w:r>
        <w:rPr>
          <w:rFonts w:ascii="Arial" w:cs="Arial" w:eastAsia="Arial" w:hAnsi="Arial"/>
          <w:sz w:val="17"/>
          <w:szCs w:val="17"/>
          <w:u w:val="single" w:color="auto"/>
          <w:color w:val="auto"/>
        </w:rPr>
        <w:t>MVW</w:t>
      </w:r>
      <w:r>
        <w:rPr>
          <w:rFonts w:ascii="Arial" w:cs="Arial" w:eastAsia="Arial" w:hAnsi="Arial"/>
          <w:sz w:val="17"/>
          <w:szCs w:val="17"/>
          <w:color w:val="auto"/>
        </w:rPr>
        <w: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Purchasers (as defined in the Transaction Documents) and Deutsche Bank AG, New York Branch,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Purchase Agreement</w:t>
      </w:r>
      <w:r>
        <w:rPr>
          <w:rFonts w:ascii="Arial" w:cs="Arial" w:eastAsia="Arial" w:hAnsi="Arial"/>
          <w:sz w:val="16"/>
          <w:szCs w:val="16"/>
          <w:color w:val="auto"/>
        </w:rPr>
        <w:t>”); (3) the Second Amended and Restated Purchase Agreement, dated as of September 1, 2014, by and between MORI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Seller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(4) the Second Amended and Restated Sale Agreement, dated as of September 1, 2014, by and between the Seller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Issuer (the “</w:t>
      </w:r>
      <w:r>
        <w:rPr>
          <w:rFonts w:ascii="Arial" w:cs="Arial" w:eastAsia="Arial" w:hAnsi="Arial"/>
          <w:sz w:val="16"/>
          <w:szCs w:val="16"/>
          <w:u w:val="single" w:color="auto"/>
          <w:color w:val="auto"/>
        </w:rPr>
        <w:t>Sale Agreement</w:t>
      </w:r>
      <w:r>
        <w:rPr>
          <w:rFonts w:ascii="Arial" w:cs="Arial" w:eastAsia="Arial" w:hAnsi="Arial"/>
          <w:sz w:val="16"/>
          <w:szCs w:val="16"/>
          <w:color w:val="auto"/>
        </w:rPr>
        <w:t>”); (5) the Second Amended and Restated Performance Guaranty, dated as of September 1, 2014, by the Performance Guarantor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favor or the Issuer and the Indenture Trustee (the “</w:t>
      </w:r>
      <w:r>
        <w:rPr>
          <w:rFonts w:ascii="Arial" w:cs="Arial" w:eastAsia="Arial" w:hAnsi="Arial"/>
          <w:sz w:val="16"/>
          <w:szCs w:val="16"/>
          <w:u w:val="single" w:color="auto"/>
          <w:color w:val="auto"/>
        </w:rPr>
        <w:t>Performance Guaranty</w:t>
      </w:r>
      <w:r>
        <w:rPr>
          <w:rFonts w:ascii="Arial" w:cs="Arial" w:eastAsia="Arial" w:hAnsi="Arial"/>
          <w:sz w:val="16"/>
          <w:szCs w:val="16"/>
          <w:color w:val="auto"/>
        </w:rPr>
        <w:t>”); (6) the Custodial Agreement, dated as of September 1, 2011, by and among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 as custodian (the “</w:t>
      </w:r>
      <w:r>
        <w:rPr>
          <w:rFonts w:ascii="Arial" w:cs="Arial" w:eastAsia="Arial" w:hAnsi="Arial"/>
          <w:sz w:val="17"/>
          <w:szCs w:val="17"/>
          <w:u w:val="single" w:color="auto"/>
          <w:color w:val="auto"/>
        </w:rPr>
        <w:t>Custodian</w:t>
      </w:r>
      <w:r>
        <w:rPr>
          <w:rFonts w:ascii="Arial" w:cs="Arial" w:eastAsia="Arial" w:hAnsi="Arial"/>
          <w:sz w:val="17"/>
          <w:szCs w:val="17"/>
          <w:color w:val="auto"/>
        </w:rPr>
        <w:t>”), the Issuer, the Indenture Trustee and the Servicer (the “</w:t>
      </w:r>
      <w:r>
        <w:rPr>
          <w:rFonts w:ascii="Arial" w:cs="Arial" w:eastAsia="Arial" w:hAnsi="Arial"/>
          <w:sz w:val="17"/>
          <w:szCs w:val="17"/>
          <w:u w:val="single" w:color="auto"/>
          <w:color w:val="auto"/>
        </w:rPr>
        <w:t>Custodial Agreement</w:t>
      </w:r>
      <w:r>
        <w:rPr>
          <w:rFonts w:ascii="Arial" w:cs="Arial" w:eastAsia="Arial" w:hAnsi="Arial"/>
          <w:sz w:val="17"/>
          <w:szCs w:val="17"/>
          <w:color w:val="auto"/>
        </w:rPr>
        <w:t>”);</w:t>
      </w:r>
    </w:p>
    <w:p>
      <w:pPr>
        <w:spacing w:after="0" w:line="21" w:lineRule="exact"/>
        <w:rPr>
          <w:sz w:val="20"/>
          <w:szCs w:val="20"/>
          <w:color w:val="auto"/>
        </w:rPr>
      </w:pPr>
    </w:p>
    <w:p>
      <w:pPr>
        <w:ind w:firstLine="8"/>
        <w:spacing w:after="0" w:line="270"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Administration Agreement, dated as of September 1, 2011, by and among the Issuer, MORI, as administrator (the “</w:t>
      </w:r>
      <w:r>
        <w:rPr>
          <w:rFonts w:ascii="Arial" w:cs="Arial" w:eastAsia="Arial" w:hAnsi="Arial"/>
          <w:sz w:val="17"/>
          <w:szCs w:val="17"/>
          <w:u w:val="single" w:color="auto"/>
          <w:color w:val="auto"/>
        </w:rPr>
        <w:t>Administrator</w:t>
      </w:r>
      <w:r>
        <w:rPr>
          <w:rFonts w:ascii="Arial" w:cs="Arial" w:eastAsia="Arial" w:hAnsi="Arial"/>
          <w:sz w:val="17"/>
          <w:szCs w:val="17"/>
          <w:color w:val="auto"/>
        </w:rPr>
        <w:t>”), the Indenture Trustee and Wilmington Trust, National Association, as owner trustee (the “</w:t>
      </w:r>
      <w:r>
        <w:rPr>
          <w:rFonts w:ascii="Arial" w:cs="Arial" w:eastAsia="Arial" w:hAnsi="Arial"/>
          <w:sz w:val="17"/>
          <w:szCs w:val="17"/>
          <w:u w:val="single" w:color="auto"/>
          <w:color w:val="auto"/>
        </w:rPr>
        <w:t>Owner Trustee</w:t>
      </w:r>
      <w:r>
        <w:rPr>
          <w:rFonts w:ascii="Arial" w:cs="Arial" w:eastAsia="Arial" w:hAnsi="Arial"/>
          <w:sz w:val="17"/>
          <w:szCs w:val="17"/>
          <w:color w:val="auto"/>
        </w:rPr>
        <w:t>”) (the “</w:t>
      </w:r>
      <w:r>
        <w:rPr>
          <w:rFonts w:ascii="Arial" w:cs="Arial" w:eastAsia="Arial" w:hAnsi="Arial"/>
          <w:sz w:val="17"/>
          <w:szCs w:val="17"/>
          <w:u w:val="single" w:color="auto"/>
          <w:color w:val="auto"/>
        </w:rPr>
        <w:t>Administration Agreement</w:t>
      </w:r>
      <w:r>
        <w:rPr>
          <w:rFonts w:ascii="Arial" w:cs="Arial" w:eastAsia="Arial" w:hAnsi="Arial"/>
          <w:sz w:val="17"/>
          <w:szCs w:val="17"/>
          <w:color w:val="auto"/>
        </w:rPr>
        <w:t>”); (8) the Amended and Restated Trust Agreement, dated September 28, 2011, by and between MVCO Series LLC, as owner (the “</w:t>
      </w:r>
      <w:r>
        <w:rPr>
          <w:rFonts w:ascii="Arial" w:cs="Arial" w:eastAsia="Arial" w:hAnsi="Arial"/>
          <w:sz w:val="17"/>
          <w:szCs w:val="17"/>
          <w:u w:val="single" w:color="auto"/>
          <w:color w:val="auto"/>
        </w:rPr>
        <w:t>Owner</w:t>
      </w:r>
      <w:r>
        <w:rPr>
          <w:rFonts w:ascii="Arial" w:cs="Arial" w:eastAsia="Arial" w:hAnsi="Arial"/>
          <w:sz w:val="17"/>
          <w:szCs w:val="17"/>
          <w:color w:val="auto"/>
        </w:rPr>
        <w:t>” and together with the Issuer, MORI, MVW, the Seller, the Performance Guarantor, the Administrative Agent, the Indenture Trustee, the Servicer, the Administrator, the Back-Up Servicer, the Custodian, the Owner Trustee, the Purchasers and the Funding Agents,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and the Owner Trustee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and (9) any other ancillary documents, agreements, supplements and/or certificates entered into or delivered in connection with the foregoing.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WHEREAS, the Transaction Parties desire to amend the Third Amended and Restated Standard Definitions attached or incorporated into each of the Transaction Documents (the “</w:t>
      </w:r>
      <w:r>
        <w:rPr>
          <w:rFonts w:ascii="Arial" w:cs="Arial" w:eastAsia="Arial" w:hAnsi="Arial"/>
          <w:sz w:val="18"/>
          <w:szCs w:val="18"/>
          <w:u w:val="single" w:color="auto"/>
          <w:color w:val="auto"/>
        </w:rPr>
        <w:t>Third Amended and Restated Standard Definitions</w:t>
      </w:r>
      <w:r>
        <w:rPr>
          <w:rFonts w:ascii="Arial" w:cs="Arial" w:eastAsia="Arial" w:hAnsi="Arial"/>
          <w:sz w:val="18"/>
          <w:szCs w:val="18"/>
          <w:color w:val="auto"/>
        </w:rPr>
        <w:t>”) in the manner set forth herein.</w:t>
      </w:r>
    </w:p>
    <w:p>
      <w:pPr>
        <w:sectPr>
          <w:pgSz w:w="11900" w:h="16838" w:orient="portrait"/>
          <w:cols w:equalWidth="0" w:num="1">
            <w:col w:w="11420"/>
          </w:cols>
          <w:pgMar w:left="240" w:top="121" w:right="239" w:bottom="1440" w:gutter="0" w:footer="0" w:header="0"/>
        </w:sectPr>
      </w:pPr>
    </w:p>
    <w:bookmarkStart w:id="81" w:name="page82"/>
    <w:bookmarkEnd w:id="81"/>
    <w:p>
      <w:pPr>
        <w:ind w:right="4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Transaction Parties party to the Note Purchase Agreement desire to amend the Note Purchase Agreement in the manner set forth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undersigned Purchasers and Funding Agents together constitute 100% of the Purchasers and Funding Agents.</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NOW, THEREFORE, in consideration of the mutual promises hereinafter set forth, and for other good and adequate consideration, the receipt and sufficiency of which are hereby acknowledged, the Transaction Parties hereby agree as follows: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i w:val="1"/>
          <w:iCs w:val="1"/>
          <w:color w:val="auto"/>
        </w:rPr>
        <w:t>Amendment to the Standard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definitions shall replace the corresponding definition in the Third Amended and Restated Standard Definitions:</w:t>
      </w:r>
    </w:p>
    <w:p>
      <w:pPr>
        <w:spacing w:after="0" w:line="117" w:lineRule="exact"/>
        <w:rPr>
          <w:sz w:val="20"/>
          <w:szCs w:val="20"/>
          <w:color w:val="auto"/>
        </w:rPr>
      </w:pPr>
    </w:p>
    <w:p>
      <w:pPr>
        <w:ind w:left="460" w:firstLine="43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LIBOR Rate</w:t>
      </w:r>
      <w:r>
        <w:rPr>
          <w:rFonts w:ascii="Arial" w:cs="Arial" w:eastAsia="Arial" w:hAnsi="Arial"/>
          <w:sz w:val="17"/>
          <w:szCs w:val="17"/>
          <w:color w:val="auto"/>
        </w:rPr>
        <w:t>” shall mean, with respect to any Interest Accrual Period, the sum of (A) the Applicable Percentage and (B) a rate per annum equal to the rate (rounded upwards, if necessary, to the next higher 1/100 of 1%) obtained by dividing (i) the LIBOR Rate for such Interest Accrual Period by (ii) a percentage equal to 100% minus the reserve percentage (rounded upward to the next 1/100th of 1%) in effect on such day and applicable to the Alternate Purchaser or related Liquidity Provider for which this rate is calculated under regulations issued from time to time by the Board of Governors of the Federal Reserve System for determining the maximum reserve requirement (including any emergency, supplemental or other marginal reserve requirement) with respect to Eurocurrency funding (currently referred to as “eurocurrency liabilities”). The Adjusted LIBOR Rate shall be adjusted automatically as of the effective date of any change in such reserve percentage.”</w:t>
      </w:r>
    </w:p>
    <w:p>
      <w:pPr>
        <w:spacing w:after="0" w:line="70" w:lineRule="exact"/>
        <w:rPr>
          <w:sz w:val="20"/>
          <w:szCs w:val="20"/>
          <w:color w:val="auto"/>
        </w:rPr>
      </w:pPr>
    </w:p>
    <w:p>
      <w:pPr>
        <w:ind w:left="460" w:right="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Carrying Costs</w:t>
      </w:r>
      <w:r>
        <w:rPr>
          <w:rFonts w:ascii="Arial" w:cs="Arial" w:eastAsia="Arial" w:hAnsi="Arial"/>
          <w:sz w:val="18"/>
          <w:szCs w:val="18"/>
          <w:color w:val="auto"/>
        </w:rPr>
        <w:t>” shall mean, with respect to any Interest Accrual Period, the sum (without duplication) of the following amounts determined on an accrual basis in accordance with GAAP consistently applied:</w:t>
      </w:r>
    </w:p>
    <w:p>
      <w:pPr>
        <w:spacing w:after="0" w:line="62" w:lineRule="exact"/>
        <w:rPr>
          <w:sz w:val="20"/>
          <w:szCs w:val="20"/>
          <w:color w:val="auto"/>
        </w:rPr>
      </w:pPr>
    </w:p>
    <w:p>
      <w:pPr>
        <w:ind w:left="460" w:right="80" w:firstLine="443"/>
        <w:spacing w:after="0" w:line="276" w:lineRule="auto"/>
        <w:tabs>
          <w:tab w:leader="none" w:pos="11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 respect to any Purchaser Group, (a) the amount of interest accrued with respect to the portion of the Purchaser Invested Amount funded by the Conduit which is a member of such Purchaser Group at a rate equal to the CP Rate applicable to such Conduit for such Interest Accrual Period and (b) the amount of interest accrued with respect to the portion of the Purchaser Invested Amount funded by any Alternate Purchaser which is a member of such Purchaser Group or any Liquidity Provider with respect to such Conduit at either the Adjusted LIBOR Rate or the Bank Base Rate, as applicable in accordance with Section 2.8(a) of the Note Purchase Agreement; and</w:t>
      </w:r>
    </w:p>
    <w:p>
      <w:pPr>
        <w:spacing w:after="0" w:line="64" w:lineRule="exact"/>
        <w:rPr>
          <w:rFonts w:ascii="Arial" w:cs="Arial" w:eastAsia="Arial" w:hAnsi="Arial"/>
          <w:sz w:val="17"/>
          <w:szCs w:val="17"/>
          <w:color w:val="auto"/>
        </w:rPr>
      </w:pPr>
    </w:p>
    <w:p>
      <w:pPr>
        <w:ind w:left="460" w:right="220" w:firstLine="443"/>
        <w:spacing w:after="0" w:line="342" w:lineRule="auto"/>
        <w:tabs>
          <w:tab w:leader="none" w:pos="11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respect to any Non-Conduit Committed Purchaser, the amount of interest accrued with respect to its Purchaser Invested Amount at the LIBOR Rate or the LIBOR Rate plus the Applicable Percentage, as applicable, in accordance with Section 2.8(a) of the Note Purchase Agreement;</w:t>
      </w:r>
    </w:p>
    <w:p>
      <w:pPr>
        <w:spacing w:after="0" w:line="16"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following the occurrence of an Event of Default, the Carrying Costs with respect to any Purchaser Group or Non-Conduit Committed Purchaser shall be determined in accordance with Section 2.8(b) of the Note Purchase Agreement.</w:t>
      </w:r>
    </w:p>
    <w:p>
      <w:pPr>
        <w:spacing w:after="0" w:line="62" w:lineRule="exact"/>
        <w:rPr>
          <w:sz w:val="20"/>
          <w:szCs w:val="20"/>
          <w:color w:val="auto"/>
        </w:rPr>
      </w:pPr>
    </w:p>
    <w:p>
      <w:pPr>
        <w:ind w:left="460" w:right="220" w:firstLine="438"/>
        <w:spacing w:after="0" w:line="264" w:lineRule="auto"/>
        <w:rPr>
          <w:sz w:val="20"/>
          <w:szCs w:val="20"/>
          <w:color w:val="auto"/>
        </w:rPr>
      </w:pPr>
      <w:r>
        <w:rPr>
          <w:rFonts w:ascii="Arial" w:cs="Arial" w:eastAsia="Arial" w:hAnsi="Arial"/>
          <w:sz w:val="18"/>
          <w:szCs w:val="18"/>
          <w:color w:val="auto"/>
        </w:rPr>
        <w:t>The Carrying Costs for any Interest Accrual Period determined by reference to the applicable CP Rate shall be calculated using an estimate for the days in such Interest Accrual Period remaining after the date on which the applicable Funding Agent notifies the Administrative Agent of the applicable Carrying Costs pursuant to Section 2.8(a)(v) of the Note Purchase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2" w:name="page83"/>
    <w:bookmarkEnd w:id="8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On or before the day on which the applicable Funding Agent is required to notify the Administrative Agent of the applicable Carrying Costs with respect to the next succeeding Interest Accrual Period, such Funding Agent or shall re-determine the Carrying Costs in respect of the prior Interest Accrual Period and if such re-determined amount is higher or lower than the Carrying Costs initially reported as described above, such Funding Agent or shall advise the Administrative Agent of the re-determined Carrying Costs, specifying the amount of any Carrying Costs Underpayment or any Carrying Costs Overpayment.”</w:t>
      </w:r>
    </w:p>
    <w:p>
      <w:pPr>
        <w:spacing w:after="0" w:line="80"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shall mean, for an Interest Accrual Period, the rate per annum (rounded upwards, if necessary, to the nearest 1/100 of 1%) appearing on Page LIBOR01 of the Reuters screen (or any successor page) as the London interbank offered rate administered by ICE for deposits in U.S. dollars for a term of one month at approximately 11:00 A.M. (London time), on the related LIBOR Determination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more than one rate is specified on the applicable page or screen, the applicable rate shall be the arithmetic mean of all such rates. If for any reason such rate is not available, the term “LIBOR Rate” shall mean, for any LIBOR Determination Date, the rate at which deposits in U.S. dollars are offered to the applicable Non-Conduit Committed Purchaser in the London interbank market at approximately 11:00 A.M. (London time) on such day, for a term of one month. If the calculation of LIBOR Rate results in a LIBOR Rate of less than zero percent (0%), LIBOR Rate shall be deemed to be zero percent (0%) for all purposes under the Facility Documents.”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shall be added to the Third Amended and Restated Standard Definitions in the appropriate alphabetical order:</w:t>
      </w:r>
    </w:p>
    <w:p>
      <w:pPr>
        <w:spacing w:after="0" w:line="117" w:lineRule="exact"/>
        <w:rPr>
          <w:sz w:val="20"/>
          <w:szCs w:val="20"/>
          <w:color w:val="auto"/>
        </w:rPr>
      </w:pPr>
    </w:p>
    <w:p>
      <w:pPr>
        <w:ind w:right="1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means the ICE Benchmark Administration Limited (or the successor thereto if the ICE Benchmark Administration Limited is no longer making LIBOR available).”</w:t>
      </w:r>
    </w:p>
    <w:p>
      <w:pPr>
        <w:spacing w:after="0" w:line="62" w:lineRule="exact"/>
        <w:rPr>
          <w:sz w:val="20"/>
          <w:szCs w:val="20"/>
          <w:color w:val="auto"/>
        </w:rPr>
      </w:pPr>
    </w:p>
    <w:p>
      <w:pPr>
        <w:ind w:right="38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Determination Date</w:t>
      </w:r>
      <w:r>
        <w:rPr>
          <w:rFonts w:ascii="Arial" w:cs="Arial" w:eastAsia="Arial" w:hAnsi="Arial"/>
          <w:sz w:val="17"/>
          <w:szCs w:val="17"/>
          <w:color w:val="auto"/>
        </w:rPr>
        <w:t>” shall mean with respect to any Interest Accrual Period, the second Business Day prior to the first day of such Interest Accrual Period, or if such day is not a London Business Day, then the immediately preceding London Business Day.”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i w:val="1"/>
          <w:iCs w:val="1"/>
          <w:color w:val="auto"/>
        </w:rPr>
        <w:t>Amendment of the Note Purchase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Section 2.8(a)(iii) of the Note Purchase shall be amended by deleting the same in its entirety and replacing it with:</w:t>
      </w:r>
    </w:p>
    <w:p>
      <w:pPr>
        <w:spacing w:after="0" w:line="117" w:lineRule="exact"/>
        <w:rPr>
          <w:sz w:val="20"/>
          <w:szCs w:val="20"/>
          <w:color w:val="auto"/>
        </w:rPr>
      </w:pPr>
    </w:p>
    <w:p>
      <w:pPr>
        <w:ind w:right="20" w:firstLine="438"/>
        <w:spacing w:after="0" w:line="270" w:lineRule="auto"/>
        <w:rPr>
          <w:sz w:val="20"/>
          <w:szCs w:val="20"/>
          <w:color w:val="auto"/>
        </w:rPr>
      </w:pPr>
      <w:r>
        <w:rPr>
          <w:rFonts w:ascii="Arial" w:cs="Arial" w:eastAsia="Arial" w:hAnsi="Arial"/>
          <w:sz w:val="17"/>
          <w:szCs w:val="17"/>
          <w:color w:val="auto"/>
        </w:rPr>
        <w:t>“If any Liquidity Provider acquires from a Conduit an interest in any portion of the Purchaser Invested Amount funded by such Conduit, or, the Alternate Purchasers in any Purchaser Group fund any portion of the Purchaser Invested Amount with respect to such Purchaser Group pursuant to this Agreement, then, prior to the occurrence of an Event of Default, the initial Funding Period applicable to such portion of such Purchaser Invested Amount shall be a period of not greater than 14 days and such portion of such Purchaser Invested Amount shall accrue interest at the Bank Base Rate. Thereafter, so long as no Event of Default shall have occurred, interest shall accrue on such portion of such Purchaser Invested Amount at the Adjusted LIBOR Rate for the applicable Interest Accrual Period. At any time following the date on which a Liquidity Provider or Alternate Purchaser is accruing interest at the Adjusted LIBOR Rate, the Issuer, in its sole discretion, may replace such Liquidity Provider or Alternate Purchaser with (x) an Additional Conduit and the Related Additional Alternate Purchasers, (y) an Additional Non-Conduit Committed Purchaser or (z) an existing Conduit, Alternate Purchaser or Non-Conduit Committed Purchaser.”</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2.8(a)(iv) of the Note Purchase shall be amended by deleting the same in its entirety and replacing it with:</w:t>
      </w:r>
    </w:p>
    <w:p>
      <w:pPr>
        <w:spacing w:after="0" w:line="117"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 xml:space="preserve">“Prior to the occurrence of an Event of Default, the amount of any Purchaser Invested Amount with respect to a Non-Conduit Committed Purchaser shall accrue interest during an Interest Accrual Period at a rate per annum equal to the LIBOR Rate with respect to each such Interest Accrual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 any date prior to the occurrence of an Event of Default on which more than 50% of the Outstanding Note Balance is funded by one or more Liquidity Providers and/or Alternate Purchasers, each Non-Conduit Committed Purchaser may elect, in its sole discretion, by delivering written notice to the Issuer and Administrative Agent (a “</w:t>
      </w:r>
      <w:r>
        <w:rPr>
          <w:rFonts w:ascii="Arial" w:cs="Arial" w:eastAsia="Arial" w:hAnsi="Arial"/>
          <w:sz w:val="16"/>
          <w:szCs w:val="16"/>
          <w:u w:val="single" w:color="auto"/>
          <w:color w:val="auto"/>
        </w:rPr>
        <w:t>Pricing Increase Notice</w:t>
      </w:r>
      <w:r>
        <w:rPr>
          <w:rFonts w:ascii="Arial" w:cs="Arial" w:eastAsia="Arial" w:hAnsi="Arial"/>
          <w:sz w:val="16"/>
          <w:szCs w:val="16"/>
          <w:color w:val="auto"/>
        </w:rPr>
        <w:t xml:space="preserve">”), to have the Purchaser Invested Amount with respect to such Non-Conduit Committed Purchaser accrue interest for each succeeding Interest Accrual Period that more than 50% of the Outstanding Note Balance is funded by one or more Liquidity Providers and/or Alternate Purchasers at a rate per annum equal to the LIBOR Rate with respect to such Interest Accrual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Percentage. At any time following delivery of a Pricing Increase Notice by a Non-Conduit Committed Purchaser, such Non-Conduit Committed Purchaser (A) in its sole discretion, may, or (B) if less than 50% of the Outstanding Note Balance is funded by one or more Liquidity Providers and/or Alternate Purchasers shall, rescind such election by delivering written notice thereof to the Issuer and the Administrative Agent (a “</w:t>
      </w:r>
      <w:r>
        <w:rPr>
          <w:rFonts w:ascii="Arial" w:cs="Arial" w:eastAsia="Arial" w:hAnsi="Arial"/>
          <w:sz w:val="16"/>
          <w:szCs w:val="16"/>
          <w:u w:val="single" w:color="auto"/>
          <w:color w:val="auto"/>
        </w:rPr>
        <w:t>Pricing Increase Rescission</w:t>
      </w:r>
      <w:r>
        <w:rPr>
          <w:rFonts w:ascii="Arial" w:cs="Arial" w:eastAsia="Arial" w:hAnsi="Arial"/>
          <w:sz w:val="16"/>
          <w:szCs w:val="16"/>
          <w:color w:val="auto"/>
        </w:rPr>
        <w:t>”). To the extent that the Issuer obtains a rating on the Notes and such rating reduces the funding costs of the Alternate Purchasers and Liquidity Providers related to a Conduit, such Non-Conduit Committed Purchaser agrees, in good faith, to deliver a Pricing Increase Rescission to the extent agreed upon between the Issuer and such Non-Conduit Committed Purchaser. At any time following its receipt of a Pricing Increase Notice, the Issuer, in its sole discretion, may replace the Non-Conduit Committed Purchaser that delivered such notice with</w:t>
      </w:r>
    </w:p>
    <w:p>
      <w:pPr>
        <w:spacing w:after="0" w:line="2" w:lineRule="exact"/>
        <w:rPr>
          <w:sz w:val="20"/>
          <w:szCs w:val="20"/>
          <w:color w:val="auto"/>
        </w:rPr>
      </w:pPr>
    </w:p>
    <w:p>
      <w:pPr>
        <w:ind w:right="360" w:firstLine="4"/>
        <w:spacing w:after="0" w:line="261"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Additional Conduit and the Related Additional Alternate Purchasers, (y) an Additional Non-Conduit Committed Purchaser or (z) an existing Conduit, Alternate Purchaser or Non-Conduit Committed Purchaser.”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2.8(c) of the Note Purchase shall be amended by deleting the same in its entirety and replacing it with:</w:t>
      </w:r>
    </w:p>
    <w:p>
      <w:pPr>
        <w:spacing w:after="0" w:line="117" w:lineRule="exact"/>
        <w:rPr>
          <w:sz w:val="20"/>
          <w:szCs w:val="20"/>
          <w:color w:val="auto"/>
        </w:rPr>
      </w:pPr>
    </w:p>
    <w:p>
      <w:pPr>
        <w:ind w:right="40" w:firstLine="43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 Protection</w:t>
      </w:r>
      <w:r>
        <w:rPr>
          <w:rFonts w:ascii="Arial" w:cs="Arial" w:eastAsia="Arial" w:hAnsi="Arial"/>
          <w:sz w:val="16"/>
          <w:szCs w:val="16"/>
          <w:color w:val="auto"/>
        </w:rPr>
        <w:t>. If a Funding Agent is unable to obtain on a timely basis the information necessary to determine the LIBOR Rate for an Interest Accrual Period, such Funding Agent shall forthwith notify the Alternate Purchasers in the Purchaser Group with respect to which it is acting as Funding Agent and the Issuer that the Adjusted LIBOR Rate cannot be determined for such Interest Accrual Period, and, while such circumstances exist, any portion of the Purchaser Invested Amount with respect to such Purchaser Group which would otherwise accrue interest at the Adjusted LIBOR Rate pursuant to Section 2.8(a) hereof during such period shall instead accrue interest at the Bank Base Rate.</w:t>
      </w:r>
    </w:p>
    <w:p>
      <w:pPr>
        <w:spacing w:after="0" w:line="50" w:lineRule="exact"/>
        <w:rPr>
          <w:sz w:val="20"/>
          <w:szCs w:val="20"/>
          <w:color w:val="auto"/>
        </w:rPr>
      </w:pPr>
    </w:p>
    <w:p>
      <w:pPr>
        <w:ind w:right="180" w:firstLine="438"/>
        <w:spacing w:after="0" w:line="272" w:lineRule="auto"/>
        <w:rPr>
          <w:sz w:val="20"/>
          <w:szCs w:val="20"/>
          <w:color w:val="auto"/>
        </w:rPr>
      </w:pPr>
      <w:r>
        <w:rPr>
          <w:rFonts w:ascii="Arial" w:cs="Arial" w:eastAsia="Arial" w:hAnsi="Arial"/>
          <w:sz w:val="17"/>
          <w:szCs w:val="17"/>
          <w:color w:val="auto"/>
        </w:rPr>
        <w:t>If a Non-Conduit Committed Purchaser is unable to obtain on a timely basis the information necessary to determine the LIBOR Rate for any Interest Accrual Period, such Non-Conduit Committed Purchaser shall forthwith notify the Issuer that the LIBOR Rate cannot be determined for such Interest Accrual Period, and, while such circumstances exist, the portion of the Purchaser Invested Amount with respect to such Non-Conduit Committed Purchaser which would otherwise accrue interest at the LIBOR Rate pursuant to Section 2.8(a) hereof during such period shall instead accrue interest at the Base Rate and the portion, if any, of the Purchaser Invested Amount with respect to such Non-Conduit Committed Purchaser which would otherwise accrue interest at the LIBOR Rate plus the Applicable Percentage pursuant to Section 2.8(a) hereof during such period shall instead accrue interest at the Bank Base Rate.</w:t>
      </w:r>
    </w:p>
    <w:p>
      <w:pPr>
        <w:spacing w:after="0" w:line="70" w:lineRule="exact"/>
        <w:rPr>
          <w:sz w:val="20"/>
          <w:szCs w:val="20"/>
          <w:color w:val="auto"/>
        </w:rPr>
      </w:pPr>
    </w:p>
    <w:p>
      <w:pPr>
        <w:ind w:right="20" w:firstLine="438"/>
        <w:spacing w:after="0" w:line="302" w:lineRule="auto"/>
        <w:rPr>
          <w:sz w:val="20"/>
          <w:szCs w:val="20"/>
          <w:color w:val="auto"/>
        </w:rPr>
      </w:pPr>
      <w:r>
        <w:rPr>
          <w:rFonts w:ascii="Arial" w:cs="Arial" w:eastAsia="Arial" w:hAnsi="Arial"/>
          <w:sz w:val="16"/>
          <w:szCs w:val="16"/>
          <w:color w:val="auto"/>
        </w:rPr>
        <w:t>If any Alternate Purchaser or Liquidity Provider notifies the applicable Funding Agent that it is unable to obtain matching deposits in the London interbank market to fund its purchase or maintenance of any portion of the Purchaser Invested Amount funded by such Alternate Purchaser or Liquidity Provider or that the Adjusted LIBOR Rate applicable to any portion of such Purchaser Invested Amount will not adequately reflect the cost to such Alternate Purchaser or Liquidity Provider of funding or maintaining such portion of such Purchaser Invested Amount for any</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84" w:name="page85"/>
    <w:bookmarkEnd w:id="84"/>
    <w:p>
      <w:pPr>
        <w:ind w:left="4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Accrual Period, then such Funding Agent shall forthwith so notify the Issuer, whereupon such portion of such Purchaser Invested Amount that would otherwise accrue interest at the Adjusted LIBOR Rate pursuant to Section 2.8(a) hereof shall instead accrue interest at the Bank Base Rate. If any Non-Conduit Committed Purchaser determines that it is unable to obtain matching deposits in the London interbank market to fund the purchase or maintenance of its Purchaser Invested Amount or that the LIBOR Rate will not adequately reflect the cost to such Non-Conduit Committed Purchaser of funding or maintaining its Purchaser Invested Amount, then such Non-Conduit Committed Purchaser shall forthwith so notify the Issuer, whereupon the portion of the Purchaser Invested Amount of such Non-Conduit Committed Purchaser that would otherwise accrue interest at the LIBOR Rate pursuant Section 2.8(a) hereof to shall instead accrue interest at the Base Rate and the portion, if any, of the Purchaser Invested Amount with respect to such Non-Conduit Committed Purchaser which would otherwise accrue interest at the LIBOR Rate plus the Applicable Percentage pursuant to Section 2.8(a) hereof shall instead accrue interest at the Bank Base Rate.”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i w:val="1"/>
          <w:iCs w:val="1"/>
          <w:color w:val="auto"/>
        </w:rPr>
        <w:t>Representations and Warranties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MVW, MORI, the Seller and the Issuer hereby represent and warrant to each of the other Transaction Parties that, after giving effect to this Amendment: (a) the representations and warranties set forth in each of the Transaction Documents by each of MVW, MORI, the Seller and the Issuer are true and correct in all material respects on and as of the date hereof, with the same effect as though made on and as of such date (except to the extent that any representation and warranty expressly relates to an earlier date, then such earlier date), (b) on the date hereof, no Default has occurred and is continuing, and</w:t>
      </w:r>
    </w:p>
    <w:p>
      <w:pPr>
        <w:spacing w:after="0" w:line="2" w:lineRule="exact"/>
        <w:rPr>
          <w:sz w:val="20"/>
          <w:szCs w:val="20"/>
          <w:color w:val="auto"/>
        </w:rPr>
      </w:pPr>
    </w:p>
    <w:p>
      <w:pPr>
        <w:ind w:right="140" w:firstLine="8"/>
        <w:spacing w:after="0" w:line="281" w:lineRule="auto"/>
        <w:tabs>
          <w:tab w:leader="none" w:pos="2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execution, delivery and performance of this Amendment in accordance with its terms and the consummation of the transactions contemplated hereby by any of them do not and will not (i) require any consent or approval of any Person, except for consents and approvals that have already been obtained,</w:t>
      </w:r>
    </w:p>
    <w:p>
      <w:pPr>
        <w:spacing w:after="0" w:line="1" w:lineRule="exact"/>
        <w:rPr>
          <w:rFonts w:ascii="Arial" w:cs="Arial" w:eastAsia="Arial" w:hAnsi="Arial"/>
          <w:sz w:val="16"/>
          <w:szCs w:val="16"/>
          <w:color w:val="auto"/>
        </w:rPr>
      </w:pPr>
    </w:p>
    <w:p>
      <w:pPr>
        <w:ind w:right="80" w:firstLine="8"/>
        <w:spacing w:after="0" w:line="302" w:lineRule="auto"/>
        <w:tabs>
          <w:tab w:leader="none" w:pos="265" w:val="left"/>
        </w:tabs>
        <w:numPr>
          <w:ilvl w:val="0"/>
          <w:numId w:val="47"/>
        </w:numPr>
        <w:rPr>
          <w:rFonts w:ascii="Arial" w:cs="Arial" w:eastAsia="Arial" w:hAnsi="Arial"/>
          <w:sz w:val="16"/>
          <w:szCs w:val="16"/>
          <w:color w:val="auto"/>
        </w:rPr>
      </w:pPr>
      <w:r>
        <w:rPr>
          <w:rFonts w:ascii="Arial" w:cs="Arial" w:eastAsia="Arial" w:hAnsi="Arial"/>
          <w:sz w:val="16"/>
          <w:szCs w:val="16"/>
          <w:color w:val="auto"/>
        </w:rPr>
        <w:t>violate any applicable law, or (iii) contravene, conflict with, result in a breach of, or constitute a default under their organization documents, as the same may have been amended or restated, or contravene, conflict with, result in a breach of or constitute a default under (with or without notice or lapse of time or both) any indenture, agreement or other instrument, to which such entity is a party or by which it or any of its properties or assets may be bound.</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i w:val="1"/>
          <w:iCs w:val="1"/>
          <w:color w:val="auto"/>
        </w:rPr>
        <w:t>References in all Transaction Documents.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To the extent any Transaction Document contains a provision that conflicts with the intent of this Amendment, the parties agree that the provisions herein shall govern.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2.03</w:t>
      </w:r>
      <w:r>
        <w:rPr>
          <w:rFonts w:ascii="Arial" w:cs="Arial" w:eastAsia="Arial" w:hAnsi="Arial"/>
          <w:sz w:val="18"/>
          <w:szCs w:val="18"/>
          <w:b w:val="1"/>
          <w:bCs w:val="1"/>
          <w:i w:val="1"/>
          <w:iCs w:val="1"/>
          <w:color w:val="auto"/>
        </w:rPr>
        <w:t>. Counterparts.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This Amendment may be executed (by facsimile or otherwise) in any number of counterparts, each of which counterparts shall be deemed to be an original, and such counterparts shall constitute but one and the same instrument.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i w:val="1"/>
          <w:iCs w:val="1"/>
          <w:color w:val="auto"/>
        </w:rPr>
        <w:t>Governing Law; Consent to Jurisdiction; Waiver of Jury Trial</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AMENDMENT SHALL BE CONSTRUED IN ACCORDANCE WITH AND GOVERNED BY THE SUBSTANTIVE LAWS OF THE STATE OF NEW YORK APPLICABLE TO AGREEMENTS MADE AND TO BE PERFORMED 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85" w:name="page86"/>
    <w:bookmarkEnd w:id="8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STATE OF NEW YORK AND THE OBLIGATIONS, RIGHTS AND REMEDIES OF THE TRANSACTION PARTIES SHALL BE DETERMINED IN ACCORDANCE WITH SUCH LAWS.</w:t>
      </w:r>
    </w:p>
    <w:p>
      <w:pPr>
        <w:spacing w:after="0" w:line="170"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THE PARTIES HERETO EACH SUBMIT TO THE NONEXCLUSIVE JURISDICTION OF THE UNITED STATES DISTRICT COURT FOR THE SOUTHERN DISTRICT OF NEW YORK AND OF ANY NEW YORK STATE COURT SITTING IN THE CITY OF NEW YORK FOR PURPOSES OF ALL LEGAL PROCEEDINGS ARISING OUT OF OR RELATING TO THIS AMENDMENT OR THE TRANSACTIONS CONTEMPLATED HEREBY.</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EACH OF THE PARTIES HERETO HEREBY WAIVES ANY RIGHT TO HAVE A JURY PARTICIPATE IN RESOLVING ANY DISPUTE, WHETHER SOUNDING IN CONTRACT, TORT OR OTHERWISE AMONG ANY OF THEM ARISING OUT OF, CONNECTED WITH, RELATING TO OR INCIDENTAL TO THE RELATIONSHIP BETWEEN THEM IN CONNECTION WITH THIS AMENDMENT OR THE FACILITY DOCUMENTS.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b w:val="1"/>
          <w:bCs w:val="1"/>
          <w:i w:val="1"/>
          <w:iCs w:val="1"/>
          <w:color w:val="auto"/>
        </w:rPr>
        <w:t>Severability of Provisions.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any one or more of the covenants, agreements, provisions or terms of this Amendment shall be for any reason whatsoever held invalid, then such covenants, agreements, provisions or terms shall be deemed severable from the remaining covenants, agreements, provisions or terms of this Amendment and shall in no way affect the validity or enforceability of the other provisions of this Amendment.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i w:val="1"/>
          <w:iCs w:val="1"/>
          <w:color w:val="auto"/>
        </w:rPr>
        <w:t>Continuing Effect.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Except as expressly amended hereby, each Transaction Document shall continue in full force and effect in accordance with the provisions thereof and each Transaction Document is in all respects hereby ratified, confirmed and preserved.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i w:val="1"/>
          <w:iCs w:val="1"/>
          <w:color w:val="auto"/>
        </w:rPr>
        <w:t>Successors and Assigns.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Amendment shall be binding upon and inure to the benefit of the Transaction Parties and their respective successors and permitted assigns.</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2.08 </w:t>
      </w:r>
      <w:r>
        <w:rPr>
          <w:rFonts w:ascii="Arial" w:cs="Arial" w:eastAsia="Arial" w:hAnsi="Arial"/>
          <w:sz w:val="18"/>
          <w:szCs w:val="18"/>
          <w:b w:val="1"/>
          <w:bCs w:val="1"/>
          <w:i w:val="1"/>
          <w:iCs w:val="1"/>
          <w:color w:val="auto"/>
        </w:rPr>
        <w:t>No Bankruptcy Petition.</w:t>
      </w:r>
    </w:p>
    <w:p>
      <w:pPr>
        <w:spacing w:after="0" w:line="121" w:lineRule="exact"/>
        <w:rPr>
          <w:sz w:val="20"/>
          <w:szCs w:val="20"/>
          <w:color w:val="auto"/>
        </w:rPr>
      </w:pPr>
    </w:p>
    <w:p>
      <w:pPr>
        <w:ind w:right="60" w:firstLine="464"/>
        <w:spacing w:after="0" w:line="257"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party hereto hereby covenants and agrees that, prior to the date which is one year and one day after the payment in full of all outstanding Related Commercial Paper or other indebtedness of a Conduit, it will not institute against, or join any other Person in instituting against a Conduit any bankruptcy, reorganization, arrangement, insolvency or liquidation proceedings or other similar proceeding under the laws of the United States or any state of the United States or any other jurisdiction with authority over such Conduit. The provisions of this Section 2.08(a) shall survive the termination of this Amendment.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6" w:name="page87"/>
    <w:bookmarkEnd w:id="86"/>
    <w:p>
      <w:pPr>
        <w:ind w:left="-440" w:firstLine="464"/>
        <w:spacing w:after="0" w:line="259" w:lineRule="auto"/>
        <w:tabs>
          <w:tab w:leader="none" w:pos="271"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party hereto hereby covenants and agrees that, prior to the date which is one year and one day after the payment in full of all Notes and Exchange Notes, it will not institute against, or join any other Person in instituting against the Issuer or the Seller any bankruptcy, reorganization, arrangement, insolvency or liquidation proceedings or other similar proceeding under the laws of the United States or any state of the United States. The provisions of this Section 2.08(b) shall survive the termination of this Amendment.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680" w:top="274" w:right="679" w:bottom="1440" w:gutter="0" w:footer="0" w:header="0"/>
        </w:sectPr>
      </w:pPr>
    </w:p>
    <w:bookmarkStart w:id="87" w:name="page88"/>
    <w:bookmarkEnd w:id="87"/>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below have caused this Amendment to be duly executed by their respective duly authorized officers of the day and year first above written.</w:t>
      </w:r>
    </w:p>
    <w:p>
      <w:pPr>
        <w:spacing w:after="0" w:line="19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MARRIOTT VACATIONS WORLDWIDE</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OWNER TRUST 2011-1, as Issuer</w:t>
      </w:r>
    </w:p>
    <w:p>
      <w:pPr>
        <w:spacing w:after="0" w:line="211" w:lineRule="exact"/>
        <w:rPr>
          <w:sz w:val="20"/>
          <w:szCs w:val="20"/>
          <w:color w:val="auto"/>
        </w:rPr>
      </w:pPr>
    </w:p>
    <w:tbl>
      <w:tblPr>
        <w:tblLayout w:type="fixed"/>
        <w:tblInd w:w="694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Wilmington Trust, National Association,</w:t>
            </w:r>
          </w:p>
        </w:tc>
      </w:tr>
      <w:tr>
        <w:trPr>
          <w:trHeight w:val="216"/>
        </w:trPr>
        <w:tc>
          <w:tcPr>
            <w:tcW w:w="480" w:type="dxa"/>
            <w:vAlign w:val="bottom"/>
          </w:tcPr>
          <w:p>
            <w:pPr>
              <w:spacing w:after="0"/>
              <w:rPr>
                <w:sz w:val="18"/>
                <w:szCs w:val="18"/>
                <w:color w:val="auto"/>
              </w:rPr>
            </w:pP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not individually, but solely in its capacity as</w:t>
            </w:r>
          </w:p>
        </w:tc>
      </w:tr>
      <w:tr>
        <w:trPr>
          <w:trHeight w:val="230"/>
        </w:trPr>
        <w:tc>
          <w:tcPr>
            <w:tcW w:w="480" w:type="dxa"/>
            <w:vAlign w:val="bottom"/>
          </w:tcPr>
          <w:p>
            <w:pPr>
              <w:spacing w:after="0"/>
              <w:rPr>
                <w:sz w:val="20"/>
                <w:szCs w:val="20"/>
                <w:color w:val="auto"/>
              </w:rPr>
            </w:pP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Owner Trustee</w:t>
            </w:r>
          </w:p>
        </w:tc>
      </w:tr>
      <w:tr>
        <w:trPr>
          <w:trHeight w:val="432"/>
        </w:trPr>
        <w:tc>
          <w:tcPr>
            <w:tcW w:w="4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L. Simpson</w:t>
            </w:r>
          </w:p>
        </w:tc>
      </w:tr>
      <w:tr>
        <w:trPr>
          <w:trHeight w:val="209"/>
        </w:trPr>
        <w:tc>
          <w:tcPr>
            <w:tcW w:w="480" w:type="dxa"/>
            <w:vAlign w:val="bottom"/>
          </w:tcPr>
          <w:p>
            <w:pPr>
              <w:spacing w:after="0"/>
              <w:rPr>
                <w:sz w:val="18"/>
                <w:szCs w:val="18"/>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Rachel L. Simpson</w:t>
            </w:r>
          </w:p>
        </w:tc>
      </w:tr>
      <w:tr>
        <w:trPr>
          <w:trHeight w:val="230"/>
        </w:trPr>
        <w:tc>
          <w:tcPr>
            <w:tcW w:w="48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c/o Wilmington Trust, National Association</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Wilmington, Delaware 19801</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Attention: Rachel L. Simpson</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Telephone Number: (302) 636-6128</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Facsimile Number: (302) 636-4140</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MORI SPC SERIES CORP., as Seller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Langford</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Greg A. Langford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6649 Westwood Boulevard</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Orlando, Florida 32821</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Facsimile: (407) 513-6680</w:t>
      </w:r>
    </w:p>
    <w:p>
      <w:pPr>
        <w:sectPr>
          <w:pgSz w:w="11900" w:h="16838" w:orient="portrait"/>
          <w:cols w:equalWidth="0" w:num="1">
            <w:col w:w="11420"/>
          </w:cols>
          <w:pgMar w:left="240" w:top="274" w:right="239" w:bottom="1440" w:gutter="0" w:footer="0" w:header="0"/>
        </w:sectPr>
      </w:pPr>
    </w:p>
    <w:bookmarkStart w:id="88" w:name="page89"/>
    <w:bookmarkEnd w:id="8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MARRIOTT OWNERSHIP RESORTS, INC., in its individual</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capacity and as Servicer and Administrator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Joseph J. Bramuchi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Orlando, Florida 32821</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(407) 513-6680</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MARRIOTT VACATIONS WORLDWIDE CORPORATION,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Performance Guarantor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Joseph J. Bramuchi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Orlando, Florida 32821</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(407) 513-6680</w:t>
      </w:r>
    </w:p>
    <w:p>
      <w:pPr>
        <w:sectPr>
          <w:pgSz w:w="11900" w:h="16838" w:orient="portrait"/>
          <w:cols w:equalWidth="0" w:num="1">
            <w:col w:w="10180"/>
          </w:cols>
          <w:pgMar w:left="1440" w:top="274" w:right="279" w:bottom="1440" w:gutter="0" w:footer="0" w:header="0"/>
        </w:sectPr>
      </w:pPr>
    </w:p>
    <w:bookmarkStart w:id="89" w:name="page90"/>
    <w:bookmarkEnd w:id="8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MVCO SERIES LLC, as Owner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A.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Greg A. Langford</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Orlando, Florida 32821</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(407) 513-6680</w:t>
      </w:r>
    </w:p>
    <w:p>
      <w:pPr>
        <w:sectPr>
          <w:pgSz w:w="11900" w:h="16838" w:orient="portrait"/>
          <w:cols w:equalWidth="0" w:num="1">
            <w:col w:w="9019"/>
          </w:cols>
          <w:pgMar w:left="1440" w:top="274" w:right="1440" w:bottom="1440" w:gutter="0" w:footer="0" w:header="0"/>
        </w:sectPr>
      </w:pPr>
    </w:p>
    <w:bookmarkStart w:id="90" w:name="page91"/>
    <w:bookmarkEnd w:id="9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 as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Indenture Trustee, Back-Up Servicer and Custodian</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C. Westberg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C. Westberg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MAC N9311-161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Sixth Street &amp; Marquette Avenue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Minneapolis, Minnesota 55479</w:t>
      </w:r>
    </w:p>
    <w:p>
      <w:pPr>
        <w:spacing w:after="0" w:line="211" w:lineRule="exact"/>
        <w:rPr>
          <w:sz w:val="20"/>
          <w:szCs w:val="20"/>
          <w:color w:val="auto"/>
        </w:rPr>
      </w:pPr>
    </w:p>
    <w:p>
      <w:pPr>
        <w:ind w:left="5660"/>
        <w:spacing w:after="0"/>
        <w:tabs>
          <w:tab w:leader="none" w:pos="67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Corporate Trust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Services/Asset-Backed Administration</w:t>
      </w:r>
    </w:p>
    <w:p>
      <w:pPr>
        <w:spacing w:after="0" w:line="9" w:lineRule="exact"/>
        <w:rPr>
          <w:sz w:val="20"/>
          <w:szCs w:val="20"/>
          <w:color w:val="auto"/>
        </w:rPr>
      </w:pPr>
    </w:p>
    <w:p>
      <w:pPr>
        <w:ind w:left="5660"/>
        <w:spacing w:after="0"/>
        <w:tabs>
          <w:tab w:leader="none" w:pos="7240" w:val="left"/>
        </w:tabs>
        <w:rPr>
          <w:sz w:val="20"/>
          <w:szCs w:val="20"/>
          <w:color w:val="auto"/>
        </w:rPr>
      </w:pPr>
      <w:r>
        <w:rPr>
          <w:rFonts w:ascii="Arial" w:cs="Arial" w:eastAsia="Arial" w:hAnsi="Arial"/>
          <w:sz w:val="18"/>
          <w:szCs w:val="18"/>
          <w:color w:val="auto"/>
        </w:rPr>
        <w:t>Facsimile Number:</w:t>
      </w:r>
      <w:r>
        <w:rPr>
          <w:sz w:val="20"/>
          <w:szCs w:val="20"/>
          <w:color w:val="auto"/>
        </w:rPr>
        <w:tab/>
      </w:r>
      <w:r>
        <w:rPr>
          <w:rFonts w:ascii="Arial" w:cs="Arial" w:eastAsia="Arial" w:hAnsi="Arial"/>
          <w:sz w:val="16"/>
          <w:szCs w:val="16"/>
          <w:color w:val="auto"/>
        </w:rPr>
        <w:t>(612) 667-3539</w:t>
      </w:r>
    </w:p>
    <w:p>
      <w:pPr>
        <w:spacing w:after="0" w:line="9" w:lineRule="exact"/>
        <w:rPr>
          <w:sz w:val="20"/>
          <w:szCs w:val="20"/>
          <w:color w:val="auto"/>
        </w:rPr>
      </w:pPr>
    </w:p>
    <w:p>
      <w:pPr>
        <w:ind w:left="5660"/>
        <w:spacing w:after="0"/>
        <w:tabs>
          <w:tab w:leader="none" w:pos="72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Arial" w:cs="Arial" w:eastAsia="Arial" w:hAnsi="Arial"/>
          <w:sz w:val="16"/>
          <w:szCs w:val="16"/>
          <w:color w:val="auto"/>
        </w:rPr>
        <w:t>(612) 667-8058</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WILMINGTON TRUST, NATIONAL ASSOCIATION, not in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individual capacity, but solely as Owner Trustee</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L.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Rachel L. Simpson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Wilmington, Delaware 19801</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Rachel L. Simpson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Number: (302) 636-6128</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Number: (302) 636-4140</w:t>
      </w:r>
    </w:p>
    <w:p>
      <w:pPr>
        <w:sectPr>
          <w:pgSz w:w="11900" w:h="16838" w:orient="portrait"/>
          <w:cols w:equalWidth="0" w:num="1">
            <w:col w:w="10180"/>
          </w:cols>
          <w:pgMar w:left="1440" w:top="274" w:right="279" w:bottom="1440" w:gutter="0" w:footer="0" w:header="0"/>
        </w:sectPr>
      </w:pPr>
    </w:p>
    <w:bookmarkStart w:id="91" w:name="page92"/>
    <w:bookmarkEnd w:id="9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McElroy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Joseph McElroy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Allman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Keith Allman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Mary Conners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250-4731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797-5300</w:t>
      </w:r>
    </w:p>
    <w:p>
      <w:pPr>
        <w:sectPr>
          <w:pgSz w:w="11900" w:h="16838" w:orient="portrait"/>
          <w:cols w:equalWidth="0" w:num="1">
            <w:col w:w="10220"/>
          </w:cols>
          <w:pgMar w:left="1440" w:top="274" w:right="239" w:bottom="1440" w:gutter="0" w:footer="0" w:header="0"/>
        </w:sectPr>
      </w:pPr>
    </w:p>
    <w:bookmarkStart w:id="92" w:name="page93"/>
    <w:bookmarkEnd w:id="9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MOUNTCLIFF FUNDING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Conduit</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 Borg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Josh Borg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20 Gates Management LLC</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30 Irving Place, 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NY 10003</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Vidrik Frankfather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295-4146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295-3785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mountcliff@20gates.com; and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mountcliff.group@db.com</w:t>
      </w:r>
    </w:p>
    <w:p>
      <w:pPr>
        <w:sectPr>
          <w:pgSz w:w="11900" w:h="16838" w:orient="portrait"/>
          <w:cols w:equalWidth="0" w:num="1">
            <w:col w:w="10220"/>
          </w:cols>
          <w:pgMar w:left="1440" w:top="274" w:right="239" w:bottom="1440" w:gutter="0" w:footer="0" w:header="0"/>
        </w:sectPr>
      </w:pPr>
    </w:p>
    <w:bookmarkStart w:id="93" w:name="page94"/>
    <w:bookmarkEnd w:id="9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Alternate Purchaser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Hart</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Patrick J. Hart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Fera</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Chris Fera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Conduit Lending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538-1890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325-4599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abcp.monitoring@credit-suisse.com</w:t>
      </w:r>
    </w:p>
    <w:p>
      <w:pPr>
        <w:sectPr>
          <w:pgSz w:w="11900" w:h="16838" w:orient="portrait"/>
          <w:cols w:equalWidth="0" w:num="1">
            <w:col w:w="10220"/>
          </w:cols>
          <w:pgMar w:left="1440" w:top="274" w:right="239" w:bottom="1440" w:gutter="0" w:footer="0" w:header="0"/>
        </w:sectPr>
      </w:pPr>
    </w:p>
    <w:bookmarkStart w:id="94" w:name="page95"/>
    <w:bookmarkEnd w:id="9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NEW YORK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Funding Agent</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Hart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Patrick J. Hart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Fera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Chris Fera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Conduit Lending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538-1890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325-4599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abcp.monitoring@credit-suisse.com</w:t>
      </w:r>
    </w:p>
    <w:p>
      <w:pPr>
        <w:sectPr>
          <w:pgSz w:w="11900" w:h="16838" w:orient="portrait"/>
          <w:cols w:equalWidth="0" w:num="1">
            <w:col w:w="10220"/>
          </w:cols>
          <w:pgMar w:left="1440" w:top="274" w:right="239" w:bottom="1440" w:gutter="0" w:footer="0" w:header="0"/>
        </w:sectPr>
      </w:pPr>
    </w:p>
    <w:bookmarkStart w:id="95" w:name="page96"/>
    <w:bookmarkEnd w:id="9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Non-Conduit Committed Purchaser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Hufnagel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Hufnagel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3333 Peachtree Street NE</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r>
        <w:rPr>
          <w:rFonts w:ascii="Arial" w:cs="Arial" w:eastAsia="Arial" w:hAnsi="Arial"/>
          <w:sz w:val="18"/>
          <w:szCs w:val="18"/>
          <w:color w:val="auto"/>
        </w:rPr>
        <w:t xml:space="preserve"> Floor East</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Atlanta, Georgia 30326</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Attention: Kayla Williams and David Morley</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(404) 926-5475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(404) 495-2171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strh.afg@suntrust.com</w:t>
      </w:r>
    </w:p>
    <w:p>
      <w:pPr>
        <w:sectPr>
          <w:pgSz w:w="11900" w:h="16838" w:orient="portrait"/>
          <w:cols w:equalWidth="0" w:num="1">
            <w:col w:w="9019"/>
          </w:cols>
          <w:pgMar w:left="1440" w:top="274" w:right="1440" w:bottom="1440" w:gutter="0" w:footer="0" w:header="0"/>
        </w:sectPr>
      </w:pPr>
    </w:p>
    <w:bookmarkStart w:id="96" w:name="page97"/>
    <w:bookmarkEnd w:id="9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Non-Conduit Committed Purchaser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McElroy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Joseph McElroy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Allman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Keith Allman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Mary Conners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(212) 250-4731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(212) 797-5300</w:t>
      </w:r>
    </w:p>
    <w:p>
      <w:pPr>
        <w:sectPr>
          <w:pgSz w:w="11900" w:h="16838" w:orient="portrait"/>
          <w:cols w:equalWidth="0" w:num="1">
            <w:col w:w="10220"/>
          </w:cols>
          <w:pgMar w:left="1440" w:top="274" w:right="239" w:bottom="1440" w:gutter="0" w:footer="0" w:header="0"/>
        </w:sectPr>
      </w:pPr>
    </w:p>
    <w:bookmarkStart w:id="97" w:name="page98"/>
    <w:bookmarkEnd w:id="9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Non-Conduit Committed Purchaser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C. Picoli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Elizabeth C. Picoli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National Association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214 North Tryon Street, 15th Floor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NC1-027-15-01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Charlotte, North Carolina 28255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Securitization Finance Group c/o</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Wood / Christen Picoli</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980-388-5938 / 980-388-8138</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Email: robert.wood@baml.com elizabeth.c.picoli@baml.com</w:t>
      </w:r>
    </w:p>
    <w:p>
      <w:pPr>
        <w:sectPr>
          <w:pgSz w:w="11900" w:h="16838" w:orient="portrait"/>
          <w:cols w:equalWidth="0" w:num="1">
            <w:col w:w="10100"/>
          </w:cols>
          <w:pgMar w:left="1440" w:top="274" w:right="359" w:bottom="1440" w:gutter="0" w:footer="0" w:header="0"/>
        </w:sectPr>
      </w:pPr>
    </w:p>
    <w:bookmarkStart w:id="98" w:name="page99"/>
    <w:bookmarkEnd w:id="9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CAPITAL FINANCE, LLC</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Non-Conduit Committed Purchaser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Ajay Jagsi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14241 Dallas Parkway, Suite 1300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Dallas, Texas 75254</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Ajay Jagsi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(972) 361-7220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(866) 719-9124</w:t>
      </w:r>
    </w:p>
    <w:p>
      <w:pPr>
        <w:sectPr>
          <w:pgSz w:w="11900" w:h="16838" w:orient="portrait"/>
          <w:cols w:equalWidth="0" w:num="1">
            <w:col w:w="9019"/>
          </w:cols>
          <w:pgMar w:left="1440" w:top="274"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10400 Fernwood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Bethesda, MD 20817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 32821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Mary Finnell</w:t>
      </w:r>
    </w:p>
    <w:p>
      <w:pPr>
        <w:spacing w:after="0" w:line="238" w:lineRule="exact"/>
        <w:rPr>
          <w:sz w:val="20"/>
          <w:szCs w:val="20"/>
          <w:color w:val="auto"/>
        </w:rPr>
      </w:pPr>
    </w:p>
    <w:p>
      <w:pPr>
        <w:ind w:left="460" w:right="120" w:hanging="459"/>
        <w:spacing w:after="0" w:line="264" w:lineRule="auto"/>
        <w:tabs>
          <w:tab w:leader="none" w:pos="440" w:val="left"/>
        </w:tabs>
        <w:rPr>
          <w:sz w:val="20"/>
          <w:szCs w:val="20"/>
          <w:color w:val="auto"/>
        </w:rPr>
      </w:pPr>
      <w:r>
        <w:rPr>
          <w:rFonts w:ascii="Arial" w:cs="Arial" w:eastAsia="Arial" w:hAnsi="Arial"/>
          <w:sz w:val="18"/>
          <w:szCs w:val="18"/>
          <w:color w:val="auto"/>
        </w:rPr>
        <w:t>Re:</w:t>
        <w:tab/>
        <w:t>Letter Agreement Supplement to Section 16.2(B)(4) of the License, Services and Development Agreement effective November 19, 2011 (“License Agreement”) by and among Marriott Worldwide Corporation and Marriott International, Inc. (together “Licensor”), and Marriott Vacations Worldwide Corporation (“Licensee”)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Dear Mary:</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purpose of this letter (“Letter Agreement”) is to document and formalize a supplement to the terms of Section 16.2(B)(4) of the License Agreement and to memorialize the terms of our agreement regarding delivery of the insurance certificates required under the License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License Agreement, Licensor and Licensee agree as follows: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Notwithstanding the terms and conditions of Section 16.2(B)(4) of the License Agreement, renewal certificates of insurance (or certified copies of such insurance policy if requested by Licensor in a particular jurisdiction) will be sent (including by electronic transmission) to Licensor on or before the inception date of the general liability and umbrella or excess liability policies and not less than ten (10) days after the inception date of the property insurance policies.</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Marriott Vacations Worldwide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are in agreement with the terms and conditions of the understanding reflected in this correspondence, kindly evidence your agreement by having an authorized officer of Licensee execute below and deliver a scanned copy to “</w:t>
      </w:r>
      <w:r>
        <w:rPr>
          <w:rFonts w:ascii="Arial" w:cs="Arial" w:eastAsia="Arial" w:hAnsi="Arial"/>
          <w:sz w:val="18"/>
          <w:szCs w:val="18"/>
          <w:u w:val="single" w:color="auto"/>
          <w:color w:val="auto"/>
        </w:rPr>
        <w:t>nermine.demopoulos@marriott.com</w:t>
      </w:r>
      <w:r>
        <w:rPr>
          <w:rFonts w:ascii="Arial" w:cs="Arial" w:eastAsia="Arial" w:hAnsi="Arial"/>
          <w:sz w:val="18"/>
          <w:szCs w:val="18"/>
          <w:color w:val="auto"/>
        </w:rPr>
        <w: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Marriott International,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John Kamnikar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John Kamnikar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Marriott Worldwide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Hector Mastrapa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Hector Mastrapa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VP, Insurance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Joined in and Consented to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Joseph J. Bramuchi</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11100"/>
          </w:cols>
          <w:pgMar w:left="240" w:top="274" w:right="5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460" w:right="10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17, 2016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21,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54" w:lineRule="exact"/>
        <w:rPr>
          <w:sz w:val="20"/>
          <w:szCs w:val="20"/>
          <w:color w:val="auto"/>
        </w:rPr>
      </w:pPr>
    </w:p>
    <w:p>
      <w:pPr>
        <w:ind w:left="460" w:right="10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17, 2016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21,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2"/>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lowerRoman"/>
      <w:start w:val="2"/>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7"/>
    </w:lvl>
  </w:abstractNum>
  <w:abstractNum w:abstractNumId="43">
    <w:nsid w:val="32FFF902"/>
    <w:multiLevelType w:val="hybridMultilevel"/>
    <w:lvl w:ilvl="0">
      <w:lvlJc w:val="left"/>
      <w:lvlText w:val="(%1)"/>
      <w:numFmt w:val="lowerLetter"/>
      <w:start w:val="24"/>
    </w:lvl>
  </w:abstractNum>
  <w:abstractNum w:abstractNumId="44">
    <w:nsid w:val="684A481A"/>
    <w:multiLevelType w:val="hybridMultilevel"/>
    <w:lvl w:ilvl="0">
      <w:lvlJc w:val="left"/>
      <w:lvlText w:val="(%1)"/>
      <w:numFmt w:val="lowerRoman"/>
      <w:start w:val="10"/>
    </w:lvl>
  </w:abstractNum>
  <w:abstractNum w:abstractNumId="45">
    <w:nsid w:val="579478FE"/>
    <w:multiLevelType w:val="hybridMultilevel"/>
    <w:lvl w:ilvl="0">
      <w:lvlJc w:val="left"/>
      <w:lvlText w:val="(%1)"/>
      <w:numFmt w:val="lowerLetter"/>
      <w:start w:val="3"/>
    </w:lvl>
  </w:abstractNum>
  <w:abstractNum w:abstractNumId="46">
    <w:nsid w:val="749ABB43"/>
    <w:multiLevelType w:val="hybridMultilevel"/>
    <w:lvl w:ilvl="0">
      <w:lvlJc w:val="left"/>
      <w:lvlText w:val="(%1)"/>
      <w:numFmt w:val="lowerLetter"/>
      <w:start w:val="35"/>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2"/>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2019-12-29T11:46:14Z</dcterms:created>
  <dcterms:modified xsi:type="dcterms:W3CDTF">2019-12-29T11:46:14Z</dcterms:modified>
</cp:coreProperties>
</file>