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19, 2015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2"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Marriott Vacations Worldwide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0" w:lineRule="exact"/>
        <w:rPr>
          <w:sz w:val="24"/>
          <w:szCs w:val="24"/>
          <w:color w:val="auto"/>
        </w:rPr>
      </w:pPr>
    </w:p>
    <w:tbl>
      <w:tblPr>
        <w:tblLayout w:type="fixed"/>
        <w:tblInd w:w="1700" w:type="dxa"/>
        <w:tblCellMar>
          <w:top w:w="0" w:type="dxa"/>
          <w:left w:w="0" w:type="dxa"/>
          <w:bottom w:w="0" w:type="dxa"/>
          <w:right w:w="0" w:type="dxa"/>
        </w:tblCellMar>
      </w:tblPr>
      <w:tr>
        <w:trPr>
          <w:trHeight w:val="214"/>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40" w:type="dxa"/>
            <w:vAlign w:val="bottom"/>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45-2598330</w:t>
            </w:r>
          </w:p>
        </w:tc>
      </w:tr>
      <w:tr>
        <w:trPr>
          <w:trHeight w:val="149"/>
        </w:trPr>
        <w:tc>
          <w:tcPr>
            <w:tcW w:w="2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40" w:type="dxa"/>
            <w:vAlign w:val="bottom"/>
          </w:tcPr>
          <w:p>
            <w:pPr>
              <w:jc w:val="center"/>
              <w:ind w:left="39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40" w:type="dxa"/>
            <w:vAlign w:val="bottom"/>
          </w:tcPr>
          <w:p>
            <w:pPr>
              <w:jc w:val="center"/>
              <w:ind w:left="39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6649 Westwood Blvd.</w:t>
            </w:r>
          </w:p>
        </w:tc>
        <w:tc>
          <w:tcPr>
            <w:tcW w:w="5140" w:type="dxa"/>
            <w:vAlign w:val="bottom"/>
          </w:tcPr>
          <w:p>
            <w:pPr>
              <w:spacing w:after="0"/>
              <w:rPr>
                <w:sz w:val="24"/>
                <w:szCs w:val="24"/>
                <w:color w:val="auto"/>
              </w:rPr>
            </w:pPr>
          </w:p>
        </w:tc>
      </w:tr>
      <w:tr>
        <w:trPr>
          <w:trHeight w:val="227"/>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Orlando, FL</w:t>
            </w:r>
          </w:p>
        </w:tc>
        <w:tc>
          <w:tcPr>
            <w:tcW w:w="514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32821</w:t>
            </w:r>
          </w:p>
        </w:tc>
      </w:tr>
      <w:tr>
        <w:trPr>
          <w:trHeight w:val="190"/>
        </w:trPr>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40" w:type="dxa"/>
            <w:vAlign w:val="bottom"/>
          </w:tcPr>
          <w:p>
            <w:pPr>
              <w:jc w:val="center"/>
              <w:ind w:left="39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2"/>
        </w:trPr>
        <w:tc>
          <w:tcPr>
            <w:tcW w:w="2380" w:type="dxa"/>
            <w:vAlign w:val="bottom"/>
          </w:tcPr>
          <w:p>
            <w:pPr>
              <w:spacing w:after="0"/>
              <w:rPr>
                <w:sz w:val="24"/>
                <w:szCs w:val="24"/>
                <w:color w:val="auto"/>
              </w:rPr>
            </w:pPr>
          </w:p>
        </w:tc>
        <w:tc>
          <w:tcPr>
            <w:tcW w:w="5140" w:type="dxa"/>
            <w:vAlign w:val="bottom"/>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(407) 206-6000</w:t>
            </w:r>
          </w:p>
        </w:tc>
      </w:tr>
      <w:tr>
        <w:trPr>
          <w:trHeight w:val="190"/>
        </w:trPr>
        <w:tc>
          <w:tcPr>
            <w:tcW w:w="2380" w:type="dxa"/>
            <w:vAlign w:val="bottom"/>
          </w:tcPr>
          <w:p>
            <w:pPr>
              <w:spacing w:after="0"/>
              <w:rPr>
                <w:sz w:val="16"/>
                <w:szCs w:val="16"/>
                <w:color w:val="auto"/>
              </w:rPr>
            </w:pPr>
          </w:p>
        </w:tc>
        <w:tc>
          <w:tcPr>
            <w:tcW w:w="5140" w:type="dxa"/>
            <w:vAlign w:val="bottom"/>
          </w:tcPr>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365"/>
        </w:trPr>
        <w:tc>
          <w:tcPr>
            <w:tcW w:w="7520" w:type="dxa"/>
            <w:vAlign w:val="bottom"/>
            <w:gridSpan w:val="2"/>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143510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9" w:lineRule="exact"/>
        <w:rPr>
          <w:sz w:val="24"/>
          <w:szCs w:val="24"/>
          <w:color w:val="auto"/>
        </w:rPr>
      </w:pPr>
    </w:p>
    <w:p>
      <w:pPr>
        <w:ind w:right="2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26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smaller reporting company. See definition of “large accelerated filer,” “accelerated filer” and “smaller reporting company” in Rule 12b-2 of the Exchange Act:</w:t>
      </w:r>
    </w:p>
    <w:p>
      <w:pPr>
        <w:sectPr>
          <w:pgSz w:w="11900" w:h="16838" w:orient="portrait"/>
          <w:cols w:equalWidth="0" w:num="1">
            <w:col w:w="11420"/>
          </w:cols>
          <w:pgMar w:left="240" w:top="226" w:right="239" w:bottom="1440" w:gutter="0" w:footer="0" w:header="0"/>
        </w:sectPr>
      </w:pP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20" w:space="300"/>
            <w:col w:w="6220" w:space="720"/>
            <w:col w:w="1680" w:space="720"/>
            <w:col w:w="160"/>
          </w:cols>
          <w:pgMar w:left="240" w:top="226" w:right="23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1540" w:space="380"/>
            <w:col w:w="160" w:space="100"/>
            <w:col w:w="5960" w:space="720"/>
            <w:col w:w="1980" w:space="420"/>
            <w:col w:w="160"/>
          </w:cols>
          <w:pgMar w:left="240" w:top="226" w:right="239" w:bottom="1440" w:gutter="0" w:footer="0" w:header="0"/>
          <w:type w:val="continuous"/>
        </w:sectPr>
      </w:pPr>
    </w:p>
    <w:p>
      <w:pPr>
        <w:spacing w:after="0" w:line="2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28" w:lineRule="exact"/>
        <w:rPr>
          <w:sz w:val="24"/>
          <w:szCs w:val="24"/>
          <w:color w:val="auto"/>
        </w:rPr>
      </w:pPr>
    </w:p>
    <w:p>
      <w:pPr>
        <w:sectPr>
          <w:pgSz w:w="11900" w:h="16838" w:orient="portrait"/>
          <w:cols w:equalWidth="0" w:num="4">
            <w:col w:w="8640" w:space="160"/>
            <w:col w:w="260" w:space="100"/>
            <w:col w:w="160" w:space="180"/>
            <w:col w:w="1920"/>
          </w:cols>
          <w:pgMar w:left="240" w:top="226" w:right="239" w:bottom="1440" w:gutter="0" w:footer="0" w:header="0"/>
          <w:type w:val="continuous"/>
        </w:sectPr>
      </w:pPr>
    </w:p>
    <w:p>
      <w:pPr>
        <w:spacing w:after="0" w:line="2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The number of shares outstanding of the issuer’s common stock, par value $0.01 per share, as of July 17, 2015 was 31,483,443.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00" w:type="dxa"/>
            <w:vAlign w:val="bottom"/>
            <w:gridSpan w:val="20"/>
            <w:vMerge w:val="restart"/>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FINANCIAL INFORMATION (UNAUDITED)</w:t>
              </w:r>
            </w:hyperlink>
          </w:p>
        </w:tc>
        <w:tc>
          <w:tcPr>
            <w:tcW w:w="7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00" w:type="dxa"/>
            <w:vAlign w:val="bottom"/>
            <w:vMerge w:val="continue"/>
          </w:tcPr>
          <w:p>
            <w:pPr>
              <w:spacing w:after="0"/>
              <w:rPr>
                <w:sz w:val="14"/>
                <w:szCs w:val="14"/>
                <w:color w:val="auto"/>
              </w:rPr>
            </w:pPr>
          </w:p>
        </w:tc>
        <w:tc>
          <w:tcPr>
            <w:tcW w:w="9700" w:type="dxa"/>
            <w:vAlign w:val="bottom"/>
            <w:gridSpan w:val="20"/>
            <w:vMerge w:val="continue"/>
          </w:tcPr>
          <w:p>
            <w:pPr>
              <w:spacing w:after="0"/>
              <w:rPr>
                <w:sz w:val="14"/>
                <w:szCs w:val="14"/>
                <w:color w:val="auto"/>
              </w:rPr>
            </w:pPr>
          </w:p>
        </w:tc>
        <w:tc>
          <w:tcPr>
            <w:tcW w:w="72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Financial Statements</w:t>
              </w:r>
            </w:hyperlink>
          </w:p>
        </w:tc>
        <w:tc>
          <w:tcPr>
            <w:tcW w:w="2140" w:type="dxa"/>
            <w:vAlign w:val="bottom"/>
            <w:tcBorders>
              <w:top w:val="single" w:sz="8" w:color="0000EE"/>
            </w:tcBorders>
            <w:gridSpan w:val="8"/>
          </w:tcPr>
          <w:p>
            <w:pPr>
              <w:spacing w:after="0"/>
              <w:rPr>
                <w:sz w:val="17"/>
                <w:szCs w:val="17"/>
                <w:color w:val="auto"/>
              </w:rPr>
            </w:pPr>
          </w:p>
        </w:tc>
        <w:tc>
          <w:tcPr>
            <w:tcW w:w="6060" w:type="dxa"/>
            <w:vAlign w:val="bottom"/>
            <w:gridSpan w:val="6"/>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1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Interim Consolidated Statements of Income</w:t>
              </w:r>
            </w:hyperlink>
          </w:p>
        </w:tc>
        <w:tc>
          <w:tcPr>
            <w:tcW w:w="6560" w:type="dxa"/>
            <w:vAlign w:val="bottom"/>
            <w:gridSpan w:val="8"/>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700" w:type="dxa"/>
            <w:vAlign w:val="bottom"/>
            <w:gridSpan w:val="20"/>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Interim Consolidated Statements of Comprehensive Income</w:t>
              </w:r>
            </w:hyperlink>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Interim Consolidated Balance Sheets</w:t>
              </w:r>
            </w:hyperlink>
          </w:p>
        </w:tc>
        <w:tc>
          <w:tcPr>
            <w:tcW w:w="1640" w:type="dxa"/>
            <w:vAlign w:val="bottom"/>
            <w:tcBorders>
              <w:top w:val="single" w:sz="8" w:color="0000EE"/>
            </w:tcBorders>
            <w:gridSpan w:val="5"/>
          </w:tcPr>
          <w:p>
            <w:pPr>
              <w:spacing w:after="0"/>
              <w:rPr>
                <w:sz w:val="17"/>
                <w:szCs w:val="17"/>
                <w:color w:val="auto"/>
              </w:rPr>
            </w:pPr>
          </w:p>
        </w:tc>
        <w:tc>
          <w:tcPr>
            <w:tcW w:w="5400" w:type="dxa"/>
            <w:vAlign w:val="bottom"/>
            <w:gridSpan w:val="4"/>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4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Interim Consolidated Statements of Cash Flows</w:t>
              </w:r>
            </w:hyperlink>
          </w:p>
        </w:tc>
        <w:tc>
          <w:tcPr>
            <w:tcW w:w="6260" w:type="dxa"/>
            <w:vAlign w:val="bottom"/>
            <w:gridSpan w:val="7"/>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7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Interim Consolidated Financial Statements</w:t>
              </w:r>
            </w:hyperlink>
          </w:p>
        </w:tc>
        <w:tc>
          <w:tcPr>
            <w:tcW w:w="5980" w:type="dxa"/>
            <w:vAlign w:val="bottom"/>
            <w:gridSpan w:val="5"/>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24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Quantitative and Qualitative Disclosures About Market Risk</w:t>
              </w:r>
            </w:hyperlink>
          </w:p>
        </w:tc>
        <w:tc>
          <w:tcPr>
            <w:tcW w:w="5340" w:type="dxa"/>
            <w:vAlign w:val="bottom"/>
            <w:gridSpan w:val="2"/>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Controls and Procedures</w:t>
              </w:r>
            </w:hyperlink>
          </w:p>
        </w:tc>
        <w:tc>
          <w:tcPr>
            <w:tcW w:w="7920" w:type="dxa"/>
            <w:vAlign w:val="bottom"/>
            <w:gridSpan w:val="12"/>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20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b w:val="1"/>
                <w:bCs w:val="1"/>
                <w:color w:val="0000EE"/>
                <w:w w:val="98"/>
              </w:rPr>
            </w:pPr>
            <w:hyperlink w:anchor="page59">
              <w:r>
                <w:rPr>
                  <w:rFonts w:ascii="Times New Roman" w:cs="Times New Roman" w:eastAsia="Times New Roman" w:hAnsi="Times New Roman"/>
                  <w:sz w:val="18"/>
                  <w:szCs w:val="18"/>
                  <w:b w:val="1"/>
                  <w:bCs w:val="1"/>
                  <w:color w:val="0000EE"/>
                  <w:w w:val="98"/>
                </w:rPr>
                <w:t>OTHER INFORMATION</w:t>
              </w:r>
            </w:hyperlink>
          </w:p>
        </w:tc>
        <w:tc>
          <w:tcPr>
            <w:tcW w:w="7680" w:type="dxa"/>
            <w:vAlign w:val="bottom"/>
            <w:gridSpan w:val="11"/>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700" w:type="dxa"/>
            <w:vAlign w:val="bottom"/>
            <w:gridSpan w:val="20"/>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Legal Proceedings</w:t>
              </w:r>
            </w:hyperlink>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59">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3"/>
          </w:tcPr>
          <w:p>
            <w:pPr>
              <w:spacing w:after="0"/>
              <w:rPr>
                <w:sz w:val="17"/>
                <w:szCs w:val="17"/>
                <w:color w:val="auto"/>
              </w:rPr>
            </w:pPr>
          </w:p>
        </w:tc>
        <w:tc>
          <w:tcPr>
            <w:tcW w:w="8380" w:type="dxa"/>
            <w:vAlign w:val="bottom"/>
            <w:gridSpan w:val="15"/>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20"/>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Unregistered Sales of Equity Securities and Use of Proceeds</w:t>
              </w:r>
            </w:hyperlink>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60">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gridSpan w:val="7"/>
          </w:tcPr>
          <w:p>
            <w:pPr>
              <w:spacing w:after="0"/>
              <w:rPr>
                <w:sz w:val="17"/>
                <w:szCs w:val="17"/>
                <w:color w:val="auto"/>
              </w:rPr>
            </w:pPr>
          </w:p>
        </w:tc>
        <w:tc>
          <w:tcPr>
            <w:tcW w:w="5360" w:type="dxa"/>
            <w:vAlign w:val="bottom"/>
            <w:gridSpan w:val="3"/>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20"/>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Mine Safety Disclosures</w:t>
              </w:r>
            </w:hyperlink>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Other Information</w:t>
              </w:r>
            </w:hyperlink>
          </w:p>
        </w:tc>
        <w:tc>
          <w:tcPr>
            <w:tcW w:w="7940" w:type="dxa"/>
            <w:vAlign w:val="bottom"/>
            <w:gridSpan w:val="13"/>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60">
              <w:r>
                <w:rPr>
                  <w:rFonts w:ascii="Times New Roman" w:cs="Times New Roman" w:eastAsia="Times New Roman" w:hAnsi="Times New Roman"/>
                  <w:sz w:val="18"/>
                  <w:szCs w:val="18"/>
                  <w:color w:val="0000EE"/>
                  <w:w w:val="96"/>
                </w:rPr>
                <w:t>Exhibits</w:t>
              </w:r>
            </w:hyperlink>
          </w:p>
        </w:tc>
        <w:tc>
          <w:tcPr>
            <w:tcW w:w="700" w:type="dxa"/>
            <w:vAlign w:val="bottom"/>
            <w:tcBorders>
              <w:top w:val="single" w:sz="8" w:color="0000EE"/>
            </w:tcBorders>
            <w:gridSpan w:val="3"/>
          </w:tcPr>
          <w:p>
            <w:pPr>
              <w:spacing w:after="0"/>
              <w:rPr>
                <w:sz w:val="17"/>
                <w:szCs w:val="17"/>
                <w:color w:val="auto"/>
              </w:rPr>
            </w:pPr>
          </w:p>
        </w:tc>
        <w:tc>
          <w:tcPr>
            <w:tcW w:w="8400" w:type="dxa"/>
            <w:vAlign w:val="bottom"/>
            <w:gridSpan w:val="16"/>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61">
              <w:r>
                <w:rPr>
                  <w:rFonts w:ascii="Times New Roman" w:cs="Times New Roman" w:eastAsia="Times New Roman" w:hAnsi="Times New Roman"/>
                  <w:sz w:val="18"/>
                  <w:szCs w:val="18"/>
                  <w:color w:val="0000EE"/>
                  <w:w w:val="96"/>
                </w:rPr>
                <w:t>SIGNATURES</w:t>
              </w:r>
            </w:hyperlink>
          </w:p>
        </w:tc>
        <w:tc>
          <w:tcPr>
            <w:tcW w:w="8600" w:type="dxa"/>
            <w:vAlign w:val="bottom"/>
            <w:gridSpan w:val="17"/>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155,370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152,562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339,276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297,412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74,063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74,821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138,480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138,367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Financing</w:t>
            </w: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28,294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29,817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57,346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60,457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Rental</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72,642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61,827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148,841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125,352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reimbursements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92,458</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90,875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193,764</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190,261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422,827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409,902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877,707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811,849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45,119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43,414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110,081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90,285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Marketing and sales</w:t>
            </w: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77,137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72,227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157,132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143,447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45,480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48,308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87,889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93,204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Financing</w:t>
            </w: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6,085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5,438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10,990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Rental</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61,835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54,991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121,993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111,781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22,892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23,153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45,669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44,981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Litigation settlement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(7,575)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Organizational and separation related</w:t>
            </w: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1,089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Consumer financing interest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5,248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5,737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11,269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Royalty fee</w:t>
            </w: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13,431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13,653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26,431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27,081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reimbursements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92,458</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90,875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193,764</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190,261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369,812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352,144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765,275</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719,143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Gains and other income</w:t>
            </w:r>
          </w:p>
        </w:tc>
        <w:tc>
          <w:tcPr>
            <w:tcW w:w="180" w:type="dxa"/>
            <w:vAlign w:val="bottom"/>
          </w:tcPr>
          <w:p>
            <w:pPr>
              <w:spacing w:after="0"/>
              <w:rPr>
                <w:sz w:val="24"/>
                <w:szCs w:val="24"/>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8,625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409</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9,512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(3,009)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(2,601)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(5,983)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in earnings</w:t>
            </w: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reversals on equity investment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(1,272)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(1,272)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7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57,444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57,647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114,787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89,718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(23,403)</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(22,344)</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(46,692)</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34,041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35,303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68,095</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54,611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computing basic earnings per share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31,858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34,292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32,078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computing diluted earnings per share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32,517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35,239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32,760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per share of common stock</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0.25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0.50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Interim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34,041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35,303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68,095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54,611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3,245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(2,357)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 instrument adjustments</w:t>
            </w:r>
          </w:p>
        </w:tc>
        <w:tc>
          <w:tcPr>
            <w:tcW w:w="18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7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3,304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(2,298)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37,345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35,217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65,797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54,531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the Interim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 2015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June 19, 2015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250,906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346,515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(including $37,017 and $34,986 from VIEs, respectively)</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65,559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109,907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Accounts and contracts receivable, net (including $3,429 and $4,992 from VIEs, respectively)</w:t>
            </w:r>
          </w:p>
        </w:tc>
        <w:tc>
          <w:tcPr>
            <w:tcW w:w="18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116,544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109,700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 ownership notes receivable, net (including $547,158 and $750,680 from VIEs, respectively)</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878,858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917,228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704,707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772,784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188,714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147,379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117,924</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127,066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2,323,212</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2,530,579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5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80,450</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114,079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Advance deposits</w:t>
            </w:r>
          </w:p>
        </w:tc>
        <w:tc>
          <w:tcPr>
            <w:tcW w:w="18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64,148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60,192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 (including $1,576 and $1,088 from VIEs, respectively)</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137,261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165,969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32,845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38,818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benefits liability</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74,582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93,073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Liability for Marriott Rewards customer loyalty program</w:t>
            </w:r>
          </w:p>
        </w:tc>
        <w:tc>
          <w:tcPr>
            <w:tcW w:w="18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79,939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89,285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46,534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41,677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Mandatorily redeemable preferred stock of consolidated subsidiary, net</w:t>
            </w:r>
          </w:p>
        </w:tc>
        <w:tc>
          <w:tcPr>
            <w:tcW w:w="18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38,895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38,816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net (including $564,657 and $708,031 from VIEs, respectively)</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561,133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703,013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50,053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27,071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96,748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78,883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1,262,588</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1,450,876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Contingencies and Commitments (Note 8)</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 $0.01 par value; 2,000,000 shares authorized; none issued or outstanding</w:t>
            </w:r>
          </w:p>
        </w:tc>
        <w:tc>
          <w:tcPr>
            <w:tcW w:w="180" w:type="dxa"/>
            <w:vAlign w:val="bottom"/>
          </w:tcPr>
          <w:p>
            <w:pPr>
              <w:spacing w:after="0"/>
              <w:rPr>
                <w:sz w:val="24"/>
                <w:szCs w:val="24"/>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$0.01 par value; 100,000,000 shares authorized; 36,346,990 and 36,089,513 shares issued,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 at cost; 4,814,451 and 3,996,725 shares, respectively</w:t>
            </w:r>
          </w:p>
        </w:tc>
        <w:tc>
          <w:tcPr>
            <w:tcW w:w="1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(295,466)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(229,229)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1,135,143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1,137,785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14,756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17,054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205,828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153,732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1,060,624</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1,079,703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2,323,212</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2,530,579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abbreviation VIEs above means Variable Interest Entities.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Interim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CASH FLOWS</w:t>
      </w:r>
    </w:p>
    <w:p>
      <w:pPr>
        <w:jc w:val="center"/>
        <w:spacing w:after="0" w:line="225" w:lineRule="auto"/>
        <w:rPr>
          <w:sz w:val="20"/>
          <w:szCs w:val="20"/>
          <w:color w:val="auto"/>
        </w:rPr>
      </w:pPr>
      <w:r>
        <w:rPr>
          <w:rFonts w:ascii="Times New Roman" w:cs="Times New Roman" w:eastAsia="Times New Roman" w:hAnsi="Times New Roman"/>
          <w:sz w:val="14"/>
          <w:szCs w:val="14"/>
          <w:color w:val="auto"/>
        </w:rPr>
        <w:t>(In thousands)</w:t>
      </w:r>
    </w:p>
    <w:p>
      <w:pPr>
        <w:jc w:val="center"/>
        <w:spacing w:after="0" w:line="221" w:lineRule="auto"/>
        <w:rPr>
          <w:sz w:val="20"/>
          <w:szCs w:val="20"/>
          <w:color w:val="auto"/>
        </w:rPr>
      </w:pPr>
      <w:r>
        <w:rPr>
          <w:rFonts w:ascii="Times New Roman" w:cs="Times New Roman" w:eastAsia="Times New Roman" w:hAnsi="Times New Roman"/>
          <w:sz w:val="14"/>
          <w:szCs w:val="14"/>
          <w:color w:val="auto"/>
        </w:rPr>
        <w:t>(Unaudited)</w:t>
      </w: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8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60" w:type="dxa"/>
            <w:vAlign w:val="bottom"/>
            <w:gridSpan w:val="5"/>
          </w:tcPr>
          <w:p>
            <w:pPr>
              <w:ind w:left="340"/>
              <w:spacing w:after="0" w:line="156" w:lineRule="exact"/>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OPERATING ACTIVITIES</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68,095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Equity method income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Gain on disposal of property and equipment, net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Non-cash litigation settlement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Impairment charges</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change in assets and liabilities: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Accounts and contracts receivable</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Notes receivable originations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(112,060)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(103,908)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Notes receivable collections</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132,397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68,629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Purchase of operating hotel for future conversion to inventory</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(46,614)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Accounts payable, advance deposits and accrued liabilities</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(66,223)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Payroll and benefit liabilities</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Liability for Marriott Rewards customer loyalty program</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Deferred compensation liability</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78,665</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98,162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8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Capital expenditures for property and equipment (excluding inventory)</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Decrease in restricted cash</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Dispositions, net</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20,346</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33,169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6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48,386</w:t>
            </w:r>
          </w:p>
        </w:tc>
        <w:tc>
          <w:tcPr>
            <w:tcW w:w="1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74,124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8"/>
        </w:trPr>
        <w:tc>
          <w:tcPr>
            <w:tcW w:w="20" w:type="dxa"/>
            <w:vAlign w:val="bottom"/>
            <w:vMerge w:val="restart"/>
          </w:tcPr>
          <w:p>
            <w:pPr>
              <w:spacing w:after="0"/>
              <w:rPr>
                <w:sz w:val="6"/>
                <w:szCs w:val="6"/>
                <w:color w:val="auto"/>
              </w:rPr>
            </w:pPr>
          </w:p>
        </w:tc>
        <w:tc>
          <w:tcPr>
            <w:tcW w:w="8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Borrowings from securitization transactions</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Repayment of debt related to securitization transactions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(143,374)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vacation ownership inventory arrangement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Debt issuance costs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(66,237)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 of dividends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 of withholding taxes on vesting of restricted stock units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(221,503)</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(202,027)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Effect of changes in exchange rates on cash and cash equivalents</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DECREASE IN CASH AND CASH EQUIVALENTS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(95,609)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346,515</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250,906</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FINANCING ACTIVITIES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870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Non-cash impact on Additional paid-in capital for changes in Deferred tax liabilities distributed to Marriott Vacations</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Worldwide at Spin-Off</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Non-cash issuance of note receivable</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Dividends payable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80" w:type="dxa"/>
            <w:vAlign w:val="bottom"/>
          </w:tcPr>
          <w:p>
            <w:pPr>
              <w:ind w:left="3960"/>
              <w:spacing w:after="0"/>
              <w:rPr>
                <w:sz w:val="20"/>
                <w:szCs w:val="20"/>
                <w:color w:val="auto"/>
              </w:rPr>
            </w:pPr>
            <w:r>
              <w:rPr>
                <w:rFonts w:ascii="Times New Roman" w:cs="Times New Roman" w:eastAsia="Times New Roman" w:hAnsi="Times New Roman"/>
                <w:sz w:val="14"/>
                <w:szCs w:val="14"/>
                <w:b w:val="1"/>
                <w:bCs w:val="1"/>
                <w:color w:val="auto"/>
              </w:rPr>
              <w:t>See Notes to Interim Consolidated Financial Statements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ectPr>
          <w:pgSz w:w="11900" w:h="16838" w:orient="portrait"/>
          <w:cols w:equalWidth="0" w:num="1">
            <w:col w:w="11420"/>
          </w:cols>
          <w:pgMar w:left="240" w:top="455"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type w:val="continuous"/>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w:t>
      </w:r>
    </w:p>
    <w:p>
      <w:pPr>
        <w:spacing w:after="0" w:line="119"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Marriott Vacations Worldwide Corporation (“Marriott Vacations Worldwide,” “we” or “us,”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(“The Ritz-Carlton Hotel Company”), a subsidiary of Marriott International, Inc. (“Marriott International”), generally provides on-site management for Ritz-Carlton branded properties.</w:t>
      </w:r>
    </w:p>
    <w:p>
      <w:pPr>
        <w:spacing w:after="0" w:line="147" w:lineRule="exact"/>
        <w:rPr>
          <w:sz w:val="20"/>
          <w:szCs w:val="20"/>
          <w:color w:val="auto"/>
        </w:rPr>
      </w:pPr>
    </w:p>
    <w:p>
      <w:pPr>
        <w:ind w:right="240" w:firstLine="913"/>
        <w:spacing w:after="0" w:line="266" w:lineRule="auto"/>
        <w:rPr>
          <w:sz w:val="20"/>
          <w:szCs w:val="20"/>
          <w:color w:val="auto"/>
        </w:rPr>
      </w:pPr>
      <w:r>
        <w:rPr>
          <w:rFonts w:ascii="Times New Roman" w:cs="Times New Roman" w:eastAsia="Times New Roman" w:hAnsi="Times New Roman"/>
          <w:sz w:val="18"/>
          <w:szCs w:val="18"/>
          <w:color w:val="auto"/>
        </w:rPr>
        <w:t>Our business is grouped into three reportable segments: North America, Europe and Asia Pacific. As of June 19, 2015, we operated 59 properties, including one hotel, in the United States and seven other countries and territories. We generate most of our revenues from four primary sources: selling vacation ownership products; managing our resorts; financing consumer purchases; and renting vacation ownership inventory.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Spin-Off from Marriott International, Inc.</w:t>
      </w:r>
    </w:p>
    <w:p>
      <w:pPr>
        <w:spacing w:after="0" w:line="146" w:lineRule="exact"/>
        <w:rPr>
          <w:sz w:val="20"/>
          <w:szCs w:val="20"/>
          <w:color w:val="auto"/>
        </w:rPr>
      </w:pPr>
    </w:p>
    <w:p>
      <w:pPr>
        <w:jc w:val="both"/>
        <w:ind w:right="40" w:firstLine="913"/>
        <w:spacing w:after="0" w:line="313" w:lineRule="auto"/>
        <w:rPr>
          <w:sz w:val="20"/>
          <w:szCs w:val="20"/>
          <w:color w:val="auto"/>
        </w:rPr>
      </w:pPr>
      <w:r>
        <w:rPr>
          <w:rFonts w:ascii="Times New Roman" w:cs="Times New Roman" w:eastAsia="Times New Roman" w:hAnsi="Times New Roman"/>
          <w:sz w:val="17"/>
          <w:szCs w:val="17"/>
          <w:color w:val="auto"/>
        </w:rPr>
        <w:t>On November 21, 2011, the spin-off of Marriott Vacations Worldwide from Marriott International (the “Spin-Off”) was completed. In connection with the Spin-Off, we entered into several agreements that govern the ongoing relationship between Marriott Vacations Worldwide and Marriott International.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 and Basis of Presentation</w:t>
      </w:r>
    </w:p>
    <w:p>
      <w:pPr>
        <w:spacing w:after="0" w:line="119" w:lineRule="exact"/>
        <w:rPr>
          <w:sz w:val="20"/>
          <w:szCs w:val="20"/>
          <w:color w:val="auto"/>
        </w:rPr>
      </w:pPr>
    </w:p>
    <w:p>
      <w:pPr>
        <w:ind w:right="240" w:firstLine="913"/>
        <w:spacing w:after="0" w:line="256" w:lineRule="auto"/>
        <w:rPr>
          <w:sz w:val="20"/>
          <w:szCs w:val="20"/>
          <w:color w:val="auto"/>
        </w:rPr>
      </w:pPr>
      <w:r>
        <w:rPr>
          <w:rFonts w:ascii="Times New Roman" w:cs="Times New Roman" w:eastAsia="Times New Roman" w:hAnsi="Times New Roman"/>
          <w:sz w:val="18"/>
          <w:szCs w:val="18"/>
          <w:color w:val="auto"/>
        </w:rPr>
        <w:t>The interim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 Intercompany accounts and transactions between consolidated companies have been eliminated in consolidation. The interim consolidated financial statements reflect our financial position, results of operations and cash flows as prepared in conformity with United States Generally Accepted Accounting Principles (“GAAP”).</w:t>
      </w:r>
    </w:p>
    <w:p>
      <w:pPr>
        <w:spacing w:after="0" w:line="147" w:lineRule="exact"/>
        <w:rPr>
          <w:sz w:val="20"/>
          <w:szCs w:val="20"/>
          <w:color w:val="auto"/>
        </w:rPr>
      </w:pPr>
    </w:p>
    <w:p>
      <w:pPr>
        <w:ind w:right="680" w:firstLine="913"/>
        <w:spacing w:after="0" w:line="261" w:lineRule="auto"/>
        <w:rPr>
          <w:sz w:val="20"/>
          <w:szCs w:val="20"/>
          <w:color w:val="auto"/>
        </w:rPr>
      </w:pPr>
      <w:r>
        <w:rPr>
          <w:rFonts w:ascii="Times New Roman" w:cs="Times New Roman" w:eastAsia="Times New Roman" w:hAnsi="Times New Roman"/>
          <w:sz w:val="18"/>
          <w:szCs w:val="18"/>
          <w:color w:val="auto"/>
        </w:rPr>
        <w:t>In order to make this report easier to read, we refer throughout to (i) our Interim Consolidated Financial Statements as our “Financial Statements,” (ii) our Interim Consolidated Statements of Income as our “Statements of Income,” (iii) our Interim Consolidated Balance Sheets as our “Balance Sheets,” and (iv) our Interim Consolidated Statements of Cash Flows as our “Cash Flows.” In addition, references throughout to numbered “Footnotes” refer to the numbered Notes in these Notes to Interim Consolidated Financial Statements, unless otherwise noted.</w:t>
      </w:r>
    </w:p>
    <w:p>
      <w:pPr>
        <w:spacing w:after="0" w:line="153" w:lineRule="exact"/>
        <w:rPr>
          <w:sz w:val="20"/>
          <w:szCs w:val="20"/>
          <w:color w:val="auto"/>
        </w:rPr>
      </w:pPr>
    </w:p>
    <w:p>
      <w:pPr>
        <w:ind w:right="80" w:firstLine="913"/>
        <w:spacing w:after="0" w:line="282" w:lineRule="auto"/>
        <w:rPr>
          <w:sz w:val="20"/>
          <w:szCs w:val="20"/>
          <w:color w:val="auto"/>
        </w:rPr>
      </w:pPr>
      <w:r>
        <w:rPr>
          <w:rFonts w:ascii="Times New Roman" w:cs="Times New Roman" w:eastAsia="Times New Roman" w:hAnsi="Times New Roman"/>
          <w:sz w:val="18"/>
          <w:szCs w:val="18"/>
          <w:color w:val="auto"/>
        </w:rPr>
        <w:t>Unless otherwise specified, each reference to a particular quarter in these Financial Statements means the twelve weeks ended on the date shown in the following table, rather than the corresponding calendar quarter:</w:t>
      </w:r>
    </w:p>
    <w:p>
      <w:pPr>
        <w:spacing w:after="0" w:line="236"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3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Quarter-End Date</w:t>
            </w:r>
          </w:p>
        </w:tc>
      </w:tr>
      <w:tr>
        <w:trPr>
          <w:trHeight w:val="191"/>
        </w:trPr>
        <w:tc>
          <w:tcPr>
            <w:tcW w:w="3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2015 Second Quarter</w:t>
            </w:r>
          </w:p>
        </w:tc>
        <w:tc>
          <w:tcPr>
            <w:tcW w:w="60" w:type="dxa"/>
            <w:vAlign w:val="bottom"/>
          </w:tcPr>
          <w:p>
            <w:pPr>
              <w:spacing w:after="0"/>
              <w:rPr>
                <w:sz w:val="16"/>
                <w:szCs w:val="16"/>
                <w:color w:val="auto"/>
              </w:rPr>
            </w:pPr>
          </w:p>
        </w:tc>
        <w:tc>
          <w:tcPr>
            <w:tcW w:w="3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June 19, 2015</w:t>
            </w:r>
          </w:p>
        </w:tc>
      </w:tr>
      <w:tr>
        <w:trPr>
          <w:trHeight w:val="216"/>
        </w:trPr>
        <w:tc>
          <w:tcPr>
            <w:tcW w:w="3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2015 First Quarter</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2015</w:t>
            </w:r>
          </w:p>
        </w:tc>
      </w:tr>
      <w:tr>
        <w:trPr>
          <w:trHeight w:val="216"/>
        </w:trPr>
        <w:tc>
          <w:tcPr>
            <w:tcW w:w="3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2014 Second Quarter</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2014</w:t>
            </w:r>
          </w:p>
        </w:tc>
      </w:tr>
      <w:tr>
        <w:trPr>
          <w:trHeight w:val="234"/>
        </w:trPr>
        <w:tc>
          <w:tcPr>
            <w:tcW w:w="3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2014 First Quarter</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2014</w:t>
            </w:r>
          </w:p>
        </w:tc>
      </w:tr>
    </w:tbl>
    <w:p>
      <w:pPr>
        <w:spacing w:after="0" w:line="225" w:lineRule="exact"/>
        <w:rPr>
          <w:sz w:val="20"/>
          <w:szCs w:val="20"/>
          <w:color w:val="auto"/>
        </w:rPr>
      </w:pPr>
    </w:p>
    <w:p>
      <w:pPr>
        <w:jc w:val="both"/>
        <w:ind w:right="240" w:firstLine="913"/>
        <w:spacing w:after="0" w:line="266" w:lineRule="auto"/>
        <w:rPr>
          <w:sz w:val="20"/>
          <w:szCs w:val="20"/>
          <w:color w:val="auto"/>
        </w:rPr>
      </w:pPr>
      <w:r>
        <w:rPr>
          <w:rFonts w:ascii="Times New Roman" w:cs="Times New Roman" w:eastAsia="Times New Roman" w:hAnsi="Times New Roman"/>
          <w:sz w:val="18"/>
          <w:szCs w:val="18"/>
          <w:color w:val="auto"/>
        </w:rPr>
        <w:t>In our opinion, our Financial Statements reflect all normal and recurring adjustments necessary to present fairly our financial position and the results of our operations and cash flows for the periods presented. Interim results may not be indicative of fiscal year performance because of, among other reasons, seasonal and short-term variations.</w:t>
      </w:r>
    </w:p>
    <w:p>
      <w:pPr>
        <w:spacing w:after="0" w:line="149"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These Financial Statements have not been audited. Amounts as of January 2, 2015 included in these Financial Statements have been derived from the audited consolidated financial statements as of that date. We have condensed or omitted certain information and footnote disclosures normally included in financial statements presented in accordance with GAAP. Although we believe our footnote disclosures are adequate to make the information presented not misleading, you should read these Financial Statements in conjunction with the consolidated financial statements and notes to those consolidated financial statements included in our Annual Report on Form 10-K for the fiscal year ended January 2, 2015.</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loan loss reserves, Marriott Rewards customer loyalty program liability, self-insured medical plan reserves, equity-based compensation, income taxes and loss contingencies. Accordingly, actual amounts may differ from these estimated amounts.</w:t>
      </w:r>
    </w:p>
    <w:p>
      <w:pPr>
        <w:spacing w:after="0" w:line="15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We have reclassified certain prior year amounts to conform to our current period presentation.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Standards</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Accounting Standards Update No. 2015-02 – “</w:t>
      </w:r>
      <w:r>
        <w:rPr>
          <w:rFonts w:ascii="Times New Roman" w:cs="Times New Roman" w:eastAsia="Times New Roman" w:hAnsi="Times New Roman"/>
          <w:sz w:val="18"/>
          <w:szCs w:val="18"/>
          <w:i w:val="1"/>
          <w:iCs w:val="1"/>
          <w:color w:val="auto"/>
        </w:rPr>
        <w:t>Consolidation (Topic 810): Amendments to the Consolidation Analysis</w:t>
      </w:r>
      <w:r>
        <w:rPr>
          <w:rFonts w:ascii="Times New Roman" w:cs="Times New Roman" w:eastAsia="Times New Roman" w:hAnsi="Times New Roman"/>
          <w:sz w:val="18"/>
          <w:szCs w:val="18"/>
          <w:color w:val="auto"/>
        </w:rPr>
        <w:t>” (“ASU 2015-02”)</w:t>
      </w:r>
    </w:p>
    <w:p>
      <w:pPr>
        <w:spacing w:after="0" w:line="187"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In February 2015, the Financial Accounting Standards Board (“FASB”) issued ASU 2015-02, which amends the guidance for evaluating whether to consolidate certain legal entities. Specifically, ASU 2015-02 modifies the method for determining whether limited partnerships and similar legal entities are variable interest entities (“VIEs”) or voting interest entities. Further, it eliminates the presumption that a general partner should consolidate a limited partnership and impacts the consolidation analysis of reporting entities that are involved with VIEs, particularly those that have fee arrangements and related party relationships. The updated guidance is effective for fiscal years, and interim periods within those fiscal years, beginning after December 15, 2015, with early adoption permitted. Our early adoption of ASU 2015-02 in the first quarter of 2015 did not have a material impact on our Financial Statements.</w:t>
      </w:r>
    </w:p>
    <w:p>
      <w:pPr>
        <w:spacing w:after="0" w:line="159" w:lineRule="exact"/>
        <w:rPr>
          <w:sz w:val="20"/>
          <w:szCs w:val="20"/>
          <w:color w:val="auto"/>
        </w:rPr>
      </w:pPr>
    </w:p>
    <w:p>
      <w:pPr>
        <w:ind w:right="80" w:firstLine="913"/>
        <w:spacing w:after="0" w:line="284" w:lineRule="auto"/>
        <w:rPr>
          <w:sz w:val="20"/>
          <w:szCs w:val="20"/>
          <w:color w:val="auto"/>
        </w:rPr>
      </w:pPr>
      <w:r>
        <w:rPr>
          <w:rFonts w:ascii="Times New Roman" w:cs="Times New Roman" w:eastAsia="Times New Roman" w:hAnsi="Times New Roman"/>
          <w:sz w:val="18"/>
          <w:szCs w:val="18"/>
          <w:color w:val="auto"/>
        </w:rPr>
        <w:t>Accounting Standards Update No. 2015-03 – “</w:t>
      </w:r>
      <w:r>
        <w:rPr>
          <w:rFonts w:ascii="Times New Roman" w:cs="Times New Roman" w:eastAsia="Times New Roman" w:hAnsi="Times New Roman"/>
          <w:sz w:val="18"/>
          <w:szCs w:val="18"/>
          <w:i w:val="1"/>
          <w:iCs w:val="1"/>
          <w:color w:val="auto"/>
        </w:rPr>
        <w:t>Interest – Imputation of Interest (Subtopic 835-30): Simplifying the Presentation of Debt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Costs</w:t>
      </w:r>
      <w:r>
        <w:rPr>
          <w:rFonts w:ascii="Times New Roman" w:cs="Times New Roman" w:eastAsia="Times New Roman" w:hAnsi="Times New Roman"/>
          <w:sz w:val="18"/>
          <w:szCs w:val="18"/>
          <w:color w:val="auto"/>
        </w:rPr>
        <w:t>” (“ASU 2015-03”)</w:t>
      </w:r>
    </w:p>
    <w:p>
      <w:pPr>
        <w:spacing w:after="0" w:line="79"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In April 2015, the FASB issued ASU 2015-03, which requires debt issuance costs related to a debt liability to be presented in the balance sheet as a direct deduction from the carrying amount of the debt liability instead of being presented as an asset. The recognition and measurement guidance for debt issuance costs has not changed. ASU 2015-03 requires retrospective application and represents a change in accounting principle. ASU 2015-03 is effective for fiscal years beginning after December 15, 2015 and early adoption is permitted for financial statements that have not been previously issued. Our early adoption of ASU 2015-03 in the first quarter of 2015 did not have a material impact on our Financial Statements. In June 2015, the staff of the Securities and Exchange Commission (“SEC”) announced that it would not object to an entity always presenting debt issuance costs related to revolving debt arrangements as an asset, regardless of whether a balance was outstanding, while amortizing the costs ratably over the term of the revolving debt arrangement. As a result, we have applied the SEC staff guidance effective for the second quarter of 2015 and presented costs associated with our revolving debt arrangements as an asset. We have applied these changes retrospectively to all periods presented.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Adoption of Accounting Standards</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Accounting Standards Update No. 2014-09 –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(“ASU 2014-09”)</w:t>
      </w:r>
    </w:p>
    <w:p>
      <w:pPr>
        <w:spacing w:after="0" w:line="185" w:lineRule="exact"/>
        <w:rPr>
          <w:sz w:val="20"/>
          <w:szCs w:val="20"/>
          <w:color w:val="auto"/>
        </w:rPr>
      </w:pPr>
    </w:p>
    <w:p>
      <w:pPr>
        <w:ind w:right="80" w:firstLine="913"/>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ASU 2014-09. ASU 2014-09 supersedes the revenue recognition requirements in Topic 605,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Recognition</w:t>
      </w:r>
      <w:r>
        <w:rPr>
          <w:rFonts w:ascii="Times New Roman" w:cs="Times New Roman" w:eastAsia="Times New Roman" w:hAnsi="Times New Roman"/>
          <w:sz w:val="18"/>
          <w:szCs w:val="18"/>
          <w:color w:val="auto"/>
        </w:rPr>
        <w:t>, as well as most industry-specific guidance, and significantly enhances comparability of revenue recognition practices across entities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by providing a principles-based, comprehensive framework for addressing revenue recognition issues. In order for a provider of promised goods or services to recognize as revenue the consideration that it expects to receive in exchange for the promised goods or services, the provider should apply the following five steps: (1) identify the contract with a customer; (2) identify the performance obligations in the contract; (3) determine the transaction price;</w:t>
      </w:r>
    </w:p>
    <w:p>
      <w:pPr>
        <w:spacing w:after="0" w:line="1" w:lineRule="exact"/>
        <w:rPr>
          <w:sz w:val="20"/>
          <w:szCs w:val="20"/>
          <w:color w:val="auto"/>
        </w:rPr>
      </w:pPr>
    </w:p>
    <w:p>
      <w:pPr>
        <w:ind w:firstLine="8"/>
        <w:spacing w:after="0" w:line="25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(5) recognize revenue when (or as) the entity satisfies a performance obligation. As currently written, ASU 2014-09 will be effective for financial statements issued for the first interim period within annual periods beginning after December 15, 2016, and does not permit early adoption. However, on July 9, 2015, the FASB voted to extend the effective date to the first interim period within annual periods beginning after December 15, 2017, with early adoption permitted as of the original effective date. The FASB still needs to issue an Accounting Standards Update to change the effective dates. We continue to evaluate the impact that this guidance, including the method of implementation, will have on our financial statements and disclosures.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INCOME TAXES</w:t>
      </w:r>
    </w:p>
    <w:p>
      <w:pPr>
        <w:spacing w:after="0" w:line="121" w:lineRule="exact"/>
        <w:rPr>
          <w:sz w:val="20"/>
          <w:szCs w:val="20"/>
          <w:color w:val="auto"/>
        </w:rPr>
      </w:pPr>
    </w:p>
    <w:p>
      <w:pPr>
        <w:ind w:right="280" w:firstLine="913"/>
        <w:spacing w:after="0" w:line="266" w:lineRule="auto"/>
        <w:rPr>
          <w:sz w:val="20"/>
          <w:szCs w:val="20"/>
          <w:color w:val="auto"/>
        </w:rPr>
      </w:pPr>
      <w:r>
        <w:rPr>
          <w:rFonts w:ascii="Times New Roman" w:cs="Times New Roman" w:eastAsia="Times New Roman" w:hAnsi="Times New Roman"/>
          <w:sz w:val="18"/>
          <w:szCs w:val="18"/>
          <w:color w:val="auto"/>
        </w:rPr>
        <w:t>We file U.S. consolidated federal and state tax returns, as well as consolidated and separate tax filings for non-U.S. jurisdictions. Our total unrecognized tax benefit balance that, if recognized, would impact our effective tax rate was $1.5 million and $1.3 million at June 19, 2015 and January 2, 2015, respectively.</w:t>
      </w:r>
    </w:p>
    <w:p>
      <w:pPr>
        <w:spacing w:after="0" w:line="68"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We have joined in the Marriott International U.S. federal tax consolidated filing for periods up to the date of the Spin-Off. The U.S. Internal Revenue Service (the “IRS”) has examined Marriott International’s federal income tax returns, and it has settled all issues related to the timeshare business for the tax years through the Spin-Off. Our tax years subsequent to the Spin-Off are subject to examination by relevant tax authorities, and our 2011, 2012 and 2013 returns are currently being audited by the IRS and authorities in other foreign jurisdictions. Although we do not anticipate that a significant impact to our unrecognized tax benefit balance will occur during the next fiscal year, the amount of our liability for unrecognized tax benefits could change as a result of these audits. Pursuant to a Tax Sharing and Indemnification Agreement with Marriott International effective November 21, 2011, as subsequently amended, Marriott International is liable and shall pay the relevant tax authority for all taxes related to our taxable income prior to the Spin-Off.</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VACATION OWNERSHIP NOTES RECEIVABLE</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table shows the composition of our vacation ownership notes receivable balances, net of reserves:</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80" w:type="dxa"/>
            <w:vAlign w:val="bottom"/>
          </w:tcPr>
          <w:p>
            <w:pPr>
              <w:spacing w:after="0"/>
              <w:rPr>
                <w:sz w:val="15"/>
                <w:szCs w:val="15"/>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June 19, 2015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 2015</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 ownership notes receivable — securitized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547,158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750,680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Vacation ownership notes receivable — non-securitized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xml:space="preserve">Eligible for securitization </w:t>
            </w:r>
            <w:r>
              <w:rPr>
                <w:rFonts w:ascii="Times New Roman" w:cs="Times New Roman" w:eastAsia="Times New Roman" w:hAnsi="Times New Roman"/>
                <w:sz w:val="15"/>
                <w:szCs w:val="15"/>
                <w:color w:val="auto"/>
              </w:rPr>
              <w:t>(1)</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195,947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24,194</w:t>
            </w:r>
          </w:p>
        </w:tc>
        <w:tc>
          <w:tcPr>
            <w:tcW w:w="100" w:type="dxa"/>
            <w:vAlign w:val="bottom"/>
            <w:shd w:val="clear" w:color="auto" w:fill="CCEEFF"/>
          </w:tcPr>
          <w:p>
            <w:pPr>
              <w:spacing w:after="0"/>
              <w:rPr>
                <w:sz w:val="18"/>
                <w:szCs w:val="18"/>
                <w:color w:val="auto"/>
              </w:rPr>
            </w:pPr>
          </w:p>
        </w:tc>
      </w:tr>
      <w:tr>
        <w:trPr>
          <w:trHeight w:val="223"/>
        </w:trPr>
        <w:tc>
          <w:tcPr>
            <w:tcW w:w="6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xml:space="preserve">Not eligible for securitization </w:t>
            </w:r>
            <w:r>
              <w:rPr>
                <w:rFonts w:ascii="Times New Roman" w:cs="Times New Roman" w:eastAsia="Times New Roman" w:hAnsi="Times New Roman"/>
                <w:sz w:val="15"/>
                <w:szCs w:val="15"/>
                <w:color w:val="auto"/>
              </w:rPr>
              <w:t>(1)</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135,753</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142,354</w:t>
            </w:r>
          </w:p>
        </w:tc>
        <w:tc>
          <w:tcPr>
            <w:tcW w:w="100" w:type="dxa"/>
            <w:vAlign w:val="bottom"/>
          </w:tcPr>
          <w:p>
            <w:pPr>
              <w:spacing w:after="0"/>
              <w:rPr>
                <w:sz w:val="19"/>
                <w:szCs w:val="19"/>
                <w:color w:val="auto"/>
              </w:rPr>
            </w:pPr>
          </w:p>
        </w:tc>
      </w:tr>
      <w:tr>
        <w:trPr>
          <w:trHeight w:val="216"/>
        </w:trPr>
        <w:tc>
          <w:tcPr>
            <w:tcW w:w="66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331,700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166,548</w:t>
            </w:r>
          </w:p>
        </w:tc>
        <w:tc>
          <w:tcPr>
            <w:tcW w:w="100" w:type="dxa"/>
            <w:vAlign w:val="bottom"/>
            <w:shd w:val="clear" w:color="auto" w:fill="CCEEFF"/>
          </w:tcPr>
          <w:p>
            <w:pPr>
              <w:spacing w:after="0"/>
              <w:rPr>
                <w:sz w:val="18"/>
                <w:szCs w:val="18"/>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 vacation ownership notes receivable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878,858</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917,228</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171450</wp:posOffset>
            </wp:positionV>
            <wp:extent cx="10807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86" w:lineRule="exact"/>
        <w:rPr>
          <w:sz w:val="20"/>
          <w:szCs w:val="20"/>
          <w:color w:val="auto"/>
        </w:rPr>
      </w:pPr>
    </w:p>
    <w:p>
      <w:pPr>
        <w:ind w:left="1360" w:hanging="447"/>
        <w:spacing w:after="0"/>
        <w:tabs>
          <w:tab w:leader="none" w:pos="13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Refer to Footnote No. 4, “Financial Instruments,” for discussion of eligibility of our vacation ownership notes receivable.</w:t>
      </w:r>
    </w:p>
    <w:p>
      <w:pPr>
        <w:spacing w:after="0" w:line="266" w:lineRule="exact"/>
        <w:rPr>
          <w:sz w:val="20"/>
          <w:szCs w:val="20"/>
          <w:color w:val="auto"/>
        </w:rPr>
      </w:pPr>
    </w:p>
    <w:p>
      <w:pPr>
        <w:ind w:right="320" w:firstLine="913"/>
        <w:spacing w:after="0" w:line="282" w:lineRule="auto"/>
        <w:rPr>
          <w:sz w:val="20"/>
          <w:szCs w:val="20"/>
          <w:color w:val="auto"/>
        </w:rPr>
      </w:pPr>
      <w:r>
        <w:rPr>
          <w:rFonts w:ascii="Times New Roman" w:cs="Times New Roman" w:eastAsia="Times New Roman" w:hAnsi="Times New Roman"/>
          <w:sz w:val="18"/>
          <w:szCs w:val="18"/>
          <w:color w:val="auto"/>
        </w:rPr>
        <w:t>The following tables show future principal payments, net of reserves, as well as interest rates for our securitized and non-securitized vacation ownership notes receivable at June 19, 2015:</w:t>
      </w:r>
    </w:p>
    <w:p>
      <w:pPr>
        <w:spacing w:after="0" w:line="75"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Non-Securitized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6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Vacation Ownership</w:t>
            </w:r>
          </w:p>
        </w:tc>
        <w:tc>
          <w:tcPr>
            <w:tcW w:w="180" w:type="dxa"/>
            <w:vAlign w:val="bottom"/>
          </w:tcPr>
          <w:p>
            <w:pPr>
              <w:spacing w:after="0"/>
              <w:rPr>
                <w:sz w:val="12"/>
                <w:szCs w:val="12"/>
                <w:color w:val="auto"/>
              </w:rPr>
            </w:pPr>
          </w:p>
        </w:tc>
        <w:tc>
          <w:tcPr>
            <w:tcW w:w="14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Vacation Ownership</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40" w:type="dxa"/>
            <w:vAlign w:val="bottom"/>
            <w:gridSpan w:val="2"/>
            <w:vMerge w:val="continue"/>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1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51,688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45,612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97,300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59,191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74,860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134,051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50,054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70,933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120,987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35,006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65,869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100,875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22,948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65,478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88,426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112,813</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224,406</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337,219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19, 2015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331,700</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547,158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878,858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stated interest rate</w:t>
            </w: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Range of stated interest rates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0.0% to 19.5%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4.9% to 19.5%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0.0% to 19.5%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We reflect interest income associated with vacation ownership notes receivable on our Statements of Income in the Financing revenues caption.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interest income associated with vacation ownership notes receivable: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80" w:type="dxa"/>
            <w:vAlign w:val="bottom"/>
          </w:tcPr>
          <w:p>
            <w:pPr>
              <w:spacing w:after="0"/>
              <w:rPr>
                <w:sz w:val="15"/>
                <w:szCs w:val="15"/>
                <w:color w:val="auto"/>
              </w:rPr>
            </w:pPr>
          </w:p>
        </w:tc>
        <w:tc>
          <w:tcPr>
            <w:tcW w:w="252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580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8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Interest income associated with vacation ownership notes receivable —</w:t>
            </w: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securitized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17,913</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39,987</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income associated with vacation ownership notes receivable — non-</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securitized</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9,014</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14,507</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income associated with vacation ownership notes receivable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26,927</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28,333</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54,494</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We record an estimate of expected uncollectibility on all notes receivable from vacation ownership purchasers as a reduction of revenues from the sale of vacation ownership products at the time we recognize profit on a vacation ownership product sale. We fully reserve for all defaulted vacation ownership notes receivable in addition to recording a reserve on the estimated uncollectible portion of the remaining vacation ownership notes receivable. For those vacation ownership notes receivable that are not in default, we assess collectibility based on pools of vacation ownership notes receivable because we hold large numbers of homogeneous vacation ownership notes receivable. We use the same criteria to estimate uncollectibility for non-securitized vacation ownership notes receivable and securitized vacation ownership notes receivable because they perform similarly. We estimate uncollectibility for each pool based on historical activity for similar vacation ownership notes receivable.</w:t>
      </w:r>
    </w:p>
    <w:p>
      <w:pPr>
        <w:spacing w:after="0" w:line="2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vacation ownership notes receivable reserve for the twenty-four weeks ended June 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w:t>
      </w:r>
    </w:p>
    <w:p>
      <w:pPr>
        <w:spacing w:after="0" w:line="21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Non-Securitized</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Vacation Ownership</w:t>
            </w:r>
          </w:p>
        </w:tc>
        <w:tc>
          <w:tcPr>
            <w:tcW w:w="18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Vacation Ownership</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Notes Receivable</w:t>
            </w:r>
          </w:p>
        </w:tc>
        <w:tc>
          <w:tcPr>
            <w:tcW w:w="18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Notes Receivable</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 2015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64,752</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53,666</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118,418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80" w:type="dxa"/>
            <w:vAlign w:val="bottom"/>
          </w:tcPr>
          <w:p>
            <w:pPr>
              <w:spacing w:after="0"/>
              <w:rPr>
                <w:sz w:val="18"/>
                <w:szCs w:val="18"/>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9,469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6,036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Clean-up calls </w:t>
            </w:r>
            <w:r>
              <w:rPr>
                <w:rFonts w:ascii="Times New Roman" w:cs="Times New Roman" w:eastAsia="Times New Roman" w:hAnsi="Times New Roman"/>
                <w:sz w:val="15"/>
                <w:szCs w:val="15"/>
                <w:color w:val="auto"/>
              </w:rPr>
              <w:t>(1)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5,725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180" w:type="dxa"/>
            <w:vAlign w:val="bottom"/>
          </w:tcPr>
          <w:p>
            <w:pPr>
              <w:spacing w:after="0"/>
              <w:rPr>
                <w:sz w:val="18"/>
                <w:szCs w:val="18"/>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(21,361)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Defaulted vacation ownership notes receivable repurchase activity </w:t>
            </w:r>
            <w:r>
              <w:rPr>
                <w:rFonts w:ascii="Times New Roman" w:cs="Times New Roman" w:eastAsia="Times New Roman" w:hAnsi="Times New Roman"/>
                <w:sz w:val="15"/>
                <w:szCs w:val="15"/>
                <w:color w:val="auto"/>
              </w:rPr>
              <w:t>(2)</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10,993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19, 2015</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69,578</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42,984</w:t>
            </w: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112,562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171450</wp:posOffset>
            </wp:positionV>
            <wp:extent cx="10807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72" w:lineRule="exact"/>
        <w:rPr>
          <w:sz w:val="20"/>
          <w:szCs w:val="20"/>
          <w:color w:val="auto"/>
        </w:rPr>
      </w:pPr>
    </w:p>
    <w:p>
      <w:pPr>
        <w:ind w:left="1360" w:right="1420" w:hanging="447"/>
        <w:spacing w:after="0" w:line="274" w:lineRule="auto"/>
        <w:tabs>
          <w:tab w:leader="none" w:pos="13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Refers to our voluntary repurchase of previously securitized non-defaulted vacation ownership notes receivable to retire outstanding vacation ownership notes receivable securitizations.</w:t>
      </w:r>
    </w:p>
    <w:p>
      <w:pPr>
        <w:ind w:left="1360" w:right="1020" w:hanging="447"/>
        <w:spacing w:after="0" w:line="266" w:lineRule="auto"/>
        <w:tabs>
          <w:tab w:leader="none" w:pos="13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Decrease in securitized vacation ownership notes receivable reserve and increase in non-securitized vacation ownership notes receivable reserve was attributable to the transfer of the reserve when we voluntarily repurchased the securitized vacation ownership notes receivable.</w:t>
      </w:r>
    </w:p>
    <w:p>
      <w:pPr>
        <w:spacing w:after="0" w:line="217" w:lineRule="exact"/>
        <w:rPr>
          <w:sz w:val="20"/>
          <w:szCs w:val="20"/>
          <w:color w:val="auto"/>
        </w:rPr>
      </w:pPr>
    </w:p>
    <w:p>
      <w:pPr>
        <w:ind w:right="40" w:firstLine="913"/>
        <w:spacing w:after="0" w:line="254" w:lineRule="auto"/>
        <w:rPr>
          <w:sz w:val="20"/>
          <w:szCs w:val="20"/>
          <w:color w:val="auto"/>
        </w:rPr>
      </w:pPr>
      <w:r>
        <w:rPr>
          <w:rFonts w:ascii="Times New Roman" w:cs="Times New Roman" w:eastAsia="Times New Roman" w:hAnsi="Times New Roman"/>
          <w:sz w:val="18"/>
          <w:szCs w:val="18"/>
          <w:color w:val="auto"/>
        </w:rPr>
        <w:t>Although we consider loans to owners to be past due if we do not receive payment within 30 days of the due date, we suspend accrual of interest only on those loans that are over 90 days past due. We consider loans over 150 days past due to be in default.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uncollectible vacation ownership notes receivable against the reserve once we receive title to the vacation ownership products through the foreclosure or deed-in-lieu process or, in Europe or Asia Pacific, when revocation is complete. For both non-securitized and securitized vacation ownership notes receivable, we estimated average remaining default rates of 7.03 percent and 6.95 percent as of June 19, 2015 and January 2, 2015, respectively. A 0.5 percentage point increase in the estimated default rate would have resulted in an increase in our allowance for loan losses of $4.5 million as of June 19, 2015 and $4.7 million as of January 2, 2015.</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282" w:lineRule="auto"/>
        <w:rPr>
          <w:sz w:val="20"/>
          <w:szCs w:val="20"/>
          <w:color w:val="auto"/>
        </w:rPr>
      </w:pPr>
      <w:r>
        <w:rPr>
          <w:rFonts w:ascii="Times New Roman" w:cs="Times New Roman" w:eastAsia="Times New Roman" w:hAnsi="Times New Roman"/>
          <w:sz w:val="18"/>
          <w:szCs w:val="18"/>
          <w:color w:val="auto"/>
        </w:rPr>
        <w:t>The following table shows our recorded investment in non-accrual vacation ownership notes receivable, which are vacation ownership notes receivable that are 90 days or more past due:</w:t>
      </w:r>
    </w:p>
    <w:p>
      <w:pPr>
        <w:spacing w:after="0" w:line="4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5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Non-Securitized</w:t>
            </w:r>
          </w:p>
        </w:tc>
        <w:tc>
          <w:tcPr>
            <w:tcW w:w="260" w:type="dxa"/>
            <w:vAlign w:val="bottom"/>
          </w:tcPr>
          <w:p>
            <w:pPr>
              <w:spacing w:after="0"/>
              <w:rPr>
                <w:sz w:val="13"/>
                <w:szCs w:val="13"/>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5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Vacation Ownership</w:t>
            </w:r>
          </w:p>
        </w:tc>
        <w:tc>
          <w:tcPr>
            <w:tcW w:w="15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Vacation Ownership</w:t>
            </w:r>
          </w:p>
        </w:tc>
        <w:tc>
          <w:tcPr>
            <w:tcW w:w="380" w:type="dxa"/>
            <w:vAlign w:val="bottom"/>
          </w:tcPr>
          <w:p>
            <w:pPr>
              <w:spacing w:after="0"/>
              <w:rPr>
                <w:sz w:val="12"/>
                <w:szCs w:val="12"/>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340" w:type="dxa"/>
            <w:vAlign w:val="bottom"/>
            <w:vMerge w:val="continue"/>
          </w:tcPr>
          <w:p>
            <w:pPr>
              <w:spacing w:after="0"/>
              <w:rPr>
                <w:sz w:val="15"/>
                <w:szCs w:val="15"/>
                <w:color w:val="auto"/>
              </w:rPr>
            </w:pPr>
          </w:p>
        </w:tc>
        <w:tc>
          <w:tcPr>
            <w:tcW w:w="15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5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3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34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Investment in vacation ownership notes receivable on non-accrual status at June 19,</w:t>
            </w:r>
          </w:p>
        </w:tc>
        <w:tc>
          <w:tcPr>
            <w:tcW w:w="4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2015</w:t>
            </w:r>
          </w:p>
        </w:tc>
        <w:tc>
          <w:tcPr>
            <w:tcW w:w="4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55,036</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62,826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Investment in vacation ownership notes receivable on non-accrual status at January 2,</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2015</w:t>
            </w:r>
          </w:p>
        </w:tc>
        <w:tc>
          <w:tcPr>
            <w:tcW w:w="46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60,275</w:t>
            </w:r>
          </w:p>
        </w:tc>
        <w:tc>
          <w:tcPr>
            <w:tcW w:w="1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200" w:type="dxa"/>
            <w:vAlign w:val="bottom"/>
          </w:tcPr>
          <w:p>
            <w:pPr>
              <w:spacing w:after="0"/>
              <w:rPr>
                <w:sz w:val="20"/>
                <w:szCs w:val="20"/>
                <w:color w:val="auto"/>
              </w:rPr>
            </w:pP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67,447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Average investment in vacation ownership notes receivable on non-accrual status</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during the twelve weeks ended June 19, 2015</w:t>
            </w:r>
          </w:p>
        </w:tc>
        <w:tc>
          <w:tcPr>
            <w:tcW w:w="4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54,354</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63,706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Average investment in vacation ownership notes receivable on non-accrual status</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during the twelve weeks ended June 20, 2014</w:t>
            </w:r>
          </w:p>
        </w:tc>
        <w:tc>
          <w:tcPr>
            <w:tcW w:w="46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66,397</w:t>
            </w:r>
          </w:p>
        </w:tc>
        <w:tc>
          <w:tcPr>
            <w:tcW w:w="1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200" w:type="dxa"/>
            <w:vAlign w:val="bottom"/>
          </w:tcPr>
          <w:p>
            <w:pPr>
              <w:spacing w:after="0"/>
              <w:rPr>
                <w:sz w:val="20"/>
                <w:szCs w:val="20"/>
                <w:color w:val="auto"/>
              </w:rPr>
            </w:pP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75,430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Average investment in vacation ownership notes receivable on non-accrual status</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during the twenty-four weeks ended June 19, 2015</w:t>
            </w:r>
          </w:p>
        </w:tc>
        <w:tc>
          <w:tcPr>
            <w:tcW w:w="4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57,656</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65,137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Average investment in vacation ownership notes receivable on non-accrual status</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during the twenty-four weeks ended June 20, 2014</w:t>
            </w:r>
          </w:p>
        </w:tc>
        <w:tc>
          <w:tcPr>
            <w:tcW w:w="46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67,672</w:t>
            </w:r>
          </w:p>
        </w:tc>
        <w:tc>
          <w:tcPr>
            <w:tcW w:w="1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200" w:type="dxa"/>
            <w:vAlign w:val="bottom"/>
          </w:tcPr>
          <w:p>
            <w:pPr>
              <w:spacing w:after="0"/>
              <w:rPr>
                <w:sz w:val="20"/>
                <w:szCs w:val="20"/>
                <w:color w:val="auto"/>
              </w:rPr>
            </w:pP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75,587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table shows the aging of the recorded investment in principal, before reserves, in vacation ownership notes receivable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19, 2015:</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Non-Securitized</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Vacation Ownership</w:t>
            </w:r>
          </w:p>
        </w:tc>
        <w:tc>
          <w:tcPr>
            <w:tcW w:w="16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Vacation Ownership</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80" w:type="dxa"/>
            <w:vAlign w:val="bottom"/>
            <w:gridSpan w:val="2"/>
            <w:vMerge w:val="continue"/>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6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31</w:t>
            </w:r>
          </w:p>
        </w:tc>
        <w:tc>
          <w:tcPr>
            <w:tcW w:w="47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90 days past due</w:t>
            </w:r>
          </w:p>
        </w:tc>
        <w:tc>
          <w:tcPr>
            <w:tcW w:w="42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10,178</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13,860</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91</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150 days past due</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6,143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150 days past due</w:t>
            </w: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48,908</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1,647</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4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65,214</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21,650</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336,064</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568,492</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vacation ownership notes receivable</w:t>
            </w:r>
          </w:p>
        </w:tc>
        <w:tc>
          <w:tcPr>
            <w:tcW w:w="420" w:type="dxa"/>
            <w:vAlign w:val="bottom"/>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401,278</w:t>
            </w:r>
          </w:p>
        </w:tc>
        <w:tc>
          <w:tcPr>
            <w:tcW w:w="4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590,142</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991,420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table shows the aging of the recorded investment in principal, before reserves, in vacation ownership notes receivable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 2015:</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Non-Securitized</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4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Vacation Ownership</w:t>
            </w:r>
          </w:p>
        </w:tc>
        <w:tc>
          <w:tcPr>
            <w:tcW w:w="16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Vacation Ownership</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6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 – 90 days past due</w:t>
            </w:r>
          </w:p>
        </w:tc>
        <w:tc>
          <w:tcPr>
            <w:tcW w:w="10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8,330</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22,544</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91 – 150 days past due</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6,101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7,003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150 days past due</w:t>
            </w:r>
          </w:p>
        </w:tc>
        <w:tc>
          <w:tcPr>
            <w:tcW w:w="10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54,174</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68,605</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29,716</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0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162,695</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774,630</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vacation ownership notes receivable</w:t>
            </w:r>
          </w:p>
        </w:tc>
        <w:tc>
          <w:tcPr>
            <w:tcW w:w="1460" w:type="dxa"/>
            <w:vAlign w:val="bottom"/>
            <w:gridSpan w:val="2"/>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231,300</w:t>
            </w:r>
          </w:p>
        </w:tc>
        <w:tc>
          <w:tcPr>
            <w:tcW w:w="4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804,346</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FINANCIAL INSTRUMENTS</w:t>
      </w:r>
    </w:p>
    <w:p>
      <w:pPr>
        <w:spacing w:after="0" w:line="121" w:lineRule="exact"/>
        <w:rPr>
          <w:sz w:val="20"/>
          <w:szCs w:val="20"/>
          <w:color w:val="auto"/>
        </w:rPr>
      </w:pPr>
    </w:p>
    <w:p>
      <w:pPr>
        <w:ind w:right="40" w:firstLine="913"/>
        <w:spacing w:after="0" w:line="256" w:lineRule="auto"/>
        <w:rPr>
          <w:sz w:val="20"/>
          <w:szCs w:val="20"/>
          <w:color w:val="auto"/>
        </w:rPr>
      </w:pPr>
      <w:r>
        <w:rPr>
          <w:rFonts w:ascii="Times New Roman" w:cs="Times New Roman" w:eastAsia="Times New Roman" w:hAnsi="Times New Roman"/>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Accounts payable, Advance deposits and Accrued liabilities, all of which had fair values approximating their carrying amounts due to the short maturities and liquidity of these instruments.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At June 19, 2015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At January 2, 2015</w:t>
            </w:r>
          </w:p>
        </w:tc>
        <w:tc>
          <w:tcPr>
            <w:tcW w:w="0" w:type="dxa"/>
            <w:vAlign w:val="bottom"/>
          </w:tcPr>
          <w:p>
            <w:pPr>
              <w:spacing w:after="0"/>
              <w:rPr>
                <w:sz w:val="1"/>
                <w:szCs w:val="1"/>
                <w:color w:val="auto"/>
              </w:rPr>
            </w:pPr>
          </w:p>
        </w:tc>
      </w:tr>
      <w:tr>
        <w:trPr>
          <w:trHeight w:val="117"/>
        </w:trPr>
        <w:tc>
          <w:tcPr>
            <w:tcW w:w="6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354"/>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354"/>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96"/>
        </w:trPr>
        <w:tc>
          <w:tcPr>
            <w:tcW w:w="6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Vacation ownership notes receivable</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Securitized</w:t>
            </w:r>
          </w:p>
        </w:tc>
        <w:tc>
          <w:tcPr>
            <w:tcW w:w="180" w:type="dxa"/>
            <w:vAlign w:val="bottom"/>
            <w:gridSpan w:val="2"/>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547,158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664,646</w:t>
            </w:r>
          </w:p>
        </w:tc>
        <w:tc>
          <w:tcPr>
            <w:tcW w:w="100" w:type="dxa"/>
            <w:vAlign w:val="bottom"/>
          </w:tcPr>
          <w:p>
            <w:pPr>
              <w:spacing w:after="0"/>
              <w:rPr>
                <w:sz w:val="18"/>
                <w:szCs w:val="18"/>
                <w:color w:val="auto"/>
              </w:rPr>
            </w:pP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750,680</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Non-securitized</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166,548</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878,858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1,043,619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917,228</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Non-recourse debt associated with vacation ownership notes receivable</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securitizations, gross</w:t>
            </w:r>
          </w:p>
        </w:tc>
        <w:tc>
          <w:tcPr>
            <w:tcW w:w="18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(564,657)</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(570,338)</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(708,031)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(712,977)</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Other debt, gross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(3,306)</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(3,306)</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Mandatorily redeemable preferred stock of consolidated subsidiary, gross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(40,000)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(43,837)</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Liability for Marriott Rewards customer loyalty program</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(79,939)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(89,285)</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(80,448)</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(4,184)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(4,118)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(4,118)</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(692,196)</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(844,740)</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890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86"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Fair value of financial instruments has been determined using Level 3 inputs.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Vacation Ownership Notes Receivable</w:t>
      </w:r>
    </w:p>
    <w:p>
      <w:pPr>
        <w:spacing w:after="0" w:line="160" w:lineRule="exact"/>
        <w:rPr>
          <w:sz w:val="20"/>
          <w:szCs w:val="20"/>
          <w:color w:val="auto"/>
        </w:rPr>
      </w:pPr>
    </w:p>
    <w:p>
      <w:pPr>
        <w:ind w:right="220" w:firstLine="913"/>
        <w:spacing w:after="0" w:line="261" w:lineRule="auto"/>
        <w:rPr>
          <w:sz w:val="20"/>
          <w:szCs w:val="20"/>
          <w:color w:val="auto"/>
        </w:rPr>
      </w:pPr>
      <w:r>
        <w:rPr>
          <w:rFonts w:ascii="Times New Roman" w:cs="Times New Roman" w:eastAsia="Times New Roman" w:hAnsi="Times New Roman"/>
          <w:sz w:val="18"/>
          <w:szCs w:val="18"/>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 the fair value of the underlying vacation ownership notes receivable.</w:t>
      </w:r>
    </w:p>
    <w:p>
      <w:pPr>
        <w:spacing w:after="0" w:line="113"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Due to factors that impact the general marketability of our non-securitized vacation ownership notes receivable, as well as current market conditions, we bifurcate our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Europe or Asia.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 The following table shows the bifurcation of our non-securitized vacation ownership notes receivable into those eligible and not eligible for securitization based upon the aforementioned eligibility criteria: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gridSpan w:val="4"/>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At June 19, 2015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At January 2, 2015</w:t>
            </w:r>
          </w:p>
        </w:tc>
        <w:tc>
          <w:tcPr>
            <w:tcW w:w="0" w:type="dxa"/>
            <w:vAlign w:val="bottom"/>
          </w:tcPr>
          <w:p>
            <w:pPr>
              <w:spacing w:after="0"/>
              <w:rPr>
                <w:sz w:val="1"/>
                <w:szCs w:val="1"/>
                <w:color w:val="auto"/>
              </w:rPr>
            </w:pPr>
          </w:p>
        </w:tc>
      </w:tr>
      <w:tr>
        <w:trPr>
          <w:trHeight w:val="117"/>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378"/>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40" w:type="dxa"/>
            <w:vAlign w:val="bottom"/>
            <w:vMerge w:val="continue"/>
          </w:tcPr>
          <w:p>
            <w:pPr>
              <w:spacing w:after="0"/>
              <w:rPr>
                <w:sz w:val="15"/>
                <w:szCs w:val="15"/>
                <w:color w:val="auto"/>
              </w:rPr>
            </w:pPr>
          </w:p>
        </w:tc>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Vacation ownership notes receivable</w:t>
            </w:r>
          </w:p>
        </w:tc>
        <w:tc>
          <w:tcPr>
            <w:tcW w:w="2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Eligible for securitization</w:t>
            </w:r>
          </w:p>
        </w:tc>
        <w:tc>
          <w:tcPr>
            <w:tcW w:w="2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195,947</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243,220</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24,194</w:t>
            </w:r>
          </w:p>
        </w:tc>
        <w:tc>
          <w:tcPr>
            <w:tcW w:w="4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 eligible for securitization</w:t>
            </w:r>
          </w:p>
        </w:tc>
        <w:tc>
          <w:tcPr>
            <w:tcW w:w="20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135,753</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135,753</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142,354</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non-securitized</w:t>
            </w:r>
          </w:p>
        </w:tc>
        <w:tc>
          <w:tcPr>
            <w:tcW w:w="20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331,700</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378,973</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166,548</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4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We estimate the fair value of the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and loan terms.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Non-Recourse Debt Associated with Securitized Vacation Ownership Notes Receivable</w:t>
      </w:r>
    </w:p>
    <w:p>
      <w:pPr>
        <w:spacing w:after="0" w:line="119" w:lineRule="exact"/>
        <w:rPr>
          <w:sz w:val="20"/>
          <w:szCs w:val="20"/>
          <w:color w:val="auto"/>
        </w:rPr>
      </w:pPr>
    </w:p>
    <w:p>
      <w:pPr>
        <w:ind w:right="60" w:firstLine="913"/>
        <w:spacing w:after="0" w:line="256" w:lineRule="auto"/>
        <w:rPr>
          <w:sz w:val="20"/>
          <w:szCs w:val="20"/>
          <w:color w:val="auto"/>
        </w:rPr>
      </w:pPr>
      <w:r>
        <w:rPr>
          <w:rFonts w:ascii="Times New Roman" w:cs="Times New Roman" w:eastAsia="Times New Roman" w:hAnsi="Times New Roman"/>
          <w:sz w:val="18"/>
          <w:szCs w:val="18"/>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Mandatorily Redeemable Preferred Stock of Consolidated Subsidiary</w:t>
      </w:r>
    </w:p>
    <w:p>
      <w:pPr>
        <w:spacing w:after="0" w:line="119" w:lineRule="exact"/>
        <w:rPr>
          <w:sz w:val="20"/>
          <w:szCs w:val="20"/>
          <w:color w:val="auto"/>
        </w:rPr>
      </w:pPr>
    </w:p>
    <w:p>
      <w:pPr>
        <w:jc w:val="both"/>
        <w:ind w:right="40" w:firstLine="913"/>
        <w:spacing w:after="0" w:line="266" w:lineRule="auto"/>
        <w:rPr>
          <w:sz w:val="20"/>
          <w:szCs w:val="20"/>
          <w:color w:val="auto"/>
        </w:rPr>
      </w:pPr>
      <w:r>
        <w:rPr>
          <w:rFonts w:ascii="Times New Roman" w:cs="Times New Roman" w:eastAsia="Times New Roman" w:hAnsi="Times New Roman"/>
          <w:sz w:val="18"/>
          <w:szCs w:val="18"/>
          <w:color w:val="auto"/>
        </w:rPr>
        <w:t>We estimate the fair value of the mandatorily redeemable preferred stock of our consolidated subsidiary using a discounted cash flow model. We believe this is comparable to the model that an independent third party would use in the current market. Our model includes an assessment of our subsidiary’s credit risk and the instrument’s contractual dividend 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Liability for Marriott Rewards Customer Loyalty Program</w:t>
      </w:r>
    </w:p>
    <w:p>
      <w:pPr>
        <w:spacing w:after="0" w:line="119" w:lineRule="exact"/>
        <w:rPr>
          <w:sz w:val="20"/>
          <w:szCs w:val="20"/>
          <w:color w:val="auto"/>
        </w:rPr>
      </w:pPr>
    </w:p>
    <w:p>
      <w:pPr>
        <w:ind w:right="60" w:firstLine="913"/>
        <w:spacing w:after="0" w:line="261" w:lineRule="auto"/>
        <w:rPr>
          <w:sz w:val="20"/>
          <w:szCs w:val="20"/>
          <w:color w:val="auto"/>
        </w:rPr>
      </w:pPr>
      <w:r>
        <w:rPr>
          <w:rFonts w:ascii="Times New Roman" w:cs="Times New Roman" w:eastAsia="Times New Roman" w:hAnsi="Times New Roman"/>
          <w:sz w:val="18"/>
          <w:szCs w:val="18"/>
          <w:color w:val="auto"/>
        </w:rPr>
        <w:t>We determine the carrying value of the future redemption obligation of our liability for the Marriott Rewards customer loyalty program based on statistical formulas that project the timing of future redemption of Marriott Rewards Points based on historical levels, including estimates of the number of Marriott Rewards Points that will eventually be redeemed and the “breakage” for points that will never be redeemed. We estimate the fair value of the future redemption obligation by adjusting the contractual discount rate to an estimate of that of a market participant with similar nonperformance risk.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Liabilities</w:t>
      </w:r>
    </w:p>
    <w:p>
      <w:pPr>
        <w:spacing w:after="0" w:line="119"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We estimate the fair value of our other liabilities that are financial instruments using expected future payments discounted at risk-adjusted rates. These liabilities represent guarantee costs and other structured payments. The carrying values of our financial instruments within Other liabilities approximate their fair values.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 AND DISPOSITIONS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Kauai, Hawaii</w:t>
      </w:r>
    </w:p>
    <w:p>
      <w:pPr>
        <w:spacing w:after="0" w:line="119" w:lineRule="exact"/>
        <w:rPr>
          <w:sz w:val="20"/>
          <w:szCs w:val="20"/>
          <w:color w:val="auto"/>
        </w:rPr>
      </w:pPr>
    </w:p>
    <w:p>
      <w:pPr>
        <w:ind w:right="60" w:firstLine="913"/>
        <w:spacing w:after="0" w:line="256" w:lineRule="auto"/>
        <w:rPr>
          <w:sz w:val="20"/>
          <w:szCs w:val="20"/>
          <w:color w:val="auto"/>
        </w:rPr>
      </w:pPr>
      <w:r>
        <w:rPr>
          <w:rFonts w:ascii="Times New Roman" w:cs="Times New Roman" w:eastAsia="Times New Roman" w:hAnsi="Times New Roman"/>
          <w:sz w:val="18"/>
          <w:szCs w:val="18"/>
          <w:color w:val="auto"/>
        </w:rPr>
        <w:t>During the second quarter of 2015, we completed the sale of the remaining portion of our undeveloped land in Kauai, Hawaii for gross cash proceeds of $20.0 million. We accounted for the sale under the full accrual method in accordance with the authoritative guidance on accounting for sales of real estate and recorded a gain of $8.7 million, which is included in the Gains and other income line on the Statements of Income for the twelve and twenty-four weeks ended June 19, 2015. As a result of this sale, we have completed the transactions, a portion of which was completed in 2014, contemplated by the purchase and sale agreement that we entered into during the second quarter of 2014 providing for the sale of undeveloped and partially developed land, an operating golf course and related assets in Kauai, Hawaii for $60.0 million in gross cash proceeds.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Marco Island, Florida</w:t>
      </w:r>
    </w:p>
    <w:p>
      <w:pPr>
        <w:spacing w:after="0" w:line="119" w:lineRule="exact"/>
        <w:rPr>
          <w:sz w:val="20"/>
          <w:szCs w:val="20"/>
          <w:color w:val="auto"/>
        </w:rPr>
      </w:pPr>
    </w:p>
    <w:p>
      <w:pPr>
        <w:ind w:right="40" w:firstLine="913"/>
        <w:spacing w:after="0" w:line="266" w:lineRule="auto"/>
        <w:rPr>
          <w:sz w:val="20"/>
          <w:szCs w:val="20"/>
          <w:color w:val="auto"/>
        </w:rPr>
      </w:pPr>
      <w:r>
        <w:rPr>
          <w:rFonts w:ascii="Times New Roman" w:cs="Times New Roman" w:eastAsia="Times New Roman" w:hAnsi="Times New Roman"/>
          <w:sz w:val="18"/>
          <w:szCs w:val="18"/>
          <w:color w:val="auto"/>
        </w:rPr>
        <w:t>During the first quarter of 2015, we sold real property located in Marco Island, Florida, consisting of $3.1 million of vacation ownership inventory, to a third-party developer. We received consideration consisting of $5.4 million of cash and a note receivable of $0.5 million. We did not recognize any gain or loss on this transaction.</w:t>
      </w:r>
    </w:p>
    <w:p>
      <w:pPr>
        <w:spacing w:after="0" w:line="68" w:lineRule="exact"/>
        <w:rPr>
          <w:sz w:val="20"/>
          <w:szCs w:val="20"/>
          <w:color w:val="auto"/>
        </w:rPr>
      </w:pPr>
    </w:p>
    <w:p>
      <w:pPr>
        <w:ind w:right="20" w:firstLine="913"/>
        <w:spacing w:after="0" w:line="256" w:lineRule="auto"/>
        <w:rPr>
          <w:sz w:val="20"/>
          <w:szCs w:val="20"/>
          <w:color w:val="auto"/>
        </w:rPr>
      </w:pPr>
      <w:r>
        <w:rPr>
          <w:rFonts w:ascii="Times New Roman" w:cs="Times New Roman" w:eastAsia="Times New Roman" w:hAnsi="Times New Roman"/>
          <w:sz w:val="18"/>
          <w:szCs w:val="18"/>
          <w:color w:val="auto"/>
        </w:rPr>
        <w:t>In accordance with our agreement with the third-party developer, we are obligated to repurchase the completed property from the developer contingent upon the property meeting our brand standards, provided that the third-party developer has not sold the property to another party. In accordance with the authoritative guidance on accounting for sales of real estate, our conditional obligation to repurchase the property constitutes continuing involvement and thus we were unable to account for this transaction as a sale. The property was sold to a variable interest entity for which we are not the primary beneficiary as we do not control the variable interest entity’s development activities and cannot prevent the variable interest entity from selling the property to another party. Accordingly, we have not consolidated the variable interest entity.</w:t>
      </w:r>
    </w:p>
    <w:p>
      <w:pPr>
        <w:spacing w:after="0" w:line="80" w:lineRule="exact"/>
        <w:rPr>
          <w:sz w:val="20"/>
          <w:szCs w:val="20"/>
          <w:color w:val="auto"/>
        </w:rPr>
      </w:pPr>
    </w:p>
    <w:p>
      <w:pPr>
        <w:ind w:right="20" w:firstLine="913"/>
        <w:spacing w:after="0" w:line="256" w:lineRule="auto"/>
        <w:rPr>
          <w:sz w:val="20"/>
          <w:szCs w:val="20"/>
          <w:color w:val="auto"/>
        </w:rPr>
      </w:pPr>
      <w:r>
        <w:rPr>
          <w:rFonts w:ascii="Times New Roman" w:cs="Times New Roman" w:eastAsia="Times New Roman" w:hAnsi="Times New Roman"/>
          <w:sz w:val="18"/>
          <w:szCs w:val="18"/>
          <w:color w:val="auto"/>
        </w:rPr>
        <w:t>As of June 19, 2015, our Balance Sheet reflects $6.5 million of Other liabilities that relate to the deferral of gain recognition for this transaction, which will reduce our basis in the asset if we repurchase the property. In addition, the note receivable of $0.5 million and other receivables of $0.2 million are included in the Accounts and contracts receivable line on the Balance Sheet as of June 19, 2015. The cash consideration received for the sale of the real property is included in Proceeds from vacation ownership inventory arrangements on the Cash Flows for the twenty-four weeks ended June 19, 2015. We believe that our maximum exposure to loss as a result of our involvement with this variable interest entity is our interest in the note receivable and the other receivables discussed above as of June 19, 2015.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 Diego, California</w:t>
      </w:r>
    </w:p>
    <w:p>
      <w:pPr>
        <w:spacing w:after="0" w:line="119"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During the first quarter of 2015, we completed the acquisition of an operating hotel located in San Diego, California, for $55.0 million. The acquisition was treated as a business combination and accounted for using the acquisition method of accounting. As consideration for the acquisition, we paid $55.0 million in cash, which was allocated based on the estimated fair value at the date of acquisition as follows: $54.3 million to property and equipment and $0.7 million to other assets. Fair value was calculated using an independent appraisal, which was primarily based on a discounted cash flow model, a Level 3 fair value input. We intend to convert this hotel in the near term into vacation ownership interests for future use in our North America points-based program, Marriott Vacation Club Destinations ™ (“MVCD”). In order to ensure consistency with the expected related future cash flow presentation, $46.6 million of the cash purchase price allocated to property and equipment was included as an operating activity in the Purchase of operating hotel for future conversion to inventory line on the Cash Flows for the twenty-four weeks ended June 19, 2015. The remaining $7.7 million was included as an investing activity in the Capital expenditures for property and equipment line on the Cash Flows for the twenty-four weeks ended June 19, 2015, as it was allocated to assets to be used prior to conversion of the hotel to vacation ownership interests, as well as ancillary and sales center assets to be retained after the conversion.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Orlando, Florida</w:t>
      </w:r>
    </w:p>
    <w:p>
      <w:pPr>
        <w:spacing w:after="0" w:line="119" w:lineRule="exact"/>
        <w:rPr>
          <w:sz w:val="20"/>
          <w:szCs w:val="20"/>
          <w:color w:val="auto"/>
        </w:rPr>
      </w:pPr>
    </w:p>
    <w:p>
      <w:pPr>
        <w:ind w:right="60" w:firstLine="913"/>
        <w:spacing w:after="0" w:line="256" w:lineRule="auto"/>
        <w:rPr>
          <w:sz w:val="20"/>
          <w:szCs w:val="20"/>
          <w:color w:val="auto"/>
        </w:rPr>
      </w:pPr>
      <w:r>
        <w:rPr>
          <w:rFonts w:ascii="Times New Roman" w:cs="Times New Roman" w:eastAsia="Times New Roman" w:hAnsi="Times New Roman"/>
          <w:sz w:val="18"/>
          <w:szCs w:val="18"/>
          <w:color w:val="auto"/>
        </w:rPr>
        <w:t>During the first quarter of 2014, we disposed of a golf course and adjacent undeveloped land in Orlando, Florida for $24.0 million in gross cash proceeds. As a condition of the sale, we continued to operate the golf course through the end of the first quarter of 2015 at our own risk. We utilized the performance of services method to record a gain of $3.1 million over the period during which we operated the golf course, of which $0 and $0.3 million is included in the Gains and other income line on the Statements of Income for the twelve weeks ended June 19, 2015 and June 20, 2014, respectively, and $0.9 million and $1.5 million is included in the Gains and other income line on the Statements of Income for the twenty-four weeks ended June 19, 2015 and June 20, 2014, respectively.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p>
      <w:pPr>
        <w:spacing w:after="0" w:line="121" w:lineRule="exact"/>
        <w:rPr>
          <w:sz w:val="20"/>
          <w:szCs w:val="20"/>
          <w:color w:val="auto"/>
        </w:rPr>
      </w:pPr>
    </w:p>
    <w:p>
      <w:pPr>
        <w:ind w:right="60" w:firstLine="913"/>
        <w:spacing w:after="0" w:line="256" w:lineRule="auto"/>
        <w:rPr>
          <w:sz w:val="20"/>
          <w:szCs w:val="20"/>
          <w:color w:val="auto"/>
        </w:rPr>
      </w:pPr>
      <w:r>
        <w:rPr>
          <w:rFonts w:ascii="Times New Roman" w:cs="Times New Roman" w:eastAsia="Times New Roman" w:hAnsi="Times New Roman"/>
          <w:sz w:val="18"/>
          <w:szCs w:val="18"/>
          <w:color w:val="auto"/>
        </w:rPr>
        <w:t>Basic earnings per common share is calculated by dividing net income attributable to common shareholders by the weighted average number of shares of common stock outstanding during the reporting period. Treasury stock is excluded from the weighted average number of shares of common stock outstanding.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 using average market prices during the period. The table below illustrates the reconciliation of the earnings and number of shares used in our calculation of basic and diluted earnings per share.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120" w:type="dxa"/>
            <w:vAlign w:val="bottom"/>
          </w:tcPr>
          <w:p>
            <w:pPr>
              <w:spacing w:after="0"/>
              <w:rPr>
                <w:sz w:val="15"/>
                <w:szCs w:val="15"/>
                <w:color w:val="auto"/>
              </w:rPr>
            </w:pPr>
          </w:p>
        </w:tc>
        <w:tc>
          <w:tcPr>
            <w:tcW w:w="258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580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r>
              <w:rPr>
                <w:rFonts w:ascii="Times New Roman" w:cs="Times New Roman" w:eastAsia="Times New Roman" w:hAnsi="Times New Roman"/>
                <w:sz w:val="12"/>
                <w:szCs w:val="12"/>
                <w:b w:val="1"/>
                <w:bCs w:val="1"/>
                <w:color w:val="auto"/>
              </w:rPr>
              <w:t>(1)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r>
              <w:rPr>
                <w:rFonts w:ascii="Times New Roman" w:cs="Times New Roman" w:eastAsia="Times New Roman" w:hAnsi="Times New Roman"/>
                <w:sz w:val="12"/>
                <w:szCs w:val="12"/>
                <w:b w:val="1"/>
                <w:bCs w:val="1"/>
                <w:color w:val="auto"/>
              </w:rPr>
              <w:t>(2)</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r>
              <w:rPr>
                <w:rFonts w:ascii="Times New Roman" w:cs="Times New Roman" w:eastAsia="Times New Roman" w:hAnsi="Times New Roman"/>
                <w:sz w:val="12"/>
                <w:szCs w:val="12"/>
                <w:b w:val="1"/>
                <w:bCs w:val="1"/>
                <w:color w:val="auto"/>
              </w:rPr>
              <w:t>(1)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r>
              <w:rPr>
                <w:rFonts w:ascii="Times New Roman" w:cs="Times New Roman" w:eastAsia="Times New Roman" w:hAnsi="Times New Roman"/>
                <w:sz w:val="12"/>
                <w:szCs w:val="12"/>
                <w:b w:val="1"/>
                <w:bCs w:val="1"/>
                <w:color w:val="auto"/>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Computation of Basic Earnings Per Share</w:t>
            </w: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34,041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35,303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68,095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54,611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31,858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34,292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32,078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Computation of Diluted Earnings Per Share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34,041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35,303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68,095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54,611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31,858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34,292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32,078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dilutive shares outstanding</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Employee stock options and SARs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Restricted stock units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for diluted earnings per share</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32,517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35,239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32,760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35,557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0890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45" w:lineRule="exact"/>
        <w:rPr>
          <w:sz w:val="20"/>
          <w:szCs w:val="20"/>
          <w:color w:val="auto"/>
        </w:rPr>
      </w:pPr>
    </w:p>
    <w:p>
      <w:pPr>
        <w:ind w:left="340" w:right="120" w:hanging="332"/>
        <w:spacing w:after="0" w:line="266" w:lineRule="auto"/>
        <w:tabs>
          <w:tab w:leader="none" w:pos="3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computations of diluted earnings per share exclude approximately 180,000 shares of common stock, the maximum number of shares issuable as of June 19, 2015 upon the vesting of certain performance-based awards, because the performance conditions required for the shares subject to such awards to vest were not achieved by the end of the reporting period.</w:t>
      </w:r>
    </w:p>
    <w:p>
      <w:pPr>
        <w:ind w:left="340" w:right="120" w:hanging="332"/>
        <w:spacing w:after="0" w:line="266" w:lineRule="auto"/>
        <w:tabs>
          <w:tab w:leader="none" w:pos="3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computations of diluted earnings per share exclude approximately 228,000 shares of common stock, the maximum number of shares issuable as of June 20, 2014 upon the vesting of certain performance-based awards, because the performance conditions required for the shares subject to such awards to vest were not achieved by the end of the reporting period.</w:t>
      </w:r>
    </w:p>
    <w:p>
      <w:pPr>
        <w:spacing w:after="0" w:line="68" w:lineRule="exact"/>
        <w:rPr>
          <w:sz w:val="20"/>
          <w:szCs w:val="20"/>
          <w:color w:val="auto"/>
        </w:rPr>
      </w:pPr>
    </w:p>
    <w:p>
      <w:pPr>
        <w:ind w:right="40" w:firstLine="913"/>
        <w:spacing w:after="0" w:line="261" w:lineRule="auto"/>
        <w:rPr>
          <w:sz w:val="20"/>
          <w:szCs w:val="20"/>
          <w:color w:val="auto"/>
        </w:rPr>
      </w:pPr>
      <w:r>
        <w:rPr>
          <w:rFonts w:ascii="Times New Roman" w:cs="Times New Roman" w:eastAsia="Times New Roman" w:hAnsi="Times New Roman"/>
          <w:sz w:val="18"/>
          <w:szCs w:val="18"/>
          <w:color w:val="auto"/>
        </w:rPr>
        <w:t>In accordance with the applicable accounting guidance for calculating earnings per share, for the twelve and twenty-four week periods ended June 19, 2015 and June 20, 2014, we have not excluded any shares underlying stock options or stock appreciation rights (“SARs”) that may be settled in shares of common stock from our calculation of diluted earnings per share as no exercise prices were greater than the average market prices for the applicable period.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INVENTORY</w:t>
      </w:r>
    </w:p>
    <w:p>
      <w:pPr>
        <w:spacing w:after="0" w:line="8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table shows the composition of our inventory balances:</w:t>
      </w:r>
    </w:p>
    <w:p>
      <w:pPr>
        <w:spacing w:after="0" w:line="244" w:lineRule="exact"/>
        <w:rPr>
          <w:sz w:val="20"/>
          <w:szCs w:val="20"/>
          <w:color w:val="auto"/>
        </w:rPr>
      </w:pPr>
    </w:p>
    <w:tbl>
      <w:tblPr>
        <w:tblLayout w:type="fixed"/>
        <w:tblInd w:w="700" w:type="dxa"/>
        <w:tblCellMar>
          <w:top w:w="0" w:type="dxa"/>
          <w:left w:w="0" w:type="dxa"/>
          <w:bottom w:w="0" w:type="dxa"/>
          <w:right w:w="0" w:type="dxa"/>
        </w:tblCellMar>
      </w:tblPr>
      <w:tr>
        <w:trPr>
          <w:trHeight w:val="175"/>
        </w:trPr>
        <w:tc>
          <w:tcPr>
            <w:tcW w:w="60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Pr>
          <w:p>
            <w:pPr>
              <w:spacing w:after="0"/>
              <w:rPr>
                <w:sz w:val="15"/>
                <w:szCs w:val="15"/>
                <w:color w:val="auto"/>
              </w:rPr>
            </w:pPr>
          </w:p>
        </w:tc>
        <w:tc>
          <w:tcPr>
            <w:tcW w:w="16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At June 19, 2015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At January 2, 2015</w:t>
            </w: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r>
              <w:rPr>
                <w:rFonts w:ascii="Times New Roman" w:cs="Times New Roman" w:eastAsia="Times New Roman" w:hAnsi="Times New Roman"/>
                <w:sz w:val="15"/>
                <w:szCs w:val="15"/>
                <w:color w:val="auto"/>
              </w:rPr>
              <w:t>(1)</w:t>
            </w: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335,329</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413,066</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Land and infrastructure</w:t>
            </w:r>
            <w:r>
              <w:rPr>
                <w:rFonts w:ascii="Times New Roman" w:cs="Times New Roman" w:eastAsia="Times New Roman" w:hAnsi="Times New Roman"/>
                <w:sz w:val="15"/>
                <w:szCs w:val="15"/>
                <w:color w:val="auto"/>
              </w:rPr>
              <w:t>(2)</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363,808</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355,198</w:t>
            </w:r>
          </w:p>
        </w:tc>
        <w:tc>
          <w:tcPr>
            <w:tcW w:w="60" w:type="dxa"/>
            <w:vAlign w:val="bottom"/>
          </w:tcPr>
          <w:p>
            <w:pPr>
              <w:spacing w:after="0"/>
              <w:rPr>
                <w:sz w:val="19"/>
                <w:szCs w:val="19"/>
                <w:color w:val="auto"/>
              </w:rPr>
            </w:pPr>
          </w:p>
        </w:tc>
      </w:tr>
      <w:tr>
        <w:trPr>
          <w:trHeight w:val="216"/>
        </w:trPr>
        <w:tc>
          <w:tcPr>
            <w:tcW w:w="60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Real estate inventory</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699,137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768,264</w:t>
            </w:r>
          </w:p>
        </w:tc>
        <w:tc>
          <w:tcPr>
            <w:tcW w:w="60" w:type="dxa"/>
            <w:vAlign w:val="bottom"/>
            <w:shd w:val="clear" w:color="auto" w:fill="CCEEFF"/>
          </w:tcPr>
          <w:p>
            <w:pPr>
              <w:spacing w:after="0"/>
              <w:rPr>
                <w:sz w:val="18"/>
                <w:szCs w:val="18"/>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Operating supplies and retail inventory</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5,570</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4,520</w:t>
            </w:r>
          </w:p>
        </w:tc>
        <w:tc>
          <w:tcPr>
            <w:tcW w:w="60" w:type="dxa"/>
            <w:vAlign w:val="bottom"/>
          </w:tcPr>
          <w:p>
            <w:pPr>
              <w:spacing w:after="0"/>
              <w:rPr>
                <w:sz w:val="19"/>
                <w:szCs w:val="19"/>
                <w:color w:val="auto"/>
              </w:rPr>
            </w:pPr>
          </w:p>
        </w:tc>
      </w:tr>
      <w:tr>
        <w:trPr>
          <w:trHeight w:val="216"/>
        </w:trPr>
        <w:tc>
          <w:tcPr>
            <w:tcW w:w="60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704,707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772,784</w:t>
            </w:r>
          </w:p>
        </w:tc>
        <w:tc>
          <w:tcPr>
            <w:tcW w:w="60" w:type="dxa"/>
            <w:vAlign w:val="bottom"/>
            <w:shd w:val="clear" w:color="auto" w:fill="CCEEFF"/>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94615</wp:posOffset>
            </wp:positionV>
            <wp:extent cx="10807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64" w:lineRule="exact"/>
        <w:rPr>
          <w:sz w:val="20"/>
          <w:szCs w:val="20"/>
          <w:color w:val="auto"/>
        </w:rPr>
      </w:pPr>
    </w:p>
    <w:p>
      <w:pPr>
        <w:ind w:left="1020" w:right="360" w:hanging="337"/>
        <w:spacing w:after="0" w:line="274" w:lineRule="auto"/>
        <w:tabs>
          <w:tab w:leader="none" w:pos="10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completed inventory that is either registered for sale as vacation ownership interests, or unregistered and available for sale in its current form.</w:t>
      </w:r>
    </w:p>
    <w:p>
      <w:pPr>
        <w:ind w:left="1020" w:right="340" w:hanging="337"/>
        <w:spacing w:after="0" w:line="282" w:lineRule="auto"/>
        <w:tabs>
          <w:tab w:leader="none" w:pos="10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$47.5 million of sales centers that are expected to be converted into vacation ownership products to be sold in the future and $83.2 million of inventory related to estimated future foreclosures at June 19, 2015.</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firstLine="913"/>
        <w:spacing w:after="0" w:line="282" w:lineRule="auto"/>
        <w:rPr>
          <w:sz w:val="20"/>
          <w:szCs w:val="20"/>
          <w:color w:val="auto"/>
        </w:rPr>
      </w:pPr>
      <w:r>
        <w:rPr>
          <w:rFonts w:ascii="Times New Roman" w:cs="Times New Roman" w:eastAsia="Times New Roman" w:hAnsi="Times New Roman"/>
          <w:sz w:val="18"/>
          <w:szCs w:val="18"/>
          <w:color w:val="auto"/>
        </w:rPr>
        <w:t>We value vacation ownership and residential products at the lower of cost or fair market value less costs to sell, in accordance with applicable accounting guidance, and we record operating supplies at the lower of cost (using the first-in, first-out method) or market value.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CONTINGENCIES AND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19"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We have historically issued guarantees to certain lenders in connection with the provision of third-party financing for our sale of vacation ownership products for the North America and Asia Pacific segments. The terms of these guarantees generally require us to fund if the purchaser fails to pay under the term of its note payable. Prior to the Spin-Off, Marriott International guaranteed our performance under these arrangements, and following the Spin-Off continues to hold a standby letter of credit related to the Asia Pacific segment guarantee. If Marriott International is required to fund any draws by lenders under this letter of credit it would seek recourse from us. Marriott International no longer guarantees our performance with respect to third-party financing for sales of products in the North America segment. We are entitled to recover any payments we make to third-party lenders under these guarantees through reacquisition and resale of the financed vacation ownership product. Our commitments under these guarantees expire as the underlying notes mature or are repaid. The terms of the underlying notes extend to 2022.</w:t>
      </w:r>
    </w:p>
    <w:p>
      <w:pPr>
        <w:spacing w:after="0" w:line="77" w:lineRule="exact"/>
        <w:rPr>
          <w:sz w:val="20"/>
          <w:szCs w:val="20"/>
          <w:color w:val="auto"/>
        </w:rPr>
      </w:pPr>
    </w:p>
    <w:p>
      <w:pPr>
        <w:ind w:right="120" w:firstLine="913"/>
        <w:spacing w:after="0" w:line="282" w:lineRule="auto"/>
        <w:rPr>
          <w:sz w:val="20"/>
          <w:szCs w:val="20"/>
          <w:color w:val="auto"/>
        </w:rPr>
      </w:pPr>
      <w:r>
        <w:rPr>
          <w:rFonts w:ascii="Times New Roman" w:cs="Times New Roman" w:eastAsia="Times New Roman" w:hAnsi="Times New Roman"/>
          <w:sz w:val="18"/>
          <w:szCs w:val="18"/>
          <w:color w:val="auto"/>
        </w:rPr>
        <w:t>The following table shows the maximum potential amount of future fundings for financing guarantees where we are the primary obligor and the carrying amount of the liability for expected future fundings, which is included on our Balance Sheet in the Other caption within Liabilities.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Maximum Potential</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Liability for Expected</w:t>
            </w:r>
          </w:p>
        </w:tc>
        <w:tc>
          <w:tcPr>
            <w:tcW w:w="0" w:type="dxa"/>
            <w:vAlign w:val="bottom"/>
          </w:tcPr>
          <w:p>
            <w:pPr>
              <w:spacing w:after="0"/>
              <w:rPr>
                <w:sz w:val="1"/>
                <w:szCs w:val="1"/>
                <w:color w:val="auto"/>
              </w:rPr>
            </w:pPr>
          </w:p>
        </w:tc>
      </w:tr>
      <w:tr>
        <w:trPr>
          <w:trHeight w:val="149"/>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20" w:type="dxa"/>
            <w:vAlign w:val="bottom"/>
          </w:tcPr>
          <w:p>
            <w:pPr>
              <w:spacing w:after="0"/>
              <w:rPr>
                <w:sz w:val="12"/>
                <w:szCs w:val="12"/>
                <w:color w:val="auto"/>
              </w:rPr>
            </w:pPr>
          </w:p>
        </w:tc>
        <w:tc>
          <w:tcPr>
            <w:tcW w:w="19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Amount of Future Fundings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Future Fundings</w:t>
            </w:r>
          </w:p>
        </w:tc>
        <w:tc>
          <w:tcPr>
            <w:tcW w:w="0" w:type="dxa"/>
            <w:vAlign w:val="bottom"/>
          </w:tcPr>
          <w:p>
            <w:pPr>
              <w:spacing w:after="0"/>
              <w:rPr>
                <w:sz w:val="1"/>
                <w:szCs w:val="1"/>
                <w:color w:val="auto"/>
              </w:rPr>
            </w:pPr>
          </w:p>
        </w:tc>
      </w:tr>
      <w:tr>
        <w:trPr>
          <w:trHeight w:val="173"/>
        </w:trPr>
        <w:tc>
          <w:tcPr>
            <w:tcW w:w="5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At June 19, 2015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At June 19, 2015</w:t>
            </w: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Segment</w:t>
            </w:r>
          </w:p>
        </w:tc>
        <w:tc>
          <w:tcPr>
            <w:tcW w:w="12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6,769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2,846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guarantees where we are the primary obligor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vMerge w:val="restart"/>
          </w:tcPr>
          <w:p>
            <w:pPr>
              <w:jc w:val="right"/>
              <w:ind w:right="139"/>
              <w:spacing w:after="0"/>
              <w:rPr>
                <w:sz w:val="20"/>
                <w:szCs w:val="20"/>
                <w:color w:val="auto"/>
              </w:rPr>
            </w:pPr>
            <w:r>
              <w:rPr>
                <w:rFonts w:ascii="Times New Roman" w:cs="Times New Roman" w:eastAsia="Times New Roman" w:hAnsi="Times New Roman"/>
                <w:sz w:val="18"/>
                <w:szCs w:val="18"/>
                <w:color w:val="auto"/>
              </w:rPr>
              <w:t>9,615</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vMerge w:val="restart"/>
          </w:tcPr>
          <w:p>
            <w:pPr>
              <w:jc w:val="right"/>
              <w:ind w:right="139"/>
              <w:spacing w:after="0"/>
              <w:rPr>
                <w:sz w:val="20"/>
                <w:szCs w:val="20"/>
                <w:color w:val="auto"/>
              </w:rPr>
            </w:pPr>
            <w:r>
              <w:rPr>
                <w:rFonts w:ascii="Times New Roman" w:cs="Times New Roman" w:eastAsia="Times New Roman" w:hAnsi="Times New Roman"/>
                <w:sz w:val="18"/>
                <w:szCs w:val="18"/>
                <w:color w:val="auto"/>
              </w:rPr>
              <w:t>262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90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Letters of Credit</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 addition to the guarantees we describe in the preceding paragraphs, as of June 19, 2015, we had the following commitments outstanding:</w:t>
      </w:r>
    </w:p>
    <w:p>
      <w:pPr>
        <w:spacing w:after="0" w:line="131" w:lineRule="exact"/>
        <w:rPr>
          <w:sz w:val="20"/>
          <w:szCs w:val="20"/>
          <w:color w:val="auto"/>
        </w:rPr>
      </w:pPr>
    </w:p>
    <w:p>
      <w:pPr>
        <w:ind w:left="1480" w:right="40" w:hanging="446"/>
        <w:spacing w:after="0" w:line="266" w:lineRule="auto"/>
        <w:tabs>
          <w:tab w:leader="none" w:pos="1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various contracts for the use of information technology hardware and software that we use in the normal course of business. Our aggregate commitments under these contracts were $31.0 million, of which we expect $10.3 million, $6.6 million, $5.8 million, $2.7 million, $1.5 million and $4.1 million will be paid in 2015, 2016, 2017, 2018, 2019 and thereafter, respectively.</w:t>
      </w:r>
    </w:p>
    <w:p>
      <w:pPr>
        <w:spacing w:after="0" w:line="81"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commitments of $3.2 million to subsidize vacation ownership associations, which we expect to pay in the second half of 2015.</w:t>
      </w:r>
    </w:p>
    <w:p>
      <w:pPr>
        <w:spacing w:after="0" w:line="130" w:lineRule="exact"/>
        <w:rPr>
          <w:rFonts w:ascii="Times New Roman" w:cs="Times New Roman" w:eastAsia="Times New Roman" w:hAnsi="Times New Roman"/>
          <w:sz w:val="18"/>
          <w:szCs w:val="18"/>
          <w:color w:val="auto"/>
        </w:rPr>
      </w:pPr>
    </w:p>
    <w:p>
      <w:pPr>
        <w:ind w:left="1480" w:hanging="446"/>
        <w:spacing w:after="0" w:line="258" w:lineRule="auto"/>
        <w:tabs>
          <w:tab w:leader="none" w:pos="1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commitment of $75.5 million to purchase vacation ownership units located in Miami, Florida, contingent upon satisfactory completion of construction and receipt of a certificate of occupancy, for use in our MVCD program. We made a deposit of $3.8 million in connection with this commitment in 2014, and we are committed to make an additional deposit of $3.8 million upon the seller’s receipt of a temporary certificate of occupancy and the remaining payment of $67.9 million upon acquisition of the units, which we expect to occur within one year. We are currently evaluating the use of a capital efficient arrangement to delay the timing of this capital investment.</w:t>
      </w:r>
    </w:p>
    <w:p>
      <w:pPr>
        <w:spacing w:after="0" w:line="89" w:lineRule="exact"/>
        <w:rPr>
          <w:rFonts w:ascii="Times New Roman" w:cs="Times New Roman" w:eastAsia="Times New Roman" w:hAnsi="Times New Roman"/>
          <w:sz w:val="18"/>
          <w:szCs w:val="18"/>
          <w:color w:val="auto"/>
        </w:rPr>
      </w:pPr>
    </w:p>
    <w:p>
      <w:pPr>
        <w:ind w:left="1480" w:right="80" w:hanging="446"/>
        <w:spacing w:after="0" w:line="258" w:lineRule="auto"/>
        <w:tabs>
          <w:tab w:leader="none" w:pos="1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commitment of $38.5 million to purchase vacation ownership units located on the Big Island of Hawaii, for use in our MVCD program, contingent upon the seller subjecting the units to a condominium regime prior to our purchase. We made a deposit of $1.5 million in connection with this commitment in 2014, and we are committed to make the remaining payment of $37.0 million upon satisfaction of the condition that the seller subject the units to a condominium regime, which we expect to occur within one year. Upon acquisition, we are committed to renovate the units pursuant to a property improvement plan to be agreed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480" w:right="120"/>
        <w:spacing w:after="0" w:line="282" w:lineRule="auto"/>
        <w:rPr>
          <w:sz w:val="20"/>
          <w:szCs w:val="20"/>
          <w:color w:val="auto"/>
        </w:rPr>
      </w:pPr>
      <w:r>
        <w:rPr>
          <w:rFonts w:ascii="Times New Roman" w:cs="Times New Roman" w:eastAsia="Times New Roman" w:hAnsi="Times New Roman"/>
          <w:sz w:val="18"/>
          <w:szCs w:val="18"/>
          <w:color w:val="auto"/>
        </w:rPr>
        <w:t>upon at a later date, for which an additional $45.0 million to $55.0 million will be required to be funded. We are currently evaluating the use of a capital efficient arrangement to delay the timing of this capital investment.</w:t>
      </w:r>
    </w:p>
    <w:p>
      <w:pPr>
        <w:spacing w:after="0" w:line="94" w:lineRule="exact"/>
        <w:rPr>
          <w:sz w:val="20"/>
          <w:szCs w:val="20"/>
          <w:color w:val="auto"/>
        </w:rPr>
      </w:pPr>
    </w:p>
    <w:p>
      <w:pPr>
        <w:ind w:left="1480" w:hanging="446"/>
        <w:spacing w:after="0"/>
        <w:tabs>
          <w:tab w:leader="none" w:pos="1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commitment of $137.1 million to purchase vacation ownership units located in Marco Island, Florida, of which we expect</w:t>
      </w:r>
    </w:p>
    <w:p>
      <w:pPr>
        <w:spacing w:after="0" w:line="27" w:lineRule="exact"/>
        <w:rPr>
          <w:rFonts w:ascii="Times New Roman" w:cs="Times New Roman" w:eastAsia="Times New Roman" w:hAnsi="Times New Roman"/>
          <w:sz w:val="18"/>
          <w:szCs w:val="18"/>
          <w:color w:val="auto"/>
        </w:rPr>
      </w:pPr>
    </w:p>
    <w:p>
      <w:pPr>
        <w:ind w:left="1480"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 million, $50.0 million and $53.8 million will be paid in 2017, 2018 and 2019, respectively. See Footnote No. 5, “Acquisitions and Dispositions,” for additional information on this transaction.</w:t>
      </w:r>
    </w:p>
    <w:p>
      <w:pPr>
        <w:spacing w:after="0" w:line="112" w:lineRule="exact"/>
        <w:rPr>
          <w:rFonts w:ascii="Times New Roman" w:cs="Times New Roman" w:eastAsia="Times New Roman" w:hAnsi="Times New Roman"/>
          <w:sz w:val="18"/>
          <w:szCs w:val="18"/>
          <w:color w:val="auto"/>
        </w:rPr>
      </w:pPr>
    </w:p>
    <w:p>
      <w:pPr>
        <w:ind w:left="1480" w:right="20" w:hanging="446"/>
        <w:spacing w:after="0" w:line="266" w:lineRule="auto"/>
        <w:tabs>
          <w:tab w:leader="none" w:pos="1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commitment of AUD $84.5 million ($65.8 million) to purchase an operating hotel located in Surfers Paradise, Australia. We made a deposit of AUD $8.5 million ($6.5 million) in connection with this commitment during the second quarter of 2015, and we expect to acquire the operating hotel and pay the remaining AUD $76.0 million ($59.3 million) in the third quarter of 2015.</w:t>
      </w:r>
    </w:p>
    <w:p>
      <w:pPr>
        <w:spacing w:after="0" w:line="109"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Surety bonds issued as of June 19, 2015 totaled $77.9 million, the majority of which were requested by federal, state or local governments related to our operations.</w:t>
      </w:r>
    </w:p>
    <w:p>
      <w:pPr>
        <w:spacing w:after="0" w:line="94" w:lineRule="exact"/>
        <w:rPr>
          <w:sz w:val="20"/>
          <w:szCs w:val="20"/>
          <w:color w:val="auto"/>
        </w:rPr>
      </w:pPr>
    </w:p>
    <w:p>
      <w:pPr>
        <w:ind w:right="600" w:firstLine="913"/>
        <w:spacing w:after="0" w:line="282" w:lineRule="auto"/>
        <w:rPr>
          <w:sz w:val="20"/>
          <w:szCs w:val="20"/>
          <w:color w:val="auto"/>
        </w:rPr>
      </w:pPr>
      <w:r>
        <w:rPr>
          <w:rFonts w:ascii="Times New Roman" w:cs="Times New Roman" w:eastAsia="Times New Roman" w:hAnsi="Times New Roman"/>
          <w:sz w:val="18"/>
          <w:szCs w:val="18"/>
          <w:color w:val="auto"/>
        </w:rPr>
        <w:t>Additionally, as of June 19, 2015, we had $3.3 million of letters of credit outstanding under our $200 million revolving credit facility (the “Revolving Corporate Credit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Contingencies</w:t>
      </w:r>
    </w:p>
    <w:p>
      <w:pPr>
        <w:spacing w:after="0" w:line="119" w:lineRule="exact"/>
        <w:rPr>
          <w:sz w:val="20"/>
          <w:szCs w:val="20"/>
          <w:color w:val="auto"/>
        </w:rPr>
      </w:pPr>
    </w:p>
    <w:p>
      <w:pPr>
        <w:ind w:right="40" w:firstLine="913"/>
        <w:spacing w:after="0" w:line="254" w:lineRule="auto"/>
        <w:rPr>
          <w:sz w:val="20"/>
          <w:szCs w:val="20"/>
          <w:color w:val="auto"/>
        </w:rPr>
      </w:pPr>
      <w:r>
        <w:rPr>
          <w:rFonts w:ascii="Times New Roman" w:cs="Times New Roman" w:eastAsia="Times New Roman" w:hAnsi="Times New Roman"/>
          <w:sz w:val="18"/>
          <w:szCs w:val="18"/>
          <w:color w:val="auto"/>
        </w:rPr>
        <w:t>In December 2012, Jon Benner, an owner of fractional interests at The Ritz-Carlton Club and Residences, San Francisco (the “RCC San Francisco”), filed suit in Superior Court for the State of California, County of San Francisco, against us and certain of our subsidiaries on behalf of a putative class consisting of all owners of fractional interests at the RCC San Francisco who allegedly did not receive proper notice of their payment obligations under California’s Mello-Roos Community Facilities Act of 1982 (the “Mello-Roos Act”). The plaintiff alleged that the disclosures made about bonds issued for the project under this Act and the payment obligations of fractional interest purchasers with respect to such bonds were inadequate, and this and other alleged statutory violations constituted intentional and negligent misrepresentation, fraud and fraudulent concealment. The relief sought included damages in an unspecified amount, rescission of the purchases, restitution and disgorgement of profits. In September 2014, we reached an agreement to settle the Benner action on the basis of a stipulated class, which was approved by the court on March 31, 2015. At June 19, 2015, we had an accrual of $2.9 million related to the settlement.</w:t>
      </w:r>
    </w:p>
    <w:p>
      <w:pPr>
        <w:spacing w:after="0" w:line="122" w:lineRule="exact"/>
        <w:rPr>
          <w:sz w:val="20"/>
          <w:szCs w:val="20"/>
          <w:color w:val="auto"/>
        </w:rPr>
      </w:pPr>
    </w:p>
    <w:p>
      <w:pPr>
        <w:ind w:right="40" w:firstLine="913"/>
        <w:spacing w:after="0" w:line="252" w:lineRule="auto"/>
        <w:rPr>
          <w:sz w:val="20"/>
          <w:szCs w:val="20"/>
          <w:color w:val="auto"/>
        </w:rPr>
      </w:pPr>
      <w:r>
        <w:rPr>
          <w:rFonts w:ascii="Times New Roman" w:cs="Times New Roman" w:eastAsia="Times New Roman" w:hAnsi="Times New Roman"/>
          <w:sz w:val="18"/>
          <w:szCs w:val="18"/>
          <w:color w:val="auto"/>
        </w:rPr>
        <w:t>In April 2013, Krishna and Sherrie Narayan and other owners of 12 residential units at the resort formerly known as The Ritz-Carlton Residences, Kapalua Bay (“Kapalua Bay”) filed an amended complaint related to a suit originally filed in Circuit Court for Maui County, Hawaii in June 2012 against us, certain of our subsidiaries, Marriott International, certain of its subsidiaries, and the joint venture in which we have an equity investment that developed and marketed vacation ownership and residential products at Kapalua Bay (the “Joint Venture”). In the original complaint, the plaintiffs alleged that defendants mismanaged funds of the residential owners association (the “Kapalua Bay Association”), created a conflict of interest by permitting their employees to serve on the Kapalua Bay Association’s board, and failed to disclose documents to which the plaintiffs were allegedly entitled. The amended complaint alleges breach of fiduciary duty, violations of the Hawaii Unfair and Deceptive Trade Practices Act and the Hawaii condominium statute, intentional misrepresentation and concealment, unjust enrichment and civil conspiracy. The relief sought in the amended complaint includes injunctive relief, repayment of all sums paid to us and our subsidiaries and Marriott International and its subsidiaries, compensatory and punitive damages, and treble damages under the Hawaii Unfair and Deceptive Trade Practices Act. We dispute the material allegations in the amended complaint and continue to defend against this action vigorously. We filed a motion in the Circuit Court to compel arbitration of plaintiffs’ claims. That motion was denied, but on appeal the Hawaii Intermediate Court of Appeals reversed. The Hawaii Supreme Court, on June 3, 2015, reversed the decision of the Intermediate Court of Appeals and reinstated the action in Circuit Court. Additionally, in 2014, owners of two residential units agreed to release their claims in this action. Given the inherent uncertainties of litigation, we cannot estimate a range of the potential liability, if any, at this time.</w:t>
      </w:r>
    </w:p>
    <w:p>
      <w:pPr>
        <w:spacing w:after="0" w:line="131"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In June 2013, Earl C. and Patricia A. Charles, owners of a fractional interest at Kapalua Bay, together with owners of 38 other fractional interests at Kapalua Bay, filed an amended complaint in the Circuit Court of the Second Circuit for the State of Hawaii against us, certain of our subsidiaries, Marriott International, certain of its subsidiaries, the Joint Venture, and other entities that have equity investments in the Joint Venture. The plaintiffs allege that the defendants failed to disclose the financial condition of the Joint Venture and the commitment of the defendants to the Joint Venture, and that defendants’ actions constituted fraud and violated the Hawaii Unfair and Deceptive Trade Practices Act, the Hawaii Condominium Property Act and the Hawaii Time Sharing Plans statute. The relief sought includes compensatory and punitive damages, attorneys’ fees, pre-judgment interest, declaratory relief, rescission and treble damages under the Hawaii Unfair and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Deceptive Trade Practices Act. The complaint was subsequently further amended to add owners of two additional fractional interests as plaintiffs. The Circuit Court granted our motion to compel arbitration of the claims asserted by the plaintiffs. Plaintiffs appealed that decision to the Hawaii Intermediate Court of Appeals and also initiated arbitration. Following the decision of the Hawaii Supreme Court in the Narayan action, the Maui Circuit Court stayed all arbitration and litigation proceedings in the Charles matter pending the decision of the Intermediate Court of Appeals. We dispute the material allegations in the amended complaint and in the statement of claim filed in the arbitration and intend to defend against this action vigorously. Given the early stages of the action and the inherent uncertainties of litigation and arbitration, we cannot estimate a range of the potential liability, if any, at this time. Additionally, owners of two fractional interests have since agreed to release their claims in this action, and the owners of another fractional interest, who are not parties to the Charles action, have agreed to release similar claims, in each instance for nominal sums.</w:t>
      </w:r>
    </w:p>
    <w:p>
      <w:pPr>
        <w:spacing w:after="0" w:line="77" w:lineRule="exact"/>
        <w:rPr>
          <w:sz w:val="20"/>
          <w:szCs w:val="20"/>
          <w:color w:val="auto"/>
        </w:rPr>
      </w:pPr>
    </w:p>
    <w:p>
      <w:pPr>
        <w:ind w:right="100" w:firstLine="913"/>
        <w:spacing w:after="0" w:line="256" w:lineRule="auto"/>
        <w:rPr>
          <w:sz w:val="20"/>
          <w:szCs w:val="20"/>
          <w:color w:val="auto"/>
        </w:rPr>
      </w:pPr>
      <w:r>
        <w:rPr>
          <w:rFonts w:ascii="Times New Roman" w:cs="Times New Roman" w:eastAsia="Times New Roman" w:hAnsi="Times New Roman"/>
          <w:sz w:val="18"/>
          <w:szCs w:val="18"/>
          <w:color w:val="auto"/>
        </w:rPr>
        <w:t>In August 2014, Michael and Marla Flynn, owners of weeks-based Marriott Vacation Club vacation ownership products at two of our resorts in Hawaii, filed a claim with the American Arbitration Association on behalf of a putative class consisting of themselves and all others similarly situated. The claimants alleged that the introduction of the MVCD program caused an actionable decrease in the value of their vacation ownership interests. The relief sought includes compensatory and exemplary damages, restitution, injunctive relief, interest and attorneys’ fees pursuant to applicable timeshare and unfair trade practices acts and common-law theories of breach of contract and breach of an implied covenant of good faith and fair dealing. On March 30, 2015, the arbitrator ruled that the Flynns’ claims are not subject to arbitration, and dismissed the Flynn proceeding.</w:t>
      </w:r>
    </w:p>
    <w:p>
      <w:pPr>
        <w:spacing w:after="0" w:line="80" w:lineRule="exact"/>
        <w:rPr>
          <w:sz w:val="20"/>
          <w:szCs w:val="20"/>
          <w:color w:val="auto"/>
        </w:rPr>
      </w:pPr>
    </w:p>
    <w:p>
      <w:pPr>
        <w:ind w:right="20" w:firstLine="913"/>
        <w:spacing w:after="0" w:line="256" w:lineRule="auto"/>
        <w:rPr>
          <w:sz w:val="20"/>
          <w:szCs w:val="20"/>
          <w:color w:val="auto"/>
        </w:rPr>
      </w:pPr>
      <w:r>
        <w:rPr>
          <w:rFonts w:ascii="Times New Roman" w:cs="Times New Roman" w:eastAsia="Times New Roman" w:hAnsi="Times New Roman"/>
          <w:sz w:val="18"/>
          <w:szCs w:val="18"/>
          <w:color w:val="auto"/>
        </w:rPr>
        <w:t>In August 2014, William Sterman, an owner of a weeks-based Marriott Vacation Club vacation ownership product at our resort in Massachusetts, filed a claim with the American Arbitration Association on behalf of a putative class consisting of himself and all others similarly situated. The claims alleged and the relief sought are substantially similar to the claims alleged and the relief sought by the Flynns. On June 15, 2015, the arbitrator granted our motion to dismiss in part and denied it in part, and denied Mr. Sterman’s request to proceed with a class action. On July 7, 2015, the parties filed a stipulation of dismissal with prejudice as to the remaining claim in arbitration, and also filed a joint motion to dismiss our appeal that was pending in the Eleventh Circuit of the decision by the District Court that the arbitrability of Mr. Sterman’s claims must be resolved by an arbitrator.</w:t>
      </w:r>
    </w:p>
    <w:p>
      <w:pPr>
        <w:spacing w:after="0" w:line="80"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On January 29, 2015, Norman and Carreen Abramson, owners of weeks-based Marriott Vacation Club vacation ownership products at one of our resorts in California and of our points-based Marriott Vacation Club vacation ownership product, filed an action in the United States District Court for the Central District of California on behalf of a putative class consisting of themselves and all others similarly situated. The claims alleged and the relief sought are substantially similar to the claims alleged and the relief sought by the Flynns. On March 30, 2015, we filed a motion to dismiss the Abramson action, which remains pending. On June 30, 2015, Mr. Abramson filed a motion for class certification. On July 10, 2015, we filed a motion requesting that proceedings on the class certification motion be deferred until after resolution of our motion to dismiss and the taking of discovery on Mr. Abramson’s class claims, which motion also remains pending. We dispute the material allegations in the California action and intend to defend against them vigorously. Given the early stages of the action and the inherent uncertainties of litigation, we cannot estimate a range of potential liability, if any, at this time.</w:t>
      </w:r>
    </w:p>
    <w:p>
      <w:pPr>
        <w:spacing w:after="0" w:line="77"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On May 26, 2015, we and certain of our subsidiaries were named as defendants in an action filed in the Superior Court of San Francisco County, California, by William and Sharon Petrick and certain other present and former owners of fractional interests at the RCC San Francisco. The case is not filed as a putative class action. The plaintiffs allege that the affiliation of the RCC San Francisco with the Marriott Vacation Club, certain alleged sales practices, and other alleged acts of Marriott Vacations Worldwide and the other defendants caused an actionable decrease in the value of their fractional interests. The relief sought includes, among other things, compensatory and punitive damages, rescission, and pre- and post-judgment interest. We dispute the material allegations in the complaint and intend to defend against the action vigorously. Given the early stages of the action and the inherent uncertainties of litigation, we cannot estimate a range of the potential liability, if any, at this time.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ind w:right="120" w:firstLine="913"/>
        <w:spacing w:after="0" w:line="266" w:lineRule="auto"/>
        <w:rPr>
          <w:sz w:val="20"/>
          <w:szCs w:val="20"/>
          <w:color w:val="auto"/>
        </w:rPr>
      </w:pPr>
      <w:r>
        <w:rPr>
          <w:rFonts w:ascii="Times New Roman" w:cs="Times New Roman" w:eastAsia="Times New Roman" w:hAnsi="Times New Roman"/>
          <w:sz w:val="18"/>
          <w:szCs w:val="18"/>
          <w:color w:val="auto"/>
        </w:rPr>
        <w:t>We estimate the cash outflow associated with completing the phases of our existing portfolio of vacation ownership projects currently under development will be approximately $10.2 million, of which $4.4 million is included within liabilities on our Balance Sheet at June 19, 2015. This estimate is based on our current development plans, which remain subject to change, and we expect the phases currently under development will be completed by 2017.</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61" w:lineRule="auto"/>
        <w:rPr>
          <w:sz w:val="20"/>
          <w:szCs w:val="20"/>
          <w:color w:val="auto"/>
        </w:rPr>
      </w:pPr>
      <w:r>
        <w:rPr>
          <w:rFonts w:ascii="Times New Roman" w:cs="Times New Roman" w:eastAsia="Times New Roman" w:hAnsi="Times New Roman"/>
          <w:sz w:val="18"/>
          <w:szCs w:val="18"/>
          <w:color w:val="auto"/>
        </w:rPr>
        <w:t>During the second quarter of 2014, we agreed to settle a dispute with a service provider relating to services provided to us prior to 2011. In connection with the settlement, we received a one-time payment of $7.6 million from the service provider, which no longer provides services to us. We recorded a gain of $7.6 million as a result of the settlement, which is included in the Litigation settlement line on the Statements of Income for the twelve and twenty-four weeks ended June 20, 2014.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table provides detail on our debt balances, net of unamortized debt issuance costs:</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72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40" w:type="dxa"/>
            <w:vAlign w:val="bottom"/>
          </w:tcPr>
          <w:p>
            <w:pPr>
              <w:spacing w:after="0"/>
              <w:rPr>
                <w:sz w:val="15"/>
                <w:szCs w:val="15"/>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At June 19, 2015</w:t>
            </w:r>
          </w:p>
        </w:tc>
        <w:tc>
          <w:tcPr>
            <w:tcW w:w="260" w:type="dxa"/>
            <w:vAlign w:val="bottom"/>
          </w:tcPr>
          <w:p>
            <w:pPr>
              <w:spacing w:after="0"/>
              <w:rPr>
                <w:sz w:val="15"/>
                <w:szCs w:val="15"/>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At January 2, 2015</w:t>
            </w:r>
          </w:p>
        </w:tc>
      </w:tr>
      <w:tr>
        <w:trPr>
          <w:trHeight w:val="210"/>
        </w:trPr>
        <w:tc>
          <w:tcPr>
            <w:tcW w:w="7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 ownership notes receivable securitizations, gross</w:t>
            </w:r>
            <w:r>
              <w:rPr>
                <w:rFonts w:ascii="Times New Roman" w:cs="Times New Roman" w:eastAsia="Times New Roman" w:hAnsi="Times New Roman"/>
                <w:sz w:val="15"/>
                <w:szCs w:val="15"/>
                <w:color w:val="auto"/>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564,657</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708,031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(6,676)</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(8,090)</w:t>
            </w:r>
          </w:p>
        </w:tc>
        <w:tc>
          <w:tcPr>
            <w:tcW w:w="100" w:type="dxa"/>
            <w:vAlign w:val="bottom"/>
          </w:tcPr>
          <w:p>
            <w:pPr>
              <w:spacing w:after="0"/>
              <w:rPr>
                <w:sz w:val="19"/>
                <w:szCs w:val="19"/>
                <w:color w:val="auto"/>
              </w:rPr>
            </w:pPr>
          </w:p>
        </w:tc>
      </w:tr>
      <w:tr>
        <w:trPr>
          <w:trHeight w:val="216"/>
        </w:trPr>
        <w:tc>
          <w:tcPr>
            <w:tcW w:w="7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557,981</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699,941</w:t>
            </w:r>
          </w:p>
        </w:tc>
        <w:tc>
          <w:tcPr>
            <w:tcW w:w="100" w:type="dxa"/>
            <w:vAlign w:val="bottom"/>
            <w:shd w:val="clear" w:color="auto" w:fill="CCEEFF"/>
          </w:tcPr>
          <w:p>
            <w:pPr>
              <w:spacing w:after="0"/>
              <w:rPr>
                <w:sz w:val="18"/>
                <w:szCs w:val="18"/>
                <w:color w:val="auto"/>
              </w:rPr>
            </w:pPr>
          </w:p>
        </w:tc>
      </w:tr>
      <w:tr>
        <w:trPr>
          <w:trHeight w:val="32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 debt, gross</w:t>
            </w:r>
          </w:p>
        </w:tc>
        <w:tc>
          <w:tcPr>
            <w:tcW w:w="140" w:type="dxa"/>
            <w:vAlign w:val="bottom"/>
          </w:tcPr>
          <w:p>
            <w:pPr>
              <w:spacing w:after="0"/>
              <w:rPr>
                <w:sz w:val="24"/>
                <w:szCs w:val="24"/>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3,416</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3,306</w:t>
            </w:r>
          </w:p>
        </w:tc>
        <w:tc>
          <w:tcPr>
            <w:tcW w:w="100" w:type="dxa"/>
            <w:vAlign w:val="bottom"/>
          </w:tcPr>
          <w:p>
            <w:pPr>
              <w:spacing w:after="0"/>
              <w:rPr>
                <w:sz w:val="24"/>
                <w:szCs w:val="24"/>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8"/>
                <w:szCs w:val="18"/>
                <w:color w:val="auto"/>
              </w:rPr>
            </w:pPr>
          </w:p>
        </w:tc>
      </w:tr>
      <w:tr>
        <w:trPr>
          <w:trHeight w:val="228"/>
        </w:trPr>
        <w:tc>
          <w:tcPr>
            <w:tcW w:w="7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3,152</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Pr>
          <w:p>
            <w:pPr>
              <w:spacing w:after="0"/>
              <w:rPr>
                <w:sz w:val="19"/>
                <w:szCs w:val="19"/>
                <w:color w:val="auto"/>
              </w:rPr>
            </w:pPr>
          </w:p>
        </w:tc>
      </w:tr>
      <w:tr>
        <w:trPr>
          <w:trHeight w:val="103"/>
        </w:trPr>
        <w:tc>
          <w:tcPr>
            <w:tcW w:w="7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7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561,133</w:t>
            </w:r>
          </w:p>
        </w:tc>
        <w:tc>
          <w:tcPr>
            <w:tcW w:w="6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703,013</w:t>
            </w:r>
          </w:p>
        </w:tc>
        <w:tc>
          <w:tcPr>
            <w:tcW w:w="100" w:type="dxa"/>
            <w:vAlign w:val="bottom"/>
            <w:shd w:val="clear" w:color="auto" w:fill="CCEEFF"/>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94615</wp:posOffset>
            </wp:positionV>
            <wp:extent cx="10890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4" w:lineRule="exact"/>
        <w:rPr>
          <w:sz w:val="20"/>
          <w:szCs w:val="20"/>
          <w:color w:val="auto"/>
        </w:rPr>
      </w:pPr>
    </w:p>
    <w:p>
      <w:pPr>
        <w:ind w:left="840" w:hanging="265"/>
        <w:spacing w:after="0"/>
        <w:tabs>
          <w:tab w:leader="none" w:pos="8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Interest rates as of June 19, 2015 range from 2.2% to 7.2% with a weighted average interest rate of 2.9%.</w:t>
      </w:r>
    </w:p>
    <w:p>
      <w:pPr>
        <w:spacing w:after="0" w:line="266"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See Footnote No. 13, “Variable Interest Entities,” for a discussion of the collateral for the non-recourse debt associated with the securitized vacation ownership notes receivable and our non-recourse warehouse credit facility (the “Warehouse Credit Facility”). All of our other debt was, and to the extent currently outstanding is, recourse to us but unsecured. The Warehouse Credit Facility currently terminates on September 15, 2016 and if not renewed,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As of June 19, 2015, there were no cash borrowings outstanding under our Warehouse Credit Facility. We generally expect to securitize our vacation ownership notes receivable, including any vacation ownership notes receivable held in the Warehouse Credit Facility, in the ABS market once per year.</w:t>
      </w:r>
    </w:p>
    <w:p>
      <w:pPr>
        <w:spacing w:after="0" w:line="77"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Although no cash borrowings were outstanding as of June 19, 2015 under our Revolving Corporate Credit Facility, any amounts that are borrowed under that facility, as well as obligations with respect to letters of credit issued pursuant to that facility, are secured by a perfected first priority security interest in substantially all of the assets of the borrower under, and guarantors of, that facility (which include Marriott Vacations Worldwide and each of our direct and indirect, existing and future, domestic subsidiaries, excluding certain bankruptcy remote special purpose subsidiaries), in each case including inventory, subject to certain exceptions.</w:t>
      </w:r>
    </w:p>
    <w:p>
      <w:pPr>
        <w:spacing w:after="0" w:line="1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table shows scheduled future principal payments for our debt:</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Vacation Ownership</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Notes Receivable</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90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 xml:space="preserve">Securitizations </w:t>
            </w:r>
            <w:r>
              <w:rPr>
                <w:rFonts w:ascii="Times New Roman" w:cs="Times New Roman" w:eastAsia="Times New Roman" w:hAnsi="Times New Roman"/>
                <w:sz w:val="12"/>
                <w:szCs w:val="12"/>
                <w:b w:val="1"/>
                <w:bCs w:val="1"/>
                <w:color w:val="auto"/>
              </w:rPr>
              <w:t>(1)</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Debt Principal Payments Year</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47,346</w:t>
            </w:r>
          </w:p>
        </w:tc>
        <w:tc>
          <w:tcPr>
            <w:tcW w:w="5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w:t>
            </w:r>
          </w:p>
        </w:tc>
        <w:tc>
          <w:tcPr>
            <w:tcW w:w="58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47,373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71,216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237,439</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3,137</w:t>
            </w: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Balance at June 19, 2015</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564,657</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3,416</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568,073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94615</wp:posOffset>
            </wp:positionV>
            <wp:extent cx="9436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64" w:lineRule="exact"/>
        <w:rPr>
          <w:sz w:val="20"/>
          <w:szCs w:val="20"/>
          <w:color w:val="auto"/>
        </w:rPr>
      </w:pPr>
    </w:p>
    <w:p>
      <w:pPr>
        <w:ind w:left="5620" w:right="3160" w:hanging="5045"/>
        <w:spacing w:after="0" w:line="454" w:lineRule="auto"/>
        <w:tabs>
          <w:tab w:leader="none" w:pos="843"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debt associated with our vacation ownership notes receivable securitizations is non-recourse to us. 17</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firstLine="913"/>
        <w:spacing w:after="0" w:line="282" w:lineRule="auto"/>
        <w:rPr>
          <w:sz w:val="20"/>
          <w:szCs w:val="20"/>
          <w:color w:val="auto"/>
        </w:rPr>
      </w:pPr>
      <w:r>
        <w:rPr>
          <w:rFonts w:ascii="Times New Roman" w:cs="Times New Roman" w:eastAsia="Times New Roman" w:hAnsi="Times New Roman"/>
          <w:sz w:val="18"/>
          <w:szCs w:val="18"/>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54" w:lineRule="exact"/>
        <w:rPr>
          <w:sz w:val="20"/>
          <w:szCs w:val="20"/>
          <w:color w:val="auto"/>
        </w:rPr>
      </w:pPr>
    </w:p>
    <w:p>
      <w:pPr>
        <w:ind w:right="320" w:firstLine="913"/>
        <w:spacing w:after="0" w:line="282" w:lineRule="auto"/>
        <w:rPr>
          <w:sz w:val="20"/>
          <w:szCs w:val="20"/>
          <w:color w:val="auto"/>
        </w:rPr>
      </w:pPr>
      <w:r>
        <w:rPr>
          <w:rFonts w:ascii="Times New Roman" w:cs="Times New Roman" w:eastAsia="Times New Roman" w:hAnsi="Times New Roman"/>
          <w:sz w:val="18"/>
          <w:szCs w:val="18"/>
          <w:color w:val="auto"/>
        </w:rPr>
        <w:t>We paid cash for interest, net of amounts capitalized, of $12.1 million in the twenty-four weeks ended June 19, 2015 and $13.5 million in the twenty-four weeks ended June 20, 2014,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Associated with Vacation Ownership Notes Receivable Securitizations</w:t>
      </w:r>
    </w:p>
    <w:p>
      <w:pPr>
        <w:spacing w:after="0" w:line="119"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Each of the transactions in which we have securitized vacation ownership notes receivable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twenty-four weeks ended June 19, 2015, and as of June 19, 2015, no securitized vacation ownership notes receivable pools were out of compliance with the established parameters. As of June 19, 2015, we had 6 securitized vacation ownership notes receivable pools outstanding.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MANDATORILY REDEEMABLE PREFERRED STOCK OF CONSOLIDATED SUBSIDIARY</w:t>
      </w:r>
    </w:p>
    <w:p>
      <w:pPr>
        <w:spacing w:after="0" w:line="121"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In October 2011, our subsidiary, MVW US Holdings, Inc. (“MVW US Holdings”) issued $40.0 million of its mandatorily redeemable Series A (non-voting) preferred stock to Marriott International as part of Marriott International’s internal reorganization prior to the Spin-Off. Subsequently Marriott International sold all of this preferred stock to third-party investors. Until October 2016, the Series A preferred stock will pay an annual cash dividend equal to the five-year U.S. Treasury Rate as of October 19, 2011, plus a spread of 10.958 percent, for a total annual cash dividend rate of 12 percent. In October 2016, if we do not elect to redeem the preferred stock, the annual cash dividend rate will be reset to the five-year U.S. Treasury Rate in effect on such date plus the same 10.958 percent spread. The Series A preferred stock is mandatorily redeemable by MVW US Holdings upon the tenth anniversary of the date of issuance but can be redeemed at our option after five years (i.e., beginning in October 2016) at par. The Series A preferred stock has an aggregate liquidation preference of $40.0 million plus any accrued and unpaid dividends and an additional premium if liquidation occurs during the first five years after the issuance of the preferred stock. As of June 19, 2015, 1,000 shares of Series A preferred stock were authorized, of which 40 shares were issued and outstanding. The dividends are recorded as a component of Interest expense as the Series A preferred stock is treated as a liability for accounting purposes.</w:t>
      </w:r>
    </w:p>
    <w:p>
      <w:pPr>
        <w:spacing w:after="0" w:line="78" w:lineRule="exact"/>
        <w:rPr>
          <w:sz w:val="20"/>
          <w:szCs w:val="20"/>
          <w:color w:val="auto"/>
        </w:rPr>
      </w:pPr>
    </w:p>
    <w:p>
      <w:pPr>
        <w:ind w:right="180" w:firstLine="913"/>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 on our mandatorily redeemable preferred stock of consolidated subsidiary balance, net of unamortized debt issuance costs:</w:t>
      </w:r>
    </w:p>
    <w:p>
      <w:pPr>
        <w:spacing w:after="0" w:line="17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6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40" w:type="dxa"/>
            <w:vAlign w:val="bottom"/>
          </w:tcPr>
          <w:p>
            <w:pPr>
              <w:spacing w:after="0"/>
              <w:rPr>
                <w:sz w:val="13"/>
                <w:szCs w:val="13"/>
                <w:color w:val="auto"/>
              </w:rPr>
            </w:pPr>
          </w:p>
        </w:tc>
        <w:tc>
          <w:tcPr>
            <w:tcW w:w="11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At June 19,</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At January 2,</w:t>
            </w:r>
          </w:p>
        </w:tc>
        <w:tc>
          <w:tcPr>
            <w:tcW w:w="0" w:type="dxa"/>
            <w:vAlign w:val="bottom"/>
          </w:tcPr>
          <w:p>
            <w:pPr>
              <w:spacing w:after="0"/>
              <w:rPr>
                <w:sz w:val="1"/>
                <w:szCs w:val="1"/>
                <w:color w:val="auto"/>
              </w:rPr>
            </w:pPr>
          </w:p>
        </w:tc>
      </w:tr>
      <w:tr>
        <w:trPr>
          <w:trHeight w:val="173"/>
        </w:trPr>
        <w:tc>
          <w:tcPr>
            <w:tcW w:w="684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Mandatorily redeemable preferred stock of consolidated subsidiary, gross</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(1,105)</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38,895</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38,816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SHAREHOLDERS’ EQUITY</w:t>
      </w:r>
    </w:p>
    <w:p>
      <w:pPr>
        <w:spacing w:after="0" w:line="121" w:lineRule="exact"/>
        <w:rPr>
          <w:sz w:val="20"/>
          <w:szCs w:val="20"/>
          <w:color w:val="auto"/>
        </w:rPr>
      </w:pPr>
    </w:p>
    <w:p>
      <w:pPr>
        <w:ind w:right="100" w:firstLine="913"/>
        <w:spacing w:after="0" w:line="258" w:lineRule="auto"/>
        <w:rPr>
          <w:sz w:val="20"/>
          <w:szCs w:val="20"/>
          <w:color w:val="auto"/>
        </w:rPr>
      </w:pPr>
      <w:r>
        <w:rPr>
          <w:rFonts w:ascii="Times New Roman" w:cs="Times New Roman" w:eastAsia="Times New Roman" w:hAnsi="Times New Roman"/>
          <w:sz w:val="18"/>
          <w:szCs w:val="18"/>
          <w:color w:val="auto"/>
        </w:rPr>
        <w:t>Marriott Vacations Worldwide has 100,000,000 authorized shares of common stock, par value of $0.01 per share. At June 19, 2015, there were 36,346,990 shares of Marriott Vacations Worldwide common stock issued, of which 31,532,539 shares were outstanding and 4,814,451 shares were held as treasury stock. At January 2, 2015, there were 36,089,513 shares of Marriott Vacations Worldwide common stock issued, of which 32,092,788 shares were outstanding and 3,996,725 shares were held as treasury stock. Marriott Vacations Worldwide has 2,000,000 authorized shares of preferred stock, par value of $0.01 per share, none of which were issued or outstanding as of June 19, 2015 or January 2, 2015.</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table details changes in shareholders’ equity during the twenty-four weeks ended June 19, 2015: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8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80" w:type="dxa"/>
            <w:vAlign w:val="bottom"/>
            <w:gridSpan w:val="3"/>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3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40" w:type="dxa"/>
            <w:vAlign w:val="bottom"/>
            <w:gridSpan w:val="2"/>
            <w:vMerge w:val="continue"/>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73"/>
        </w:trPr>
        <w:tc>
          <w:tcPr>
            <w:tcW w:w="44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 2015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(229,229)</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1,137,785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17,054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$ 153,732</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$ 1,079,703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68,095</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68,095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(2,357)</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Derivative instrument adjustments</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related to share-based compensation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 to reclassification of Marriott International</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to Additional paid-in capital</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(66,237)</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(15,999)</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19, 2015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(295,466)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1,135,143</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14,756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$ 205,828</w:t>
            </w: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$ 1,060,624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right="60" w:firstLine="913"/>
        <w:spacing w:after="0" w:line="261" w:lineRule="auto"/>
        <w:rPr>
          <w:sz w:val="20"/>
          <w:szCs w:val="20"/>
          <w:color w:val="auto"/>
        </w:rPr>
      </w:pPr>
      <w:r>
        <w:rPr>
          <w:rFonts w:ascii="Times New Roman" w:cs="Times New Roman" w:eastAsia="Times New Roman" w:hAnsi="Times New Roman"/>
          <w:sz w:val="18"/>
          <w:szCs w:val="18"/>
          <w:color w:val="auto"/>
        </w:rPr>
        <w:t>In March 2015, pursuant to our existing share repurchase program, we entered into an accelerated share repurchase agreement (“ASR”) with a financial institution to repurchase shares of our common stock. Under the agreement, we paid $30.0 million and received an initial delivery of 327,782 shares on March 20, 2015, and an additional delivery of 42,283 shares on May 20, 2015, upon completion of the program, for a total of 370,065 shares of common stock.</w:t>
      </w:r>
    </w:p>
    <w:p>
      <w:pPr>
        <w:spacing w:after="0" w:line="72"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Excluding the repurchases under the ASR discussed above, during the twenty-four weeks ended June 19, 2015, we repurchased 447,661 shares of our common stock under our current share repurchase program at an average price of $80.95 per share for a total of $36.2 million. As of June 19, 2015, 2.1 million shares remained available for repurchase under the program.</w:t>
      </w:r>
    </w:p>
    <w:p>
      <w:pPr>
        <w:spacing w:after="0" w:line="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table summarizes share repurchase activity under our current share repurchase program:</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 except per share amounts)</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0" w:type="dxa"/>
            <w:vAlign w:val="bottom"/>
          </w:tcPr>
          <w:p>
            <w:pPr>
              <w:spacing w:after="0"/>
              <w:rPr>
                <w:sz w:val="1"/>
                <w:szCs w:val="1"/>
                <w:color w:val="auto"/>
              </w:rPr>
            </w:pPr>
          </w:p>
        </w:tc>
      </w:tr>
      <w:tr>
        <w:trPr>
          <w:trHeight w:val="173"/>
        </w:trPr>
        <w:tc>
          <w:tcPr>
            <w:tcW w:w="6580" w:type="dxa"/>
            <w:vAlign w:val="bottom"/>
            <w:gridSpan w:val="2"/>
            <w:vMerge w:val="continue"/>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2, 2015</w:t>
            </w:r>
          </w:p>
        </w:tc>
        <w:tc>
          <w:tcPr>
            <w:tcW w:w="11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3,996,725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229,229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57.35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For the twenty-four weeks ended June 19, 2015</w:t>
            </w:r>
          </w:p>
        </w:tc>
        <w:tc>
          <w:tcPr>
            <w:tcW w:w="11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817,726</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rPr>
              <w:t>66,237</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81.00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June 19, 2015</w:t>
            </w:r>
          </w:p>
        </w:tc>
        <w:tc>
          <w:tcPr>
            <w:tcW w:w="11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4,814,451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295,466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61.37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160" w:firstLine="913"/>
        <w:spacing w:after="0" w:line="282" w:lineRule="auto"/>
        <w:rPr>
          <w:sz w:val="20"/>
          <w:szCs w:val="20"/>
          <w:color w:val="auto"/>
        </w:rPr>
      </w:pPr>
      <w:r>
        <w:rPr>
          <w:rFonts w:ascii="Times New Roman" w:cs="Times New Roman" w:eastAsia="Times New Roman" w:hAnsi="Times New Roman"/>
          <w:sz w:val="18"/>
          <w:szCs w:val="18"/>
          <w:color w:val="auto"/>
        </w:rPr>
        <w:t>On June 4, 2015, our Board of Directors declared a quarterly dividend of $0.25 per share to be paid on July 2, 2015 to shareholders of record as of June 18,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SHARE-BASED COMPENSATION</w:t>
      </w:r>
    </w:p>
    <w:p>
      <w:pPr>
        <w:spacing w:after="0" w:line="121" w:lineRule="exact"/>
        <w:rPr>
          <w:sz w:val="20"/>
          <w:szCs w:val="20"/>
          <w:color w:val="auto"/>
        </w:rPr>
      </w:pPr>
    </w:p>
    <w:p>
      <w:pPr>
        <w:ind w:right="200" w:firstLine="913"/>
        <w:spacing w:after="0" w:line="282" w:lineRule="auto"/>
        <w:rPr>
          <w:sz w:val="20"/>
          <w:szCs w:val="20"/>
          <w:color w:val="auto"/>
        </w:rPr>
      </w:pPr>
      <w:r>
        <w:rPr>
          <w:rFonts w:ascii="Times New Roman" w:cs="Times New Roman" w:eastAsia="Times New Roman" w:hAnsi="Times New Roman"/>
          <w:sz w:val="18"/>
          <w:szCs w:val="18"/>
          <w:color w:val="auto"/>
        </w:rPr>
        <w:t>A total of 6 million shares are authorized for issuance under the Marriott Vacations Worldwide Corporation Stock and Cash Incentive Plan (the “Stock Plan”). As of June 19, 2015, 1.8 million shares were available for grants under the Stock Plan.</w:t>
      </w:r>
    </w:p>
    <w:p>
      <w:pPr>
        <w:spacing w:after="0" w:line="54"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For share-based awards with service-only vesting conditions, we measure compensation expense related to share-based payment transactions with our employees and non-employee directors at fair value on the grant date. With respect to our employees, we recognize this expense on the Statements of Income over the vesting period during which the employees provide service in exchange for the award; with respect to non-employee directors, we recognize this expense on the grant date. For share-based arrangements with performance vesting conditions, we recognize compensation expense once it is probable that the corresponding performance condition will be achieved.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61" w:lineRule="auto"/>
        <w:rPr>
          <w:sz w:val="20"/>
          <w:szCs w:val="20"/>
          <w:color w:val="auto"/>
        </w:rPr>
      </w:pPr>
      <w:r>
        <w:rPr>
          <w:rFonts w:ascii="Times New Roman" w:cs="Times New Roman" w:eastAsia="Times New Roman" w:hAnsi="Times New Roman"/>
          <w:sz w:val="18"/>
          <w:szCs w:val="18"/>
          <w:color w:val="auto"/>
        </w:rPr>
        <w:t>We recorded share-based compensation expense related to award grants to our officers, directors and employees of $4.0 million and $3.9 million for each of the twelve weeks ended June 19, 2015 and June 20, 2014, and $6.6 million and $6.2 million for each of the twenty-four weeks ended June 20, 2015 and June 20, 2014. Our deferred compensation liability related to unvested awards held by our employees totaled $20.3 million and $12.2 million at June 19, 2015 and January 2, 2015,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119"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We granted 128,690 RSUs, exclusive of RSUs with performance vesting conditions, to our employees and non-employee directors during the twenty-four weeks ended June 19, 2015. RSUs granted in the twenty-four weeks ended June 19, 2015 had a weighted average grant-date fair value of $78.23. RSUs issued to our employees generally vest over four years in annual installments commencing one year after the date of grant. RSUs issued to our non-employee directors vest in full on the date of grant.</w:t>
      </w:r>
    </w:p>
    <w:p>
      <w:pPr>
        <w:spacing w:after="0" w:line="72" w:lineRule="exact"/>
        <w:rPr>
          <w:sz w:val="20"/>
          <w:szCs w:val="20"/>
          <w:color w:val="auto"/>
        </w:rPr>
      </w:pPr>
    </w:p>
    <w:p>
      <w:pPr>
        <w:ind w:right="120" w:firstLine="913"/>
        <w:spacing w:after="0" w:line="258" w:lineRule="auto"/>
        <w:rPr>
          <w:sz w:val="20"/>
          <w:szCs w:val="20"/>
          <w:color w:val="auto"/>
        </w:rPr>
      </w:pPr>
      <w:r>
        <w:rPr>
          <w:rFonts w:ascii="Times New Roman" w:cs="Times New Roman" w:eastAsia="Times New Roman" w:hAnsi="Times New Roman"/>
          <w:sz w:val="18"/>
          <w:szCs w:val="18"/>
          <w:color w:val="auto"/>
        </w:rPr>
        <w:t>During the twenty-four weeks ended June 19, 2015 and June 20, 2014, we granted RSUs with performance vesting conditions to members of management. The number of RSUs earned, if any, is determined following the end of a three-year performance period based upon our cumulative achievement over that period of specific quantitative operating financial measures. The maximum number of RSUs that may be earned under the RSUs with performance-based vesting criteria granted during the twenty-four weeks ended June 19, 2015 and June 20, 2014 was approximately 74,000 and 62,000,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 (“SARs”)</w:t>
      </w:r>
    </w:p>
    <w:p>
      <w:pPr>
        <w:spacing w:after="0" w:line="119"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We granted 62,018 SARs to members of management during the twenty-four weeks ended June 19, 2015. These SARs had a weighted average grant-date fair value of $29.75 and a weighted average exercise price of $77.42. SARs generally expire ten years after the date of grant and both vest and may be exercised in cumulative installments of one quarter of the grant at the end of each of the first four years following the date of grant.</w:t>
      </w:r>
    </w:p>
    <w:p>
      <w:pPr>
        <w:spacing w:after="0" w:line="68"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We use the Black-Scholes model to estimate the fair value of the SARs granted. For SARs granted under the Stock Plan in the twenty-four weeks ended June 19, 2015, the expected stock price volatility was calculated based on the historical volatility from the stock prices of a group of identified peer companies. The average expected life was calculated using the simplified method.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table outlines the assumptions used to estimate the fair value of grants during the twenty-four weeks ended June 19, 2015:</w:t>
      </w:r>
    </w:p>
    <w:p>
      <w:pPr>
        <w:spacing w:after="0" w:line="149"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VARIABLE INTEREST ENTITIES</w:t>
      </w:r>
    </w:p>
    <w:p>
      <w:pPr>
        <w:spacing w:after="0" w:line="121"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In accordance with the applicable accounting guidance for the consolidation of variable interest entities, we analyze our variable interests, including loans, guarantees and equity investments,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variable interest entity because we are its primary beneficiary.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Entities Related to Our Vacation Ownership Notes Receivable Securitizations</w:t>
      </w:r>
    </w:p>
    <w:p>
      <w:pPr>
        <w:spacing w:after="0" w:line="119"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loans to third parties. In a vacation ownership notes receivable securitization, various classes of debt securities issued by the special purpose entities are generally collateralized by a single tranche of transferred assets, which consist of vacation ownership notes receivable. We service the vacation ownership notes receivable. With each vacation ownership notes receivable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455" w:right="2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54" w:lineRule="exact"/>
        <w:rPr>
          <w:sz w:val="20"/>
          <w:szCs w:val="20"/>
          <w:color w:val="auto"/>
        </w:rPr>
      </w:pPr>
    </w:p>
    <w:p>
      <w:pPr>
        <w:ind w:right="40" w:firstLine="913"/>
        <w:spacing w:after="0" w:line="261" w:lineRule="auto"/>
        <w:rPr>
          <w:sz w:val="20"/>
          <w:szCs w:val="20"/>
          <w:color w:val="auto"/>
        </w:rPr>
      </w:pPr>
      <w:r>
        <w:rPr>
          <w:rFonts w:ascii="Times New Roman" w:cs="Times New Roman" w:eastAsia="Times New Roman" w:hAnsi="Times New Roman"/>
          <w:sz w:val="18"/>
          <w:szCs w:val="18"/>
          <w:color w:val="auto"/>
        </w:rPr>
        <w:t>We created these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72" w:lineRule="exact"/>
        <w:rPr>
          <w:sz w:val="20"/>
          <w:szCs w:val="20"/>
          <w:color w:val="auto"/>
        </w:rPr>
      </w:pPr>
    </w:p>
    <w:p>
      <w:pPr>
        <w:ind w:right="620" w:firstLine="913"/>
        <w:spacing w:after="0" w:line="282" w:lineRule="auto"/>
        <w:rPr>
          <w:sz w:val="20"/>
          <w:szCs w:val="20"/>
          <w:color w:val="auto"/>
        </w:rPr>
      </w:pPr>
      <w:r>
        <w:rPr>
          <w:rFonts w:ascii="Times New Roman" w:cs="Times New Roman" w:eastAsia="Times New Roman" w:hAnsi="Times New Roman"/>
          <w:sz w:val="18"/>
          <w:szCs w:val="18"/>
          <w:color w:val="auto"/>
        </w:rPr>
        <w:t>The following table shows consolidated assets, which are collateral for the obligations of these variable interest entities, and consolidated liabilities included on our Balance Sheet at June 19, 2015:</w:t>
      </w:r>
    </w:p>
    <w:p>
      <w:pPr>
        <w:spacing w:after="0" w:line="4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Vacation Ownership</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w w:val="99"/>
              </w:rPr>
              <w:t>Warehouse Credit</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Pr>
          <w:p>
            <w:pPr>
              <w:spacing w:after="0"/>
              <w:rPr>
                <w:sz w:val="12"/>
                <w:szCs w:val="12"/>
                <w:color w:val="auto"/>
              </w:rPr>
            </w:pPr>
          </w:p>
        </w:tc>
        <w:tc>
          <w:tcPr>
            <w:tcW w:w="132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Notes Receivable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1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Securitizations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Assets:</w:t>
            </w: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Vacation ownership notes receivable, net of reserves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547,158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547,158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3,429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36,879</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37,017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587,466</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138</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587,604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1,457</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119</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564,657</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564,657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566,114</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119</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566,233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noncontrolling interest balance was zero. The creditors of these entities do not have general recourse to us.</w:t>
      </w:r>
    </w:p>
    <w:p>
      <w:pPr>
        <w:spacing w:after="0" w:line="225" w:lineRule="exact"/>
        <w:rPr>
          <w:sz w:val="20"/>
          <w:szCs w:val="20"/>
          <w:color w:val="auto"/>
        </w:rPr>
      </w:pPr>
    </w:p>
    <w:p>
      <w:pPr>
        <w:ind w:right="160" w:firstLine="913"/>
        <w:spacing w:after="0" w:line="282" w:lineRule="auto"/>
        <w:rPr>
          <w:sz w:val="20"/>
          <w:szCs w:val="20"/>
          <w:color w:val="auto"/>
        </w:rPr>
      </w:pPr>
      <w:r>
        <w:rPr>
          <w:rFonts w:ascii="Times New Roman" w:cs="Times New Roman" w:eastAsia="Times New Roman" w:hAnsi="Times New Roman"/>
          <w:sz w:val="18"/>
          <w:szCs w:val="18"/>
          <w:color w:val="auto"/>
        </w:rPr>
        <w:t>The following table shows the interest income and expense recognized as a result of our involvement with these variable interest entities during the twelve weeks ended June 19, 2015:</w:t>
      </w:r>
    </w:p>
    <w:p>
      <w:pPr>
        <w:spacing w:after="0" w:line="4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8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Vacation Ownership</w:t>
            </w:r>
          </w:p>
        </w:tc>
        <w:tc>
          <w:tcPr>
            <w:tcW w:w="180" w:type="dxa"/>
            <w:vAlign w:val="bottom"/>
          </w:tcPr>
          <w:p>
            <w:pPr>
              <w:spacing w:after="0"/>
              <w:rPr>
                <w:sz w:val="13"/>
                <w:szCs w:val="13"/>
                <w:color w:val="auto"/>
              </w:rPr>
            </w:pPr>
          </w:p>
        </w:tc>
        <w:tc>
          <w:tcPr>
            <w:tcW w:w="16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Warehouse Credit</w:t>
            </w: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Notes Receivable</w:t>
            </w:r>
          </w:p>
        </w:tc>
        <w:tc>
          <w:tcPr>
            <w:tcW w:w="1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Securitizations</w:t>
            </w:r>
          </w:p>
        </w:tc>
        <w:tc>
          <w:tcPr>
            <w:tcW w:w="180" w:type="dxa"/>
            <w:vAlign w:val="bottom"/>
          </w:tcPr>
          <w:p>
            <w:pPr>
              <w:spacing w:after="0"/>
              <w:rPr>
                <w:sz w:val="15"/>
                <w:szCs w:val="15"/>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4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17,913</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17,913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to investors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3,950</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18"/>
                <w:szCs w:val="18"/>
                <w:color w:val="auto"/>
              </w:rPr>
            </w:pP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 amortization</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697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280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20"/>
                <w:szCs w:val="20"/>
                <w:color w:val="auto"/>
              </w:rPr>
            </w:pP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60" w:firstLine="913"/>
        <w:spacing w:after="0" w:line="282" w:lineRule="auto"/>
        <w:rPr>
          <w:sz w:val="20"/>
          <w:szCs w:val="20"/>
          <w:color w:val="auto"/>
        </w:rPr>
      </w:pPr>
      <w:r>
        <w:rPr>
          <w:rFonts w:ascii="Times New Roman" w:cs="Times New Roman" w:eastAsia="Times New Roman" w:hAnsi="Times New Roman"/>
          <w:sz w:val="18"/>
          <w:szCs w:val="18"/>
          <w:color w:val="auto"/>
        </w:rPr>
        <w:t>The following table shows the interest income and expense recognized as a result of our involvement with these variable interest entities during the twenty-four weeks ended June 19, 2015:</w:t>
      </w:r>
    </w:p>
    <w:p>
      <w:pPr>
        <w:spacing w:after="0" w:line="4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Vacation Ownership</w:t>
            </w:r>
          </w:p>
        </w:tc>
        <w:tc>
          <w:tcPr>
            <w:tcW w:w="180" w:type="dxa"/>
            <w:vAlign w:val="bottom"/>
          </w:tcPr>
          <w:p>
            <w:pPr>
              <w:spacing w:after="0"/>
              <w:rPr>
                <w:sz w:val="13"/>
                <w:szCs w:val="13"/>
                <w:color w:val="auto"/>
              </w:rPr>
            </w:pPr>
          </w:p>
        </w:tc>
        <w:tc>
          <w:tcPr>
            <w:tcW w:w="16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Warehouse Credit</w:t>
            </w: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Notes Receivable</w:t>
            </w:r>
          </w:p>
        </w:tc>
        <w:tc>
          <w:tcPr>
            <w:tcW w:w="1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80" w:type="dxa"/>
            <w:vAlign w:val="bottom"/>
            <w:vMerge w:val="continue"/>
          </w:tcPr>
          <w:p>
            <w:pPr>
              <w:spacing w:after="0"/>
              <w:rPr>
                <w:sz w:val="15"/>
                <w:szCs w:val="15"/>
                <w:color w:val="auto"/>
              </w:rPr>
            </w:pPr>
          </w:p>
        </w:tc>
        <w:tc>
          <w:tcPr>
            <w:tcW w:w="2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Securitizations</w:t>
            </w:r>
          </w:p>
        </w:tc>
        <w:tc>
          <w:tcPr>
            <w:tcW w:w="180" w:type="dxa"/>
            <w:vAlign w:val="bottom"/>
          </w:tcPr>
          <w:p>
            <w:pPr>
              <w:spacing w:after="0"/>
              <w:rPr>
                <w:sz w:val="15"/>
                <w:szCs w:val="15"/>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4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39,987</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39,987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to investors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8,656</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634</w:t>
            </w:r>
          </w:p>
        </w:tc>
        <w:tc>
          <w:tcPr>
            <w:tcW w:w="280" w:type="dxa"/>
            <w:vAlign w:val="bottom"/>
          </w:tcPr>
          <w:p>
            <w:pPr>
              <w:spacing w:after="0"/>
              <w:rPr>
                <w:sz w:val="18"/>
                <w:szCs w:val="18"/>
                <w:color w:val="auto"/>
              </w:rPr>
            </w:pP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 amortization</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1,414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565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152</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spacing w:after="0"/>
              <w:rPr>
                <w:sz w:val="20"/>
                <w:szCs w:val="20"/>
                <w:color w:val="auto"/>
              </w:rPr>
            </w:pP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1"/>
        </w:trPr>
        <w:tc>
          <w:tcPr>
            <w:tcW w:w="3780" w:type="dxa"/>
            <w:vAlign w:val="bottom"/>
          </w:tcPr>
          <w:p>
            <w:pPr>
              <w:spacing w:after="0"/>
              <w:rPr>
                <w:sz w:val="24"/>
                <w:szCs w:val="24"/>
                <w:color w:val="auto"/>
              </w:rPr>
            </w:pPr>
          </w:p>
        </w:tc>
        <w:tc>
          <w:tcPr>
            <w:tcW w:w="2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82" w:lineRule="auto"/>
        <w:rPr>
          <w:sz w:val="20"/>
          <w:szCs w:val="20"/>
          <w:color w:val="auto"/>
        </w:rPr>
      </w:pPr>
      <w:r>
        <w:rPr>
          <w:rFonts w:ascii="Times New Roman" w:cs="Times New Roman" w:eastAsia="Times New Roman" w:hAnsi="Times New Roman"/>
          <w:sz w:val="18"/>
          <w:szCs w:val="18"/>
          <w:color w:val="auto"/>
        </w:rPr>
        <w:t>The following table shows cash flows between us and the vacation ownership notes receivable securitization variable interest entities during the twenty-four weeks ended June 19, 2015 and June 20, 2014:</w:t>
      </w:r>
    </w:p>
    <w:p>
      <w:pPr>
        <w:spacing w:after="0" w:line="61"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Pr>
          <w:p>
            <w:pPr>
              <w:spacing w:after="0"/>
              <w:rPr>
                <w:sz w:val="15"/>
                <w:szCs w:val="15"/>
                <w:color w:val="auto"/>
              </w:rPr>
            </w:pPr>
          </w:p>
        </w:tc>
        <w:tc>
          <w:tcPr>
            <w:tcW w:w="28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616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inflows:</w:t>
            </w: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vacation ownership notes receivable securitizations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22,638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receipts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86,675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85,863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receipts</w:t>
            </w:r>
          </w:p>
        </w:tc>
        <w:tc>
          <w:tcPr>
            <w:tcW w:w="200" w:type="dxa"/>
            <w:vAlign w:val="bottom"/>
          </w:tcPr>
          <w:p>
            <w:pPr>
              <w:spacing w:after="0"/>
              <w:rPr>
                <w:sz w:val="18"/>
                <w:szCs w:val="18"/>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41,549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42,236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release</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2,345</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130,569</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152,261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outflows:</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Principal to investors</w:t>
            </w:r>
          </w:p>
        </w:tc>
        <w:tc>
          <w:tcPr>
            <w:tcW w:w="20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(78,361)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(89,979)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Voluntary repurchases of defaulted vacation ownership notes receivable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(10,993)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Voluntary clean-up call</w:t>
            </w:r>
          </w:p>
        </w:tc>
        <w:tc>
          <w:tcPr>
            <w:tcW w:w="20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(54,020)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to investors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(8,233)</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(151,607)</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(141,497)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(21,038)</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10,764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table shows cash flows between us and the Warehouse Credit Facility variable interest entity during the twenty-four weeks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19, 2015 and June 20, 2014:</w:t>
      </w:r>
    </w:p>
    <w:p>
      <w:pPr>
        <w:spacing w:after="0" w:line="227"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Pr>
          <w:p>
            <w:pPr>
              <w:spacing w:after="0"/>
              <w:rPr>
                <w:sz w:val="15"/>
                <w:szCs w:val="15"/>
                <w:color w:val="auto"/>
              </w:rPr>
            </w:pPr>
          </w:p>
        </w:tc>
        <w:tc>
          <w:tcPr>
            <w:tcW w:w="28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616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inflows: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outflows: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Interest to investors</w:t>
            </w:r>
          </w:p>
        </w:tc>
        <w:tc>
          <w:tcPr>
            <w:tcW w:w="200" w:type="dxa"/>
            <w:vAlign w:val="bottom"/>
          </w:tcPr>
          <w:p>
            <w:pPr>
              <w:spacing w:after="0"/>
              <w:rPr>
                <w:sz w:val="18"/>
                <w:szCs w:val="18"/>
                <w:color w:val="auto"/>
              </w:rPr>
            </w:pPr>
          </w:p>
        </w:tc>
        <w:tc>
          <w:tcPr>
            <w:tcW w:w="12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(569)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Funding of restricted cash</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(707)</w:t>
            </w: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(758)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(707)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firstLine="913"/>
        <w:spacing w:after="0" w:line="255" w:lineRule="auto"/>
        <w:rPr>
          <w:sz w:val="20"/>
          <w:szCs w:val="20"/>
          <w:color w:val="auto"/>
        </w:rPr>
      </w:pPr>
      <w:r>
        <w:rPr>
          <w:rFonts w:ascii="Times New Roman" w:cs="Times New Roman" w:eastAsia="Times New Roman" w:hAnsi="Times New Roman"/>
          <w:sz w:val="18"/>
          <w:szCs w:val="18"/>
          <w:color w:val="auto"/>
        </w:rPr>
        <w:t>Under the terms of our vacation ownership notes receivable securitizations, we have the right at our option to repurchase defaulted vacation ownership notes receivable at the outstanding principal balance. The transaction documents typically limit such repurchases to 15 to 20 percent of the transaction’s initial vacation ownership notes receivable principal balance. Our maximum exposure to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 In addition, we could be required to fund up to an aggregate of $10.0 million upon presentation of demand notes related to certain vacation ownerships notes receivable securitization transactions outstanding at June 19, 2015.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Variable Interest Entities</w:t>
      </w:r>
    </w:p>
    <w:p>
      <w:pPr>
        <w:spacing w:after="0" w:line="119"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We have an equity investment in the Joint Venture, a variable interest entity that previously developed and marketed vacation ownership and residential products in Hawaii. We concluded that the Joint Venture is a variable interest entity because the equity investment at risk is not sufficient to permit it to finance its activities without additional support from other venture parties. We determined that we are not the primary beneficiary of the Joint Venture, as power to direct the activities that most significantly impact its economic performance is shared among the variable interest holders and, therefore, we do not consolidate the Joint Venture. In 2009, we fully impaired our equity investment in the Joint Venture and in certain notes receivable due from the Joint Venture and subsequently reduced the carrying value of our investment in those receivables to zero. Following the Joint Venture’s failure to pay promissory notes due in 2010 and 2011, the lenders initiated foreclosure proceedings with respect to unsold interests in the project. A sale was completed following a foreclosure auction, and on June 13, 2013, we received $7.4 million of cash as a partial repayment of our previously fully reserved receivables</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455" w:right="2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due from the Joint Venture. The Joint Venture’s obligations with respect to the remaining receivables have been terminated. At June 19, 2015, we had an accrual of $4.0 million for potential future funding obligations, representing our remaining expected exposure to loss related to our involvement with the Joint Venture exclusive of any future costs that may be incurred pursuant to outstanding litigation matters, including those discussed in Footnote No. 8, “Contingencies and Commitments.”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BUSINESS SEGMENTS</w:t>
      </w:r>
    </w:p>
    <w:p>
      <w:pPr>
        <w:spacing w:after="0" w:line="121" w:lineRule="exact"/>
        <w:rPr>
          <w:sz w:val="20"/>
          <w:szCs w:val="20"/>
          <w:color w:val="auto"/>
        </w:rPr>
      </w:pPr>
    </w:p>
    <w:p>
      <w:pPr>
        <w:ind w:right="120" w:firstLine="913"/>
        <w:spacing w:after="0" w:line="282" w:lineRule="auto"/>
        <w:rPr>
          <w:sz w:val="20"/>
          <w:szCs w:val="20"/>
          <w:color w:val="auto"/>
        </w:rPr>
      </w:pPr>
      <w:r>
        <w:rPr>
          <w:rFonts w:ascii="Times New Roman" w:cs="Times New Roman" w:eastAsia="Times New Roman" w:hAnsi="Times New Roman"/>
          <w:sz w:val="18"/>
          <w:szCs w:val="18"/>
          <w:color w:val="auto"/>
        </w:rPr>
        <w:t>We define our reportable segments based on the way in which the chief operating decision maker, currently our chief executive officer, manages the operations of the company for purposes of allocating resources and assessing performance. We operate in three reportable business segments:</w:t>
      </w:r>
    </w:p>
    <w:p>
      <w:pPr>
        <w:spacing w:after="0" w:line="67" w:lineRule="exact"/>
        <w:rPr>
          <w:sz w:val="20"/>
          <w:szCs w:val="20"/>
          <w:color w:val="auto"/>
        </w:rPr>
      </w:pPr>
    </w:p>
    <w:p>
      <w:pPr>
        <w:ind w:left="1460" w:hanging="547"/>
        <w:spacing w:after="0" w:line="289" w:lineRule="auto"/>
        <w:tabs>
          <w:tab w:leader="none" w:pos="14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our North America segment, we develop, market, sell and manage vacation ownership and related products under the Marriott Vacation Club and Grand Residences by Marriott brands. We also develop, market and sell vacation ownership and related products under The Ritz-Carlton Destination Club brand, as well as whole ownership residential products under The Ritz-Carlton Residences brand.</w:t>
      </w:r>
    </w:p>
    <w:p>
      <w:pPr>
        <w:spacing w:after="0" w:line="63" w:lineRule="exact"/>
        <w:rPr>
          <w:rFonts w:ascii="Times New Roman" w:cs="Times New Roman" w:eastAsia="Times New Roman" w:hAnsi="Times New Roman"/>
          <w:sz w:val="17"/>
          <w:szCs w:val="17"/>
          <w:color w:val="auto"/>
        </w:rPr>
      </w:pPr>
    </w:p>
    <w:p>
      <w:pPr>
        <w:ind w:left="1460" w:right="120" w:hanging="547"/>
        <w:spacing w:after="0" w:line="282" w:lineRule="auto"/>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Europe segment, we are focusing on selling our existing projects and managing existing resorts. We do not have any current plans for new development in this segment.</w:t>
      </w:r>
    </w:p>
    <w:p>
      <w:pPr>
        <w:spacing w:after="0" w:line="67" w:lineRule="exact"/>
        <w:rPr>
          <w:rFonts w:ascii="Times New Roman" w:cs="Times New Roman" w:eastAsia="Times New Roman" w:hAnsi="Times New Roman"/>
          <w:sz w:val="18"/>
          <w:szCs w:val="18"/>
          <w:color w:val="auto"/>
        </w:rPr>
      </w:pPr>
    </w:p>
    <w:p>
      <w:pPr>
        <w:ind w:left="1460" w:right="60" w:hanging="547"/>
        <w:spacing w:after="0" w:line="313" w:lineRule="auto"/>
        <w:tabs>
          <w:tab w:leader="none" w:pos="14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our Asia Pacific segment, we develop, market, sell and manage the Marriott Vacation Club, Asia Pacific, a right-to-use points program that we specifically designed to appeal to the vacation preferences of the Asian market, as well as a weeks-based right-to-use product.</w:t>
      </w:r>
    </w:p>
    <w:p>
      <w:pPr>
        <w:spacing w:after="0" w:line="30" w:lineRule="exact"/>
        <w:rPr>
          <w:sz w:val="20"/>
          <w:szCs w:val="20"/>
          <w:color w:val="auto"/>
        </w:rPr>
      </w:pPr>
    </w:p>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t>We evaluate the performance of our segments based primarily on the results of the segment without allocating corporate expenses or income taxes. We do not allocate corporate interest expense, consumer financing interest expense, other financing expenses or general and administrative expenses to our segments. We include interest income specific to segment activities within the appropriate segment. We allocate other gains and losses and equity in earnings or losses from our joint ventures to each of our segments as appropriate. Corporate and other represents that portion of our revenues, equity in earnings or losses, and other gains or losses that are not allocable to our segments.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vMerge w:val="continue"/>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segment revenues</w:t>
            </w: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877,707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422,827</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409,902</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877,707</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Net Income (Loss)</w:t>
            </w: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40" w:type="dxa"/>
            <w:vAlign w:val="bottom"/>
            <w:vMerge w:val="continue"/>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32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vMerge w:val="continue"/>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104,603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101,676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1,493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segment financial results</w:t>
            </w: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107,554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108,328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(23,403)</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(22,344)</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(46,692)</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34,041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35,303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9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w:t>
      </w:r>
    </w:p>
    <w:p>
      <w:pPr>
        <w:spacing w:after="0" w:line="124" w:lineRule="exact"/>
        <w:rPr>
          <w:sz w:val="20"/>
          <w:szCs w:val="20"/>
          <w:color w:val="auto"/>
        </w:rPr>
      </w:pPr>
    </w:p>
    <w:tbl>
      <w:tblPr>
        <w:tblLayout w:type="fixed"/>
        <w:tblInd w:w="1040" w:type="dxa"/>
        <w:tblCellMar>
          <w:top w:w="0" w:type="dxa"/>
          <w:left w:w="0" w:type="dxa"/>
          <w:bottom w:w="0" w:type="dxa"/>
          <w:right w:w="0" w:type="dxa"/>
        </w:tblCellMar>
      </w:tblPr>
      <w:tr>
        <w:trPr>
          <w:trHeight w:val="175"/>
        </w:trPr>
        <w:tc>
          <w:tcPr>
            <w:tcW w:w="63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40" w:type="dxa"/>
            <w:vAlign w:val="bottom"/>
          </w:tcPr>
          <w:p>
            <w:pPr>
              <w:spacing w:after="0"/>
              <w:rPr>
                <w:sz w:val="15"/>
                <w:szCs w:val="15"/>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At June 19, 2015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At January 2, 2015</w:t>
            </w: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1,856,634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1,879,648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40" w:type="dxa"/>
            <w:vAlign w:val="bottom"/>
          </w:tcPr>
          <w:p>
            <w:pPr>
              <w:spacing w:after="0"/>
              <w:rPr>
                <w:sz w:val="18"/>
                <w:szCs w:val="18"/>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84,450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88,867</w:t>
            </w:r>
          </w:p>
        </w:tc>
        <w:tc>
          <w:tcPr>
            <w:tcW w:w="6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97,979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85,469</w:t>
            </w:r>
          </w:p>
        </w:tc>
        <w:tc>
          <w:tcPr>
            <w:tcW w:w="60" w:type="dxa"/>
            <w:vAlign w:val="bottom"/>
            <w:shd w:val="clear" w:color="auto" w:fill="CCEEFF"/>
          </w:tcPr>
          <w:p>
            <w:pPr>
              <w:spacing w:after="0"/>
              <w:rPr>
                <w:sz w:val="18"/>
                <w:szCs w:val="18"/>
                <w:color w:val="auto"/>
              </w:rPr>
            </w:pPr>
          </w:p>
        </w:tc>
      </w:tr>
      <w:tr>
        <w:trPr>
          <w:trHeight w:val="223"/>
        </w:trPr>
        <w:tc>
          <w:tcPr>
            <w:tcW w:w="63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Total segment assets</w:t>
            </w:r>
          </w:p>
        </w:tc>
        <w:tc>
          <w:tcPr>
            <w:tcW w:w="14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2,039,063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2,053,984</w:t>
            </w:r>
          </w:p>
        </w:tc>
        <w:tc>
          <w:tcPr>
            <w:tcW w:w="6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284,149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476,595</w:t>
            </w:r>
          </w:p>
        </w:tc>
        <w:tc>
          <w:tcPr>
            <w:tcW w:w="6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2,323,212</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2,530,579</w:t>
            </w:r>
          </w:p>
        </w:tc>
        <w:tc>
          <w:tcPr>
            <w:tcW w:w="6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w:t>
      </w:r>
    </w:p>
    <w:p>
      <w:pPr>
        <w:spacing w:after="0" w:line="119"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During the third quarter of 2015, we completed the acquisition of 71 rooms at The Mayflower Hotel, Autograph Collection, an operating hotel located in Washington, D.C., for $32.0 million. We intend to include these vacation ownership units in our MVCD program in the near future.</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80"/>
          </w:cols>
          <w:pgMar w:left="240" w:top="455" w:right="4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81" w:lineRule="exact"/>
        <w:rPr>
          <w:sz w:val="20"/>
          <w:szCs w:val="20"/>
          <w:color w:val="auto"/>
        </w:rPr>
      </w:pPr>
    </w:p>
    <w:p>
      <w:pPr>
        <w:ind w:right="160" w:firstLine="913"/>
        <w:spacing w:after="0" w:line="266"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on Form 10-Q, except as required by law.</w:t>
      </w:r>
    </w:p>
    <w:p>
      <w:pPr>
        <w:spacing w:after="0" w:line="68" w:lineRule="exact"/>
        <w:rPr>
          <w:sz w:val="20"/>
          <w:szCs w:val="20"/>
          <w:color w:val="auto"/>
        </w:rPr>
      </w:pPr>
    </w:p>
    <w:p>
      <w:pPr>
        <w:ind w:right="320" w:firstLine="913"/>
        <w:spacing w:after="0" w:line="261" w:lineRule="auto"/>
        <w:rPr>
          <w:sz w:val="20"/>
          <w:szCs w:val="20"/>
          <w:color w:val="auto"/>
        </w:rPr>
      </w:pPr>
      <w:r>
        <w:rPr>
          <w:rFonts w:ascii="Times New Roman" w:cs="Times New Roman" w:eastAsia="Times New Roman" w:hAnsi="Times New Roman"/>
          <w:sz w:val="18"/>
          <w:szCs w:val="18"/>
          <w:color w:val="auto"/>
        </w:rPr>
        <w:t>The risk factors discussed in “Risk Factors” in our most recent Annual Report on Form 10-K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72" w:lineRule="exact"/>
        <w:rPr>
          <w:sz w:val="20"/>
          <w:szCs w:val="20"/>
          <w:color w:val="auto"/>
        </w:rPr>
      </w:pPr>
    </w:p>
    <w:p>
      <w:pPr>
        <w:ind w:right="200" w:firstLine="913"/>
        <w:spacing w:after="0" w:line="255" w:lineRule="auto"/>
        <w:rPr>
          <w:sz w:val="20"/>
          <w:szCs w:val="20"/>
          <w:color w:val="auto"/>
        </w:rPr>
      </w:pPr>
      <w:r>
        <w:rPr>
          <w:rFonts w:ascii="Times New Roman" w:cs="Times New Roman" w:eastAsia="Times New Roman" w:hAnsi="Times New Roman"/>
          <w:sz w:val="18"/>
          <w:szCs w:val="18"/>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“Statements of Income,”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section of this Quarterly Report on Form 10-Q.</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Spin-Off</w:t>
      </w:r>
    </w:p>
    <w:p>
      <w:pPr>
        <w:spacing w:after="0" w:line="121" w:lineRule="exact"/>
        <w:rPr>
          <w:sz w:val="20"/>
          <w:szCs w:val="20"/>
          <w:color w:val="auto"/>
        </w:rPr>
      </w:pPr>
    </w:p>
    <w:p>
      <w:pPr>
        <w:ind w:right="220" w:firstLine="913"/>
        <w:spacing w:after="0" w:line="261" w:lineRule="auto"/>
        <w:rPr>
          <w:sz w:val="20"/>
          <w:szCs w:val="20"/>
          <w:color w:val="auto"/>
        </w:rPr>
      </w:pPr>
      <w:r>
        <w:rPr>
          <w:rFonts w:ascii="Times New Roman" w:cs="Times New Roman" w:eastAsia="Times New Roman" w:hAnsi="Times New Roman"/>
          <w:sz w:val="18"/>
          <w:szCs w:val="18"/>
          <w:color w:val="auto"/>
        </w:rPr>
        <w:t>On November 21, 2011, Marriott International, Inc. (“Marriott International”) completed the spin-off of its vacation ownership division (the “Spin-Off”). Since the Spin-Off, we have been an independent public company, with our common stock listed on the New York Stock Exchange under the symbol “VAC.” Following the Spin-Off, we and Marriott International have operated independently, and neither company has any ownership interest in the other.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240" w:firstLine="913"/>
        <w:spacing w:after="0" w:line="258" w:lineRule="auto"/>
        <w:rPr>
          <w:sz w:val="20"/>
          <w:szCs w:val="20"/>
          <w:color w:val="auto"/>
        </w:rPr>
      </w:pPr>
      <w:r>
        <w:rPr>
          <w:rFonts w:ascii="Times New Roman" w:cs="Times New Roman" w:eastAsia="Times New Roman" w:hAnsi="Times New Roman"/>
          <w:sz w:val="18"/>
          <w:szCs w:val="18"/>
          <w:color w:val="auto"/>
        </w:rPr>
        <w:t>We are one of the world’s largest companies whose business is focused almost entirely on vacation ownership, based on number of owners, number of resorts and revenues. 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w:t>
      </w:r>
    </w:p>
    <w:p>
      <w:pPr>
        <w:spacing w:after="0" w:line="76" w:lineRule="exact"/>
        <w:rPr>
          <w:sz w:val="20"/>
          <w:szCs w:val="20"/>
          <w:color w:val="auto"/>
        </w:rPr>
      </w:pPr>
    </w:p>
    <w:p>
      <w:pPr>
        <w:ind w:right="40" w:firstLine="913"/>
        <w:spacing w:after="0" w:line="258" w:lineRule="auto"/>
        <w:rPr>
          <w:sz w:val="20"/>
          <w:szCs w:val="20"/>
          <w:color w:val="auto"/>
        </w:rPr>
      </w:pPr>
      <w:r>
        <w:rPr>
          <w:rFonts w:ascii="Times New Roman" w:cs="Times New Roman" w:eastAsia="Times New Roman" w:hAnsi="Times New Roman"/>
          <w:sz w:val="18"/>
          <w:szCs w:val="18"/>
          <w:color w:val="auto"/>
        </w:rPr>
        <w:t>Our business is grouped into three reportable segments: North America, Europe and Asia Pacific. As of June 19, 2015, we operated 59 properties in the United States and seven other countries and territories, including an operating hotel in San Diego, California that we intend to convert in the near term into vacation ownership interests for future use in our North America points-based program, Marriott Vacation Club Destinations</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(“MVCD”). We generate most of our revenues from four primary sources: selling vacation ownership products; managing our resorts; financing consumer purchases of vacation ownership products; and renting vacation ownership inventory.</w:t>
      </w:r>
    </w:p>
    <w:p>
      <w:pPr>
        <w:spacing w:after="0" w:line="76" w:lineRule="exact"/>
        <w:rPr>
          <w:sz w:val="20"/>
          <w:szCs w:val="20"/>
          <w:color w:val="auto"/>
        </w:rPr>
      </w:pPr>
    </w:p>
    <w:p>
      <w:pPr>
        <w:jc w:val="center"/>
        <w:ind w:right="120"/>
        <w:spacing w:after="0" w:line="454" w:lineRule="auto"/>
        <w:rPr>
          <w:sz w:val="20"/>
          <w:szCs w:val="20"/>
          <w:color w:val="auto"/>
        </w:rPr>
      </w:pPr>
      <w:r>
        <w:rPr>
          <w:rFonts w:ascii="Times New Roman" w:cs="Times New Roman" w:eastAsia="Times New Roman" w:hAnsi="Times New Roman"/>
          <w:sz w:val="18"/>
          <w:szCs w:val="18"/>
          <w:color w:val="auto"/>
        </w:rPr>
        <w:t>Below is a summary of significant accounting policies used in our business that will be used in describing our results of operations. 25</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Sale of Vacation Ownership Products</w:t>
      </w:r>
    </w:p>
    <w:p>
      <w:pPr>
        <w:spacing w:after="0" w:line="119" w:lineRule="exact"/>
        <w:rPr>
          <w:sz w:val="20"/>
          <w:szCs w:val="20"/>
          <w:color w:val="auto"/>
        </w:rPr>
      </w:pPr>
    </w:p>
    <w:p>
      <w:pPr>
        <w:ind w:right="20" w:firstLine="913"/>
        <w:spacing w:after="0" w:line="313" w:lineRule="auto"/>
        <w:rPr>
          <w:sz w:val="20"/>
          <w:szCs w:val="20"/>
          <w:color w:val="auto"/>
        </w:rPr>
      </w:pPr>
      <w:r>
        <w:rPr>
          <w:rFonts w:ascii="Times New Roman" w:cs="Times New Roman" w:eastAsia="Times New Roman" w:hAnsi="Times New Roman"/>
          <w:sz w:val="17"/>
          <w:szCs w:val="17"/>
          <w:color w:val="auto"/>
        </w:rPr>
        <w:t>We recognize revenues from the sale of vacation ownership products when all of the following conditions exist: a binding sales contract has been executed; the statutory rescission period has expired; the receivable is deemed collectible; and the remainder of our obligations are substantially completed.</w:t>
      </w:r>
    </w:p>
    <w:p>
      <w:pPr>
        <w:spacing w:after="0" w:line="30" w:lineRule="exact"/>
        <w:rPr>
          <w:sz w:val="20"/>
          <w:szCs w:val="20"/>
          <w:color w:val="auto"/>
        </w:rPr>
      </w:pPr>
    </w:p>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t>Sales of vacation ownership products may be made for cash or we may provide financing. For sales where we provide financing, we defer revenue recognition until we receive a minimum down payment equal to ten percent of the purchase price plus the fair value of certain sales incentives provided to the purchaser. These sales incentives typically include Marriott Rewards Points or an alternative sales incentive that we refer to as “plus points.” These plus points are redeemable for stays at our resorts, generally within one to two years from the date of issuance. Sales incentives are only awarded if the sale is closed.</w:t>
      </w:r>
    </w:p>
    <w:p>
      <w:pPr>
        <w:spacing w:after="0" w:line="76" w:lineRule="exact"/>
        <w:rPr>
          <w:sz w:val="20"/>
          <w:szCs w:val="20"/>
          <w:color w:val="auto"/>
        </w:rPr>
      </w:pPr>
    </w:p>
    <w:p>
      <w:pPr>
        <w:ind w:right="180" w:firstLine="913"/>
        <w:spacing w:after="0" w:line="266" w:lineRule="auto"/>
        <w:rPr>
          <w:sz w:val="20"/>
          <w:szCs w:val="20"/>
          <w:color w:val="auto"/>
        </w:rPr>
      </w:pPr>
      <w:r>
        <w:rPr>
          <w:rFonts w:ascii="Times New Roman" w:cs="Times New Roman" w:eastAsia="Times New Roman" w:hAnsi="Times New Roman"/>
          <w:sz w:val="18"/>
          <w:szCs w:val="18"/>
          <w:color w:val="auto"/>
        </w:rPr>
        <w:t>As a result of the down payment requirements with respect to financed sales and the statutory rescission periods, we often defer revenues associated with the sale of vacation ownership products from the date of the purchase agreement to a future period. When comparing results year-over-year, this deferral frequently generates significant variances, which we refer to as the impact of revenue reportability.</w:t>
      </w:r>
    </w:p>
    <w:p>
      <w:pPr>
        <w:spacing w:after="0" w:line="68" w:lineRule="exact"/>
        <w:rPr>
          <w:sz w:val="20"/>
          <w:szCs w:val="20"/>
          <w:color w:val="auto"/>
        </w:rPr>
      </w:pPr>
    </w:p>
    <w:p>
      <w:pPr>
        <w:ind w:right="220" w:firstLine="913"/>
        <w:spacing w:after="0" w:line="266" w:lineRule="auto"/>
        <w:rPr>
          <w:sz w:val="20"/>
          <w:szCs w:val="20"/>
          <w:color w:val="auto"/>
        </w:rPr>
      </w:pPr>
      <w:r>
        <w:rPr>
          <w:rFonts w:ascii="Times New Roman" w:cs="Times New Roman" w:eastAsia="Times New Roman" w:hAnsi="Times New Roman"/>
          <w:sz w:val="18"/>
          <w:szCs w:val="18"/>
          <w:color w:val="auto"/>
        </w:rPr>
        <w:t>Finally, as more fully described in the “Financing” section below, we record an estimate of expected uncollectibility on all vacation ownership notes receivable (also known as a vacation ownership notes receivable reserve or a sales reserve) from vacation ownership purchases as a reduction of revenues from the sale of vacation ownership products at the time we recognize revenues from a sale.</w:t>
      </w:r>
    </w:p>
    <w:p>
      <w:pPr>
        <w:spacing w:after="0" w:line="68"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We report, on a supplemental basis, contract sales for each of our three segments. Contract sales represent the total amount of vacation ownership product sales under purchase agreements signed during the period where we have received a down payment of at least ten percent of the contract price, reduced by actual rescissions during the period. Contract sales differ from revenues from the sale of vacation ownership products that we report on our Statements of Income due to the requirements for revenue recognition described above. We consider contract sales to be an important operating measure because it reflects the pace of sales in our business.</w:t>
      </w:r>
    </w:p>
    <w:p>
      <w:pPr>
        <w:spacing w:after="0" w:line="76" w:lineRule="exact"/>
        <w:rPr>
          <w:sz w:val="20"/>
          <w:szCs w:val="20"/>
          <w:color w:val="auto"/>
        </w:rPr>
      </w:pPr>
    </w:p>
    <w:p>
      <w:pPr>
        <w:ind w:right="140" w:firstLine="913"/>
        <w:spacing w:after="0" w:line="256" w:lineRule="auto"/>
        <w:rPr>
          <w:sz w:val="20"/>
          <w:szCs w:val="20"/>
          <w:color w:val="auto"/>
        </w:rPr>
      </w:pPr>
      <w:r>
        <w:rPr>
          <w:rFonts w:ascii="Times New Roman" w:cs="Times New Roman" w:eastAsia="Times New Roman" w:hAnsi="Times New Roman"/>
          <w:sz w:val="18"/>
          <w:szCs w:val="18"/>
          <w:color w:val="auto"/>
        </w:rPr>
        <w:t>Cost of vacation ownership products includes costs to develop and construct our projects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on our Statements of Income to true-up revenues and costs in that period to those that would have been recorded historically if the revised estimates had been used. These true-ups, which we refer to as product cost true-ups, will have a positive or negative impact on our Statements of Income.</w:t>
      </w:r>
    </w:p>
    <w:p>
      <w:pPr>
        <w:spacing w:after="0" w:line="80" w:lineRule="exact"/>
        <w:rPr>
          <w:sz w:val="20"/>
          <w:szCs w:val="20"/>
          <w:color w:val="auto"/>
        </w:rPr>
      </w:pPr>
    </w:p>
    <w:p>
      <w:pPr>
        <w:ind w:right="100" w:firstLine="913"/>
        <w:spacing w:after="0" w:line="266" w:lineRule="auto"/>
        <w:rPr>
          <w:sz w:val="20"/>
          <w:szCs w:val="20"/>
          <w:color w:val="auto"/>
        </w:rPr>
      </w:pPr>
      <w:r>
        <w:rPr>
          <w:rFonts w:ascii="Times New Roman" w:cs="Times New Roman" w:eastAsia="Times New Roman" w:hAnsi="Times New Roman"/>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2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Resort Management and Other Services</w:t>
      </w:r>
    </w:p>
    <w:p>
      <w:pPr>
        <w:spacing w:after="0" w:line="119" w:lineRule="exact"/>
        <w:rPr>
          <w:sz w:val="20"/>
          <w:szCs w:val="20"/>
          <w:color w:val="auto"/>
        </w:rPr>
      </w:pPr>
    </w:p>
    <w:p>
      <w:pPr>
        <w:ind w:right="100" w:firstLine="913"/>
        <w:spacing w:after="0" w:line="261" w:lineRule="auto"/>
        <w:rPr>
          <w:sz w:val="20"/>
          <w:szCs w:val="20"/>
          <w:color w:val="auto"/>
        </w:rPr>
      </w:pPr>
      <w:r>
        <w:rPr>
          <w:rFonts w:ascii="Times New Roman" w:cs="Times New Roman" w:eastAsia="Times New Roman" w:hAnsi="Times New Roman"/>
          <w:sz w:val="18"/>
          <w:szCs w:val="18"/>
          <w:color w:val="auto"/>
        </w:rPr>
        <w:t>Our resort management and other services revenues include revenues generated from fees we earn for managing each of our resorts. In addition, we earn revenue for providing ancillary offerings, including food and beverage, retail, and golf and spa offerings at our resorts. We also receive annual fees, club dues, settlement fees from the sale of vacation ownership products and certain transaction-based fees from owners and other third parties, including external exchange service providers with which we are associated.</w:t>
      </w:r>
    </w:p>
    <w:p>
      <w:pPr>
        <w:spacing w:after="0" w:line="72" w:lineRule="exact"/>
        <w:rPr>
          <w:sz w:val="20"/>
          <w:szCs w:val="20"/>
          <w:color w:val="auto"/>
        </w:rPr>
      </w:pPr>
    </w:p>
    <w:p>
      <w:pPr>
        <w:ind w:right="380" w:firstLine="913"/>
        <w:spacing w:after="0" w:line="261" w:lineRule="auto"/>
        <w:rPr>
          <w:sz w:val="20"/>
          <w:szCs w:val="20"/>
          <w:color w:val="auto"/>
        </w:rPr>
      </w:pPr>
      <w:r>
        <w:rPr>
          <w:rFonts w:ascii="Times New Roman" w:cs="Times New Roman" w:eastAsia="Times New Roman" w:hAnsi="Times New Roman"/>
          <w:sz w:val="18"/>
          <w:szCs w:val="18"/>
          <w:color w:val="auto"/>
        </w:rPr>
        <w:t>We provide day-to-day management services, including housekeeping services, operation of reservation systems, maintenance, and certain accounting and administrative services for property owners’ associations. We receive compensation for these management services; this compensation is generally based on either a percentage of budgeted costs to operate the resorts or a fixed fee arrangement. We earn these fees regardless of usage or occupancy.</w:t>
      </w:r>
    </w:p>
    <w:p>
      <w:pPr>
        <w:spacing w:after="0" w:line="72" w:lineRule="exact"/>
        <w:rPr>
          <w:sz w:val="20"/>
          <w:szCs w:val="20"/>
          <w:color w:val="auto"/>
        </w:rPr>
      </w:pPr>
    </w:p>
    <w:p>
      <w:pPr>
        <w:ind w:right="60" w:firstLine="913"/>
        <w:spacing w:after="0" w:line="266" w:lineRule="auto"/>
        <w:rPr>
          <w:sz w:val="20"/>
          <w:szCs w:val="20"/>
          <w:color w:val="auto"/>
        </w:rPr>
      </w:pPr>
      <w:r>
        <w:rPr>
          <w:rFonts w:ascii="Times New Roman" w:cs="Times New Roman" w:eastAsia="Times New Roman" w:hAnsi="Times New Roman"/>
          <w:sz w:val="18"/>
          <w:szCs w:val="18"/>
          <w:color w:val="auto"/>
        </w:rPr>
        <w:t>Resort management and other services expenses include costs to operate the food and beverage and other ancillary operations and overall customer support services, including reservations, certain transaction-based expenses relating to external exchange service providers and settlement expenses from the sale of vacation ownership products.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19" w:lineRule="exact"/>
        <w:rPr>
          <w:sz w:val="20"/>
          <w:szCs w:val="20"/>
          <w:color w:val="auto"/>
        </w:rPr>
      </w:pPr>
    </w:p>
    <w:p>
      <w:pPr>
        <w:ind w:right="620" w:firstLine="913"/>
        <w:spacing w:after="0" w:line="282" w:lineRule="auto"/>
        <w:rPr>
          <w:sz w:val="20"/>
          <w:szCs w:val="20"/>
          <w:color w:val="auto"/>
        </w:rPr>
      </w:pPr>
      <w:r>
        <w:rPr>
          <w:rFonts w:ascii="Times New Roman" w:cs="Times New Roman" w:eastAsia="Times New Roman" w:hAnsi="Times New Roman"/>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r>
      <w:tr>
        <w:trPr>
          <w:trHeight w:val="156"/>
        </w:trPr>
        <w:tc>
          <w:tcPr>
            <w:tcW w:w="20" w:type="dxa"/>
            <w:vAlign w:val="bottom"/>
          </w:tcPr>
          <w:p>
            <w:pPr>
              <w:spacing w:after="0"/>
              <w:rPr>
                <w:sz w:val="13"/>
                <w:szCs w:val="13"/>
                <w:color w:val="auto"/>
              </w:rPr>
            </w:pPr>
          </w:p>
        </w:tc>
        <w:tc>
          <w:tcPr>
            <w:tcW w:w="392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center"/>
              <w:ind w:left="719"/>
              <w:spacing w:after="0" w:line="155"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54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June 20, 2014</w:t>
            </w: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FICO score</w:t>
            </w:r>
          </w:p>
        </w:tc>
        <w:tc>
          <w:tcPr>
            <w:tcW w:w="17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734</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732</w:t>
            </w:r>
          </w:p>
        </w:tc>
      </w:tr>
    </w:tbl>
    <w:p>
      <w:pPr>
        <w:spacing w:after="0" w:line="171" w:lineRule="exact"/>
        <w:rPr>
          <w:sz w:val="20"/>
          <w:szCs w:val="20"/>
          <w:color w:val="auto"/>
        </w:rPr>
      </w:pPr>
    </w:p>
    <w:p>
      <w:pPr>
        <w:jc w:val="both"/>
        <w:ind w:right="140" w:firstLine="913"/>
        <w:spacing w:after="0" w:line="261" w:lineRule="auto"/>
        <w:rPr>
          <w:sz w:val="20"/>
          <w:szCs w:val="20"/>
          <w:color w:val="auto"/>
        </w:rPr>
      </w:pPr>
      <w:r>
        <w:rPr>
          <w:rFonts w:ascii="Times New Roman" w:cs="Times New Roman" w:eastAsia="Times New Roman" w:hAnsi="Times New Roman"/>
          <w:sz w:val="18"/>
          <w:szCs w:val="18"/>
          <w:color w:val="auto"/>
        </w:rPr>
        <w:t>The typical financing agreement provides for monthly payments of principal and interest with the principal balance of the loan fully amortizing over the term of the related vacation ownership note receivable, which is generally ten years. The interest income earned from the financing arrangements is earned on an accrual basis on the principal balance outstanding over the life of the arrangement and is recorded as Financing revenues on our Statements of Income.</w:t>
      </w:r>
    </w:p>
    <w:p>
      <w:pPr>
        <w:spacing w:after="0" w:line="72"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Financing revenues include interest income earned on vacation ownership notes receivable as well as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Due to weakened economic conditions and our elimination of financing incentive programs, the percentage of customers choosing to finance their vacation ownership purchase with us (which we refer to as “financing propensity”) declined significantly through 2009 and has stabilized since then. As a result, we expect that interest income will continue to decline in the near term until new originations outpace the decline in principal of the existing vacation ownership notes receivable portfolio.</w:t>
      </w:r>
    </w:p>
    <w:p>
      <w:pPr>
        <w:spacing w:after="0" w:line="81"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In the event of a default, we generally have the right to foreclose on or revoke the mortgaged vacation ownership interest. We return vacation ownership interests that we reacquire through foreclosure or revocation back to real estate inventory. As discussed above, we record a vacation ownership notes receivable reserve at the time of sale and classify the reserve as a reduction to revenues from the sale of vacation ownership products on our Statements of Income. Historical default rates, which represent defaults as a percentage of each year’s beginning gross vacation ownership notes receivable balance, were as follows:</w:t>
      </w: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r>
      <w:tr>
        <w:trPr>
          <w:trHeight w:val="156"/>
        </w:trPr>
        <w:tc>
          <w:tcPr>
            <w:tcW w:w="20" w:type="dxa"/>
            <w:vAlign w:val="bottom"/>
          </w:tcPr>
          <w:p>
            <w:pPr>
              <w:spacing w:after="0"/>
              <w:rPr>
                <w:sz w:val="13"/>
                <w:szCs w:val="13"/>
                <w:color w:val="auto"/>
              </w:rPr>
            </w:pPr>
          </w:p>
        </w:tc>
        <w:tc>
          <w:tcPr>
            <w:tcW w:w="392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center"/>
              <w:ind w:left="719"/>
              <w:spacing w:after="0" w:line="155"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54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June 20, 2014</w:t>
            </w: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Historical default rates</w:t>
            </w:r>
          </w:p>
        </w:tc>
        <w:tc>
          <w:tcPr>
            <w:tcW w:w="17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1.9%</w:t>
            </w:r>
          </w:p>
        </w:tc>
      </w:tr>
    </w:tbl>
    <w:p>
      <w:pPr>
        <w:spacing w:after="0" w:line="30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Rental</w:t>
      </w:r>
    </w:p>
    <w:p>
      <w:pPr>
        <w:spacing w:after="0" w:line="119" w:lineRule="exact"/>
        <w:rPr>
          <w:sz w:val="20"/>
          <w:szCs w:val="20"/>
          <w:color w:val="auto"/>
        </w:rPr>
      </w:pPr>
    </w:p>
    <w:p>
      <w:pPr>
        <w:ind w:right="340" w:firstLine="913"/>
        <w:spacing w:after="0" w:line="266" w:lineRule="auto"/>
        <w:rPr>
          <w:sz w:val="20"/>
          <w:szCs w:val="20"/>
          <w:color w:val="auto"/>
        </w:rPr>
      </w:pPr>
      <w:r>
        <w:rPr>
          <w:rFonts w:ascii="Times New Roman" w:cs="Times New Roman" w:eastAsia="Times New Roman" w:hAnsi="Times New Roman"/>
          <w:sz w:val="18"/>
          <w:szCs w:val="18"/>
          <w:color w:val="auto"/>
        </w:rPr>
        <w:t>We operate a rental business to provide owner flexibility and to help mitigate carrying costs associated with our inventory. We obtain rental inventory from unsold inventory and inventory we control because owners have elected alternative usage options offered through our vacation ownership programs.</w:t>
      </w:r>
    </w:p>
    <w:p>
      <w:pPr>
        <w:spacing w:after="0" w:line="68" w:lineRule="exact"/>
        <w:rPr>
          <w:sz w:val="20"/>
          <w:szCs w:val="20"/>
          <w:color w:val="auto"/>
        </w:rPr>
      </w:pPr>
    </w:p>
    <w:p>
      <w:pPr>
        <w:ind w:right="360" w:firstLine="913"/>
        <w:spacing w:after="0" w:line="282" w:lineRule="auto"/>
        <w:rPr>
          <w:sz w:val="20"/>
          <w:szCs w:val="20"/>
          <w:color w:val="auto"/>
        </w:rPr>
      </w:pPr>
      <w:r>
        <w:rPr>
          <w:rFonts w:ascii="Times New Roman" w:cs="Times New Roman" w:eastAsia="Times New Roman" w:hAnsi="Times New Roman"/>
          <w:sz w:val="18"/>
          <w:szCs w:val="18"/>
          <w:color w:val="auto"/>
        </w:rPr>
        <w:t>Rental revenues are primarily the revenues we earn from renting this inventory. We also recognize rental revenue from the utilization of plus points under the MVCD program when those points are redeemed for rental stays at one of our resorts or upon expiration of the points.</w:t>
      </w:r>
    </w:p>
    <w:p>
      <w:pPr>
        <w:spacing w:after="0" w:line="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Rental expenses include:</w:t>
      </w:r>
    </w:p>
    <w:p>
      <w:pPr>
        <w:spacing w:after="0" w:line="131" w:lineRule="exact"/>
        <w:rPr>
          <w:sz w:val="20"/>
          <w:szCs w:val="20"/>
          <w:color w:val="auto"/>
        </w:rPr>
      </w:pPr>
    </w:p>
    <w:p>
      <w:pPr>
        <w:ind w:left="1480" w:hanging="446"/>
        <w:spacing w:after="0"/>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fees on unsold inventory;</w:t>
      </w:r>
    </w:p>
    <w:p>
      <w:pPr>
        <w:spacing w:after="0" w:line="130" w:lineRule="exact"/>
        <w:rPr>
          <w:rFonts w:ascii="Times New Roman" w:cs="Times New Roman" w:eastAsia="Times New Roman" w:hAnsi="Times New Roman"/>
          <w:sz w:val="18"/>
          <w:szCs w:val="18"/>
          <w:color w:val="auto"/>
        </w:rPr>
      </w:pPr>
    </w:p>
    <w:p>
      <w:pPr>
        <w:ind w:left="1480" w:right="140" w:hanging="446"/>
        <w:spacing w:after="0" w:line="282" w:lineRule="auto"/>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provide alternative usage options, including Marriott Rewards Points and offerings available as part of the Explorer Collection, for owners who elect to exchange their inventory;</w:t>
      </w:r>
    </w:p>
    <w:p>
      <w:pPr>
        <w:spacing w:after="0" w:line="67" w:lineRule="exact"/>
        <w:rPr>
          <w:rFonts w:ascii="Times New Roman" w:cs="Times New Roman" w:eastAsia="Times New Roman" w:hAnsi="Times New Roman"/>
          <w:sz w:val="18"/>
          <w:szCs w:val="18"/>
          <w:color w:val="auto"/>
        </w:rPr>
      </w:pPr>
    </w:p>
    <w:p>
      <w:pPr>
        <w:ind w:left="1480" w:right="660" w:hanging="446"/>
        <w:spacing w:after="0" w:line="282" w:lineRule="auto"/>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Subsidy payments to property owners’ associations at resorts that are in the early phases of construction where maintenance fees collected from the owners are not sufficient to support operating costs of the resort;</w:t>
      </w:r>
    </w:p>
    <w:p>
      <w:pPr>
        <w:spacing w:after="0" w:line="67" w:lineRule="exact"/>
        <w:rPr>
          <w:rFonts w:ascii="Times New Roman" w:cs="Times New Roman" w:eastAsia="Times New Roman" w:hAnsi="Times New Roman"/>
          <w:sz w:val="18"/>
          <w:szCs w:val="18"/>
          <w:color w:val="auto"/>
        </w:rPr>
      </w:pPr>
    </w:p>
    <w:p>
      <w:pPr>
        <w:ind w:left="1480" w:right="460" w:hanging="446"/>
        <w:spacing w:after="0" w:line="282" w:lineRule="auto"/>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costs and direct operating and related expenses in connection with the rental business (such as housekeeping, credit card expenses and reservation services); and</w:t>
      </w:r>
    </w:p>
    <w:p>
      <w:pPr>
        <w:spacing w:after="0" w:line="67"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banking and borrowing usage option that is available under the MVCD program.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Further, as our ability to rent certain luxury inventory and inventory in our Asia Pacific segment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29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Cost Reimbursements</w:t>
      </w:r>
    </w:p>
    <w:p>
      <w:pPr>
        <w:spacing w:after="0" w:line="119" w:lineRule="exact"/>
        <w:rPr>
          <w:sz w:val="20"/>
          <w:szCs w:val="20"/>
          <w:color w:val="auto"/>
        </w:rPr>
      </w:pPr>
    </w:p>
    <w:p>
      <w:pPr>
        <w:ind w:right="180" w:firstLine="913"/>
        <w:spacing w:after="0" w:line="261" w:lineRule="auto"/>
        <w:rPr>
          <w:sz w:val="20"/>
          <w:szCs w:val="20"/>
          <w:color w:val="auto"/>
        </w:rPr>
      </w:pPr>
      <w:r>
        <w:rPr>
          <w:rFonts w:ascii="Times New Roman" w:cs="Times New Roman" w:eastAsia="Times New Roman" w:hAnsi="Times New Roman"/>
          <w:sz w:val="18"/>
          <w:szCs w:val="18"/>
          <w:color w:val="auto"/>
        </w:rPr>
        <w:t>Cost reimbursements include direct and indirect costs that property owners’ associations reimburse to us. In accordance with the accounting guidance for “gross versus net” presentation, we record these revenues and expenses on a gross basis. We recognize cost reimbursements when we incur the related reimbursable costs. These costs primarily consist of payroll and payroll related expenses for management of the property owners’ associations and other services we provide where we are the employer. Cost reimbursements consist of actual expenses with no added margin.</w:t>
      </w:r>
    </w:p>
    <w:p>
      <w:pPr>
        <w:spacing w:after="0" w:line="2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Consumer Financing Interest Expense</w:t>
      </w:r>
    </w:p>
    <w:p>
      <w:pPr>
        <w:spacing w:after="0" w:line="119" w:lineRule="exact"/>
        <w:rPr>
          <w:sz w:val="20"/>
          <w:szCs w:val="20"/>
          <w:color w:val="auto"/>
        </w:rPr>
      </w:pPr>
    </w:p>
    <w:p>
      <w:pPr>
        <w:ind w:right="260" w:firstLine="913"/>
        <w:spacing w:after="0" w:line="261" w:lineRule="auto"/>
        <w:rPr>
          <w:sz w:val="20"/>
          <w:szCs w:val="20"/>
          <w:color w:val="auto"/>
        </w:rPr>
      </w:pPr>
      <w:r>
        <w:rPr>
          <w:rFonts w:ascii="Times New Roman" w:cs="Times New Roman" w:eastAsia="Times New Roman" w:hAnsi="Times New Roman"/>
          <w:sz w:val="18"/>
          <w:szCs w:val="18"/>
          <w:color w:val="auto"/>
        </w:rPr>
        <w:t>Consumer financing interest expense represents interest expense associated with the debt from our non-recourse warehouse credit facility (the “Warehouse Credit Facility”) and from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that is generally non-recourse to us.</w:t>
      </w:r>
    </w:p>
    <w:p>
      <w:pPr>
        <w:spacing w:after="0" w:line="2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Interest expense consists of all interest expense other than consumer financing interest expense.</w:t>
      </w: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Other Items</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We measure operating performance using the following key metrics:</w:t>
      </w:r>
    </w:p>
    <w:p>
      <w:pPr>
        <w:spacing w:after="0" w:line="131" w:lineRule="exact"/>
        <w:rPr>
          <w:sz w:val="20"/>
          <w:szCs w:val="20"/>
          <w:color w:val="auto"/>
        </w:rPr>
      </w:pPr>
    </w:p>
    <w:p>
      <w:pPr>
        <w:ind w:left="1480" w:hanging="446"/>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sales from the sale of vacation ownership products;</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margin percentage; and</w:t>
      </w:r>
    </w:p>
    <w:p>
      <w:pPr>
        <w:spacing w:after="0" w:line="130" w:lineRule="exact"/>
        <w:rPr>
          <w:rFonts w:ascii="Times New Roman" w:cs="Times New Roman" w:eastAsia="Times New Roman" w:hAnsi="Times New Roman"/>
          <w:sz w:val="18"/>
          <w:szCs w:val="18"/>
          <w:color w:val="auto"/>
        </w:rPr>
      </w:pPr>
    </w:p>
    <w:p>
      <w:pPr>
        <w:ind w:left="1480" w:right="200" w:hanging="446"/>
        <w:spacing w:after="0" w:line="261" w:lineRule="auto"/>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per guest (“VPG”), which we calculate by dividing contract sales, excluding fractional and residential sales, telesales and other sales that are not attributed to a tour at a sales location, by the number of tours at sales locations in a given period. We believe that this operating metric is valuable in evaluating the effectiveness of the sales process as it combines the impact of average contract price with the number of touring guests who make a purchase.</w:t>
      </w:r>
    </w:p>
    <w:p>
      <w:pPr>
        <w:spacing w:after="0" w:line="2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Rounding</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Percentage changes presented in our public filings are calculated using whole dollars.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121" w:lineRule="exact"/>
        <w:rPr>
          <w:sz w:val="20"/>
          <w:szCs w:val="20"/>
          <w:color w:val="auto"/>
        </w:rPr>
      </w:pPr>
    </w:p>
    <w:p>
      <w:pPr>
        <w:ind w:right="160" w:firstLine="913"/>
        <w:spacing w:after="0" w:line="282" w:lineRule="auto"/>
        <w:rPr>
          <w:sz w:val="20"/>
          <w:szCs w:val="20"/>
          <w:color w:val="auto"/>
        </w:rPr>
      </w:pPr>
      <w:r>
        <w:rPr>
          <w:rFonts w:ascii="Times New Roman" w:cs="Times New Roman" w:eastAsia="Times New Roman" w:hAnsi="Times New Roman"/>
          <w:sz w:val="18"/>
          <w:szCs w:val="18"/>
          <w:color w:val="auto"/>
        </w:rPr>
        <w:t>The following discussion presents an analysis of our results of operations for the twelve and twenty-four weeks ended June 19, 2015, compared to the twelve and twenty-four weeks ended June 20, 2014.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60" w:type="dxa"/>
            <w:vAlign w:val="bottom"/>
            <w:gridSpan w:val="7"/>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2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5640" w:type="dxa"/>
            <w:vAlign w:val="bottom"/>
            <w:gridSpan w:val="2"/>
            <w:vMerge w:val="continue"/>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155,370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152,562</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339,276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297,412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74,063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74,821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138,480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Financing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28,294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29,817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57,346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72,642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61,827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148,841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Cost reimbursements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92,458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90,875</w:t>
            </w:r>
          </w:p>
        </w:tc>
        <w:tc>
          <w:tcPr>
            <w:tcW w:w="2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193,764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190,261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422,827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409,902</w:t>
            </w:r>
          </w:p>
        </w:tc>
        <w:tc>
          <w:tcPr>
            <w:tcW w:w="2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877,707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811,849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45,119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43,414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110,081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77,137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72,227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157,132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45,480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48,308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87,889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Financing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6,085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5,438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10,990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61,835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54,991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121,993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22,892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23,153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45,669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settlement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(7,575)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Organizational and separation related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1,089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financing interest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5,248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5,737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11,269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Royalty fee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13,431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13,653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26,431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834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Cost reimbursements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92,458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90,875</w:t>
            </w:r>
          </w:p>
        </w:tc>
        <w:tc>
          <w:tcPr>
            <w:tcW w:w="2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193,764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190,261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369,812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352,144</w:t>
            </w:r>
          </w:p>
        </w:tc>
        <w:tc>
          <w:tcPr>
            <w:tcW w:w="2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765,275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719,143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Gains and other income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8,625</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409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9,512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(3,009)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(2,601)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(5,983)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reversals on equity investment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57,444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57,647</w:t>
            </w:r>
          </w:p>
        </w:tc>
        <w:tc>
          <w:tcPr>
            <w:tcW w:w="20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114,787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(23,403)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(22,344)</w:t>
            </w:r>
          </w:p>
        </w:tc>
        <w:tc>
          <w:tcPr>
            <w:tcW w:w="2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(46,692)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34,041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35,303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68,095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Sales</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528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6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Vacation ownership</w:t>
            </w: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165,938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164,589</w:t>
            </w:r>
          </w:p>
        </w:tc>
        <w:tc>
          <w:tcPr>
            <w:tcW w:w="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contract sales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165,938</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164,589</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w w:val="99"/>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913"/>
        <w:spacing w:after="0" w:line="266" w:lineRule="auto"/>
        <w:rPr>
          <w:sz w:val="20"/>
          <w:szCs w:val="20"/>
          <w:color w:val="auto"/>
        </w:rPr>
      </w:pPr>
      <w:r>
        <w:rPr>
          <w:rFonts w:ascii="Times New Roman" w:cs="Times New Roman" w:eastAsia="Times New Roman" w:hAnsi="Times New Roman"/>
          <w:sz w:val="18"/>
          <w:szCs w:val="18"/>
          <w:color w:val="auto"/>
        </w:rPr>
        <w:t>The $1.3 million increase in total contract sales was driven by $5.0 million of higher vacation ownership contract sales in our key North America segment and $0.6 million of higher vacation ownership contract sales in our Asia Pacific segment, partially offset by $4.3 million of lower contract sales in our Europe segment as we continue to sell through existing inventory in that segment.</w:t>
      </w:r>
    </w:p>
    <w:p>
      <w:pPr>
        <w:spacing w:after="0" w:line="68" w:lineRule="exact"/>
        <w:rPr>
          <w:sz w:val="20"/>
          <w:szCs w:val="20"/>
          <w:color w:val="auto"/>
        </w:rPr>
      </w:pPr>
    </w:p>
    <w:p>
      <w:pPr>
        <w:jc w:val="both"/>
        <w:ind w:right="160" w:firstLine="913"/>
        <w:spacing w:after="0" w:line="261" w:lineRule="auto"/>
        <w:rPr>
          <w:sz w:val="20"/>
          <w:szCs w:val="20"/>
          <w:color w:val="auto"/>
        </w:rPr>
      </w:pPr>
      <w:r>
        <w:rPr>
          <w:rFonts w:ascii="Times New Roman" w:cs="Times New Roman" w:eastAsia="Times New Roman" w:hAnsi="Times New Roman"/>
          <w:sz w:val="18"/>
          <w:szCs w:val="18"/>
          <w:color w:val="auto"/>
        </w:rPr>
        <w:t>The increase in vacation ownership contract sales in our North America segment reflected a $2.4 million increase in sales at off-site (non tour-based) sales locations, a $1.8 million increase in sales at on-site sales locations, and a $0.8 million increase in fractional sales as we continue to sell through remaining luxury inventory. The increase in sales at on-site sales locations reflected a nearly 1 percent increase in VPG to $3,404 in the twelve weeks ended June 19, 2015 from $3,383 in the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prior year comparable period and a 1 percent increase in the number of tours. The increase in VPG was due to a 0.4 percentage point increase in closing efficiency and higher pricing, partially offset by a decrease in the number of points sold per contract due to the increase in sales to existing owners in the current period. The increase in the number of tours was driven by an increase in existing owner tours. In the first quarter of 2015, we announced enhancements to our owner recognition levels that created a near-term incentive for existing owners to purchase additional points prior to the end of the twelve weeks ended June 19, 2015, which resulted in an increase in existing owner tours.</w:t>
      </w:r>
    </w:p>
    <w:p>
      <w:pPr>
        <w:spacing w:after="0" w:line="2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221" w:lineRule="exact"/>
        <w:rPr>
          <w:sz w:val="20"/>
          <w:szCs w:val="20"/>
          <w:color w:val="auto"/>
        </w:rPr>
      </w:pPr>
    </w:p>
    <w:tbl>
      <w:tblPr>
        <w:tblLayout w:type="fixed"/>
        <w:tblInd w:w="360" w:type="dxa"/>
        <w:tblCellMar>
          <w:top w:w="0" w:type="dxa"/>
          <w:left w:w="0" w:type="dxa"/>
          <w:bottom w:w="0" w:type="dxa"/>
          <w:right w:w="0" w:type="dxa"/>
        </w:tblCellMar>
      </w:tblPr>
      <w:tr>
        <w:trPr>
          <w:trHeight w:val="173"/>
        </w:trPr>
        <w:tc>
          <w:tcPr>
            <w:tcW w:w="5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26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Vacation ownership</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335,888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319,837</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16,051</w:t>
            </w:r>
          </w:p>
        </w:tc>
        <w:tc>
          <w:tcPr>
            <w:tcW w:w="1140" w:type="dxa"/>
            <w:vAlign w:val="bottom"/>
            <w:gridSpan w:val="2"/>
          </w:tcPr>
          <w:p>
            <w:pPr>
              <w:jc w:val="right"/>
              <w:ind w:right="279"/>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products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28,420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6,326</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23"/>
        </w:trPr>
        <w:tc>
          <w:tcPr>
            <w:tcW w:w="5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contract sales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364,308</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326,163</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38,145</w:t>
            </w:r>
          </w:p>
        </w:tc>
        <w:tc>
          <w:tcPr>
            <w:tcW w:w="114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NM = not meaningful</w:t>
      </w:r>
    </w:p>
    <w:p>
      <w:pPr>
        <w:spacing w:after="0" w:line="2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$38.1 million increase in total contract sales was driven by $28.4 million of higher residential contract sales in our Asia Pacific segment,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$20.8 million of higher vacation ownership contract sales in our key North America segment and $2.7 million of higher vacation ownership contract sales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Asia Pacific segment, partially offset by $7.5 million of lower contract sales in our Europe segment and $6.3 million of lower residential contract sales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North America segment.</w:t>
      </w:r>
    </w:p>
    <w:p>
      <w:pPr>
        <w:spacing w:after="0" w:line="99" w:lineRule="exact"/>
        <w:rPr>
          <w:sz w:val="20"/>
          <w:szCs w:val="20"/>
          <w:color w:val="auto"/>
        </w:rPr>
      </w:pPr>
    </w:p>
    <w:p>
      <w:pPr>
        <w:ind w:right="80" w:firstLine="913"/>
        <w:spacing w:after="0" w:line="255" w:lineRule="auto"/>
        <w:rPr>
          <w:sz w:val="20"/>
          <w:szCs w:val="20"/>
          <w:color w:val="auto"/>
        </w:rPr>
      </w:pPr>
      <w:r>
        <w:rPr>
          <w:rFonts w:ascii="Times New Roman" w:cs="Times New Roman" w:eastAsia="Times New Roman" w:hAnsi="Times New Roman"/>
          <w:sz w:val="18"/>
          <w:szCs w:val="18"/>
          <w:color w:val="auto"/>
        </w:rPr>
        <w:t>The increase in vacation ownership contract sales in our North America segment reflected a $14.4 million increase in sales at on-site sales locations, a $3.7 million increase in sales at off-site (non tour-based) sales locations, and a $2.7 million increase in fractional sales as we continue to sell through remaining luxury inventory. The increase in sales at on-site sales locations reflected a nearly 3 percent increase in VPG to $3,519 in the twenty-four weeks ended June 19, 2015 from $3,428 in the prior year comparable period and a 3 percent increase in the number of tours. The increase in VPG was due to a 0.6 percentage point increase in closing efficiency and higher pricing, partially offset by a decrease in the number of points sold per contract due to the increase in sales to existing owners in the current period. The increase in the number of tours was driven by an increase in existing owner tours. In the first quarter of 2015, we announced enhancements to our owner recognition levels that created a near-term incentive for existing owners to purchase additional points prior to the end of the twenty-four weeks ended June 19, 2015, which resulted in an increase in existing owner tours.</w:t>
      </w:r>
    </w:p>
    <w:p>
      <w:pPr>
        <w:spacing w:after="0" w:line="77"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Due to operational constraints, regulatory conditions and certain other conditions related to our 18 units in Macau, we decided not to sell these units through our Marriott Vacation Club, Asia Pacific points program, and instead disposed of the units as whole ownership residential units during the first quarter of 2015 for $28.4 million. We expect to reinvest the proceeds from the disposition in new timeshare destinations in the region with strong on-site sales locations, such as the operating hotel located in Surfers Paradise, Australia that we have committed to purchase.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Vacation Ownership Products</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165,938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164,589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1,349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Reportability</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reserve</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868</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5"/>
                <w:szCs w:val="15"/>
                <w:color w:val="auto"/>
              </w:rPr>
              <w:t>(1)</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155,370</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152,562</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2,808</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890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Adjustment for sales incentives that will not be recognized as Sale of vacation ownership products revenue.</w:t>
      </w:r>
    </w:p>
    <w:p>
      <w:pPr>
        <w:spacing w:after="0" w:line="225" w:lineRule="exact"/>
        <w:rPr>
          <w:sz w:val="20"/>
          <w:szCs w:val="20"/>
          <w:color w:val="auto"/>
        </w:rPr>
      </w:pPr>
    </w:p>
    <w:p>
      <w:pPr>
        <w:ind w:right="400" w:firstLine="913"/>
        <w:spacing w:after="0" w:line="266" w:lineRule="auto"/>
        <w:rPr>
          <w:sz w:val="20"/>
          <w:szCs w:val="20"/>
          <w:color w:val="auto"/>
        </w:rPr>
      </w:pPr>
      <w:r>
        <w:rPr>
          <w:rFonts w:ascii="Times New Roman" w:cs="Times New Roman" w:eastAsia="Times New Roman" w:hAnsi="Times New Roman"/>
          <w:sz w:val="18"/>
          <w:szCs w:val="18"/>
          <w:color w:val="auto"/>
        </w:rPr>
        <w:t>Revenue reportability had a $1.4 million positive impact in the current period, compared to a $0.8 million positive impact in the prior year comparable period. The lower sales reserve reflects a decrease in the estimated default activity in our North America segment compared to the prior year comparable period.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364,308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326,163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38,145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Reportability</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3,652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reserve</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5"/>
                <w:szCs w:val="15"/>
                <w:color w:val="auto"/>
              </w:rPr>
              <w:t>(1)</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339,276</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297,412</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41,864</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890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Adjustment for sales incentives that will not be recognized as Sale of vacation ownership products revenue.</w:t>
      </w:r>
    </w:p>
    <w:p>
      <w:pPr>
        <w:spacing w:after="0" w:line="225" w:lineRule="exact"/>
        <w:rPr>
          <w:sz w:val="20"/>
          <w:szCs w:val="20"/>
          <w:color w:val="auto"/>
        </w:rPr>
      </w:pPr>
    </w:p>
    <w:p>
      <w:pPr>
        <w:ind w:right="320" w:firstLine="913"/>
        <w:spacing w:after="0" w:line="261" w:lineRule="auto"/>
        <w:rPr>
          <w:sz w:val="20"/>
          <w:szCs w:val="20"/>
          <w:color w:val="auto"/>
        </w:rPr>
      </w:pPr>
      <w:r>
        <w:rPr>
          <w:rFonts w:ascii="Times New Roman" w:cs="Times New Roman" w:eastAsia="Times New Roman" w:hAnsi="Times New Roman"/>
          <w:sz w:val="18"/>
          <w:szCs w:val="18"/>
          <w:color w:val="auto"/>
        </w:rPr>
        <w:t>Revenue reportability had a $0.1 million negative impact in the current period, compared to a $3.7 million negative impact in the prior year comparable period because fewer sales were in the rescission period at the end of the twenty-four weeks ended June 19, 2015 compared to the prior year comparable period. The lower sales reserve is due to a decrease in the estimated default activity in our North America segment compared to the prior year comparable period, partially offset by the increase in vacation ownership contract sales.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Margin</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155,370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152,562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2,808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(1,705)</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(4,910)</w:t>
            </w:r>
          </w:p>
        </w:tc>
        <w:tc>
          <w:tcPr>
            <w:tcW w:w="11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margin</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33,114</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36,921</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(3,807)</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 pts)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decrease in development margin reflected the following:</w:t>
      </w:r>
    </w:p>
    <w:p>
      <w:pPr>
        <w:spacing w:after="0" w:line="131" w:lineRule="exact"/>
        <w:rPr>
          <w:sz w:val="20"/>
          <w:szCs w:val="20"/>
          <w:color w:val="auto"/>
        </w:rPr>
      </w:pPr>
    </w:p>
    <w:p>
      <w:pPr>
        <w:ind w:left="1700" w:right="180" w:hanging="328"/>
        <w:spacing w:after="0" w:line="256" w:lineRule="auto"/>
        <w:tabs>
          <w:tab w:leader="none" w:pos="1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million from vacation ownership contract sales volume net of higher direct variable expenses (i.e., cost of vacation ownership products and marketing and sales), including $4.1 million from higher marketing and sales costs due to an inability to leverage fixed costs on lower sales volumes in our Europe segment, investment in new programs to help generate future incremental tour volumes and the timing of certain marketing and sales related program costs in our North America segment, and $0.4 million from an unfavorable mix of higher cost real estate inventory being sold, partially offset by $0.6 million from the higher vacation ownership contract sales volume; and</w:t>
      </w:r>
    </w:p>
    <w:p>
      <w:pPr>
        <w:spacing w:after="0" w:line="93" w:lineRule="exact"/>
        <w:rPr>
          <w:rFonts w:ascii="Times New Roman" w:cs="Times New Roman" w:eastAsia="Times New Roman" w:hAnsi="Times New Roman"/>
          <w:sz w:val="18"/>
          <w:szCs w:val="18"/>
          <w:color w:val="auto"/>
        </w:rPr>
      </w:pPr>
    </w:p>
    <w:p>
      <w:pPr>
        <w:ind w:left="1700" w:right="420" w:hanging="328"/>
        <w:spacing w:after="0" w:line="282" w:lineRule="auto"/>
        <w:tabs>
          <w:tab w:leader="none" w:pos="1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million from lower favorable product cost true-ups ($0.6 million in the twelve weeks ended June 19, 2015 compared to $1.5 million in the prior year comparable period).</w:t>
      </w:r>
    </w:p>
    <w:p>
      <w:pPr>
        <w:spacing w:after="0" w:line="81" w:lineRule="exact"/>
        <w:rPr>
          <w:sz w:val="20"/>
          <w:szCs w:val="20"/>
          <w:color w:val="auto"/>
        </w:rPr>
      </w:pPr>
    </w:p>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t>These decreases were partially offset by $0.7 million from the lower estimated default activity compared to the prior year comparable period and $0.3 million from higher revenue reportability compared to the prior year comparable period.</w:t>
      </w:r>
    </w:p>
    <w:p>
      <w:pPr>
        <w:spacing w:after="0" w:line="54" w:lineRule="exact"/>
        <w:rPr>
          <w:sz w:val="20"/>
          <w:szCs w:val="20"/>
          <w:color w:val="auto"/>
        </w:rPr>
      </w:pPr>
    </w:p>
    <w:p>
      <w:pPr>
        <w:ind w:right="100" w:firstLine="913"/>
        <w:spacing w:after="0" w:line="255" w:lineRule="auto"/>
        <w:rPr>
          <w:sz w:val="20"/>
          <w:szCs w:val="20"/>
          <w:color w:val="auto"/>
        </w:rPr>
      </w:pPr>
      <w:r>
        <w:rPr>
          <w:rFonts w:ascii="Times New Roman" w:cs="Times New Roman" w:eastAsia="Times New Roman" w:hAnsi="Times New Roman"/>
          <w:sz w:val="18"/>
          <w:szCs w:val="18"/>
          <w:color w:val="auto"/>
        </w:rPr>
        <w:t>The 2.9 percentage point decline in the development margin percentage reflected a 2.8 percentage point decline due to the higher marketing and sales spending, 0.6 percentage point decrease due to the lower favorable product cost true-up activity year-over-year, and a 0.3 percentage point decrease due to an unfavorable mix of higher cost vacation ownership real estate inventory being sold in the twelve weeks ended June 19, 2015. These declines were partially offset by a 0.3 percentage point increase due to the lower estimated default activity, a 0.3 percentage point increase from the higher North America vacation ownership contract sales (which have a development margin that is higher than the company-wide average) and the lower Europe vacation ownership contract sales (which have a development margin that is lower than the company-wide average), and a 0.1 percentage point increase due to the favorable revenue reportability year-over-year.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94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339,276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297,412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41,864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(110,081)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(19,796)</w:t>
            </w:r>
          </w:p>
        </w:tc>
        <w:tc>
          <w:tcPr>
            <w:tcW w:w="110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(157,132)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(143,447)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(13,685)</w:t>
            </w:r>
          </w:p>
        </w:tc>
        <w:tc>
          <w:tcPr>
            <w:tcW w:w="11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margin</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72,063</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63,680</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8,383</w:t>
            </w:r>
          </w:p>
        </w:tc>
        <w:tc>
          <w:tcPr>
            <w:tcW w:w="110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(0.2 pts)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increase in development margin reflected the following:</w:t>
      </w:r>
    </w:p>
    <w:p>
      <w:pPr>
        <w:spacing w:after="0" w:line="131" w:lineRule="exact"/>
        <w:rPr>
          <w:sz w:val="20"/>
          <w:szCs w:val="20"/>
          <w:color w:val="auto"/>
        </w:rPr>
      </w:pPr>
    </w:p>
    <w:p>
      <w:pPr>
        <w:ind w:left="1700" w:right="220" w:hanging="328"/>
        <w:spacing w:after="0" w:line="266" w:lineRule="auto"/>
        <w:tabs>
          <w:tab w:leader="none" w:pos="1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million from higher residential contract sales ($5.9 million from the sale of residential inventory in our Asia Pacific segment in the twenty-four weeks ended June 19, 2015 compared to $1.4 million from the sale of residential inventory in our North America segment in the prior year comparable period);</w:t>
      </w:r>
    </w:p>
    <w:p>
      <w:pPr>
        <w:spacing w:after="0" w:line="81"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from higher revenue reportability compared to the prior year comparable period;</w:t>
      </w:r>
    </w:p>
    <w:p>
      <w:pPr>
        <w:spacing w:after="0" w:line="130" w:lineRule="exact"/>
        <w:rPr>
          <w:rFonts w:ascii="Times New Roman" w:cs="Times New Roman" w:eastAsia="Times New Roman" w:hAnsi="Times New Roman"/>
          <w:sz w:val="18"/>
          <w:szCs w:val="18"/>
          <w:color w:val="auto"/>
        </w:rPr>
      </w:pPr>
    </w:p>
    <w:p>
      <w:pPr>
        <w:ind w:left="1700" w:hanging="328"/>
        <w:spacing w:after="0" w:line="282" w:lineRule="auto"/>
        <w:tabs>
          <w:tab w:leader="none" w:pos="1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million from higher favorable product cost true-ups ($3.2 million in the twenty-four weeks ended June 19, 2015 compared to $2.3 million in the prior year comparable period);</w:t>
      </w:r>
    </w:p>
    <w:p>
      <w:pPr>
        <w:spacing w:after="0" w:line="67" w:lineRule="exact"/>
        <w:rPr>
          <w:rFonts w:ascii="Times New Roman" w:cs="Times New Roman" w:eastAsia="Times New Roman" w:hAnsi="Times New Roman"/>
          <w:sz w:val="18"/>
          <w:szCs w:val="18"/>
          <w:color w:val="auto"/>
        </w:rPr>
      </w:pPr>
    </w:p>
    <w:p>
      <w:pPr>
        <w:ind w:left="1700" w:hanging="328"/>
        <w:spacing w:after="0"/>
        <w:tabs>
          <w:tab w:leader="none" w:pos="1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from the lower estimated default activity compared to the prior year comparable period; and</w:t>
      </w:r>
    </w:p>
    <w:p>
      <w:pPr>
        <w:spacing w:after="0" w:line="130" w:lineRule="exact"/>
        <w:rPr>
          <w:rFonts w:ascii="Times New Roman" w:cs="Times New Roman" w:eastAsia="Times New Roman" w:hAnsi="Times New Roman"/>
          <w:sz w:val="18"/>
          <w:szCs w:val="18"/>
          <w:color w:val="auto"/>
        </w:rPr>
      </w:pPr>
    </w:p>
    <w:p>
      <w:pPr>
        <w:ind w:left="1700" w:right="120" w:hanging="328"/>
        <w:spacing w:after="0" w:line="256" w:lineRule="auto"/>
        <w:tabs>
          <w:tab w:leader="none" w:pos="1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from higher vacation ownership contract sales volume net of direct variable expenses (i.e., cost of vacation ownership products and marketing and sales), including $4.4 million from the higher vacation ownership contract sales volume and $1.2 million from a favorable mix of lower cost real estate inventory being sold, partially offset by $5.5 million from higher marketing and sales costs due to an inability to leverage fixed costs on lower sales volumes in our Europe segment, investment in new programs to help generate future incremental tour volumes and the timing of certain marketing and sales related program costs in our North America segment.</w:t>
      </w:r>
    </w:p>
    <w:p>
      <w:pPr>
        <w:spacing w:after="0" w:line="80"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The 0.2 percentage point decline in the development margin percentage reflected a 1.9 percentage point decline due to the higher marketing and sales spending, partially offset by a 0.5 percentage point increase due to the favorable revenue reportability year-over-year, a 0.4 percentage point increase due to a favorable mix of lower cost vacation ownership real estate inventory being sold in the twenty-four weeks ended June 19, 2015, a 0.3 percentage point increase from the higher North America vacation ownership contract sales (which have a development margin that is higher than the company-wide average) and the lower Europe vacation ownership contract sales (which have a development margin that is lower than the company-wide average) a 0.3 percentage point increase due to the higher favorable product cost true-up activity year-over-year, and a 0.2 percentage point increase due to the lower estimated default activity.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Resort Management and Other Services Revenues, Expenses and Margin</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94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17,956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17,311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services revenues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56,107</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57,510</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(1,403)</w:t>
            </w:r>
          </w:p>
        </w:tc>
        <w:tc>
          <w:tcPr>
            <w:tcW w:w="110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revenues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74,063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74,821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(758)</w:t>
            </w:r>
          </w:p>
        </w:tc>
        <w:tc>
          <w:tcPr>
            <w:tcW w:w="11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Resort management and other services expenses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(45,480)</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(48,308)</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2,828</w:t>
            </w:r>
          </w:p>
        </w:tc>
        <w:tc>
          <w:tcPr>
            <w:tcW w:w="1100" w:type="dxa"/>
            <w:vAlign w:val="bottom"/>
            <w:gridSpan w:val="2"/>
          </w:tcPr>
          <w:p>
            <w:pPr>
              <w:jc w:val="right"/>
              <w:ind w:right="279"/>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28,583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26,513</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2,070</w:t>
            </w:r>
          </w:p>
        </w:tc>
        <w:tc>
          <w:tcPr>
            <w:tcW w:w="11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 percentage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3.2 pts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240" w:firstLine="913"/>
        <w:spacing w:after="0" w:line="266" w:lineRule="auto"/>
        <w:rPr>
          <w:sz w:val="20"/>
          <w:szCs w:val="20"/>
          <w:color w:val="auto"/>
        </w:rPr>
      </w:pPr>
      <w:r>
        <w:rPr>
          <w:rFonts w:ascii="Times New Roman" w:cs="Times New Roman" w:eastAsia="Times New Roman" w:hAnsi="Times New Roman"/>
          <w:sz w:val="18"/>
          <w:szCs w:val="18"/>
          <w:color w:val="auto"/>
        </w:rPr>
        <w:t>The decrease in resort management and other services revenues reflected $1.8 million of lower ancillary revenues, $0.6 million of lower brand fees due to fewer closings compared to the prior year comparable period and $0.7 million of lower fees from external exchange service providers, partially offset by $1.1 million of higher settlement and lien fees due to</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 increase in the number of contracts closed and higher assessed lien fees, $0.6 million of higher management fees (net of $0.3 million negative foreign exchange impact in our Europe segment), and $0.6 million of additional annual club dues earned in connection with the MVCD program due to the cumulative increase in owners enrolled in the program. The decrease in ancillary revenues included a $2.5 million decline due to the disposition of certain assets during the prior year, the closure of another ancillary operation during the prior year and outsourcing the operation of a restaurant during the prior year, as well as $1.2 million from the changes in foreign exchange rates in our Europe segment. These declines in ancillary revenues were partially offset by a $1.3 million increase in ancillary revenues from food and beverage and golf offerings at our other resorts and $0.6 million of ancillary revenues at our new resort in San Diego acquired in early 2015.</w:t>
      </w:r>
    </w:p>
    <w:p>
      <w:pPr>
        <w:spacing w:after="0" w:line="81" w:lineRule="exact"/>
        <w:rPr>
          <w:sz w:val="20"/>
          <w:szCs w:val="20"/>
          <w:color w:val="auto"/>
        </w:rPr>
      </w:pPr>
    </w:p>
    <w:p>
      <w:pPr>
        <w:ind w:right="180" w:firstLine="913"/>
        <w:spacing w:after="0" w:line="261" w:lineRule="auto"/>
        <w:rPr>
          <w:sz w:val="20"/>
          <w:szCs w:val="20"/>
          <w:color w:val="auto"/>
        </w:rPr>
      </w:pPr>
      <w:r>
        <w:rPr>
          <w:rFonts w:ascii="Times New Roman" w:cs="Times New Roman" w:eastAsia="Times New Roman" w:hAnsi="Times New Roman"/>
          <w:sz w:val="18"/>
          <w:szCs w:val="18"/>
          <w:color w:val="auto"/>
        </w:rPr>
        <w:t>The improvement in the resort management and other services margin reflected the changes in revenue, as well as $2.8 million of lower expenses, including $4.0 million of ancillary expense savings from the dispositions, closure and outsourcing noted above and $1.2 million from the changes in foreign exchange rates in our Europe segment, partially offset by $2.4 million of higher ancillary, customer service, settlement and MVCD program expenses related to the higher revenues in the twelve weeks ended June 19, 2015.</w:t>
      </w:r>
    </w:p>
    <w:p>
      <w:pPr>
        <w:spacing w:after="0" w:line="2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35,536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34,094</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1,442</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services revenues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102,944</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104,273</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(1,329)</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revenues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138,480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138,367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Resort management and other services expenses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(87,889)</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(93,204)</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5,315</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50,591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45,163</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5,428</w:t>
            </w:r>
          </w:p>
        </w:tc>
        <w:tc>
          <w:tcPr>
            <w:tcW w:w="11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 percentage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3.9 pts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The increase in resort management and other services revenues reflected $1.4 million of higher management fees (net of $0.6 million negative foreign exchange impact in our Europe segment), $1.4 million of higher settlement and lien fees due to an increase in the number of contracts closed and higher assessed lien fees, $1.1 million of additional annual club dues earned in connection with the MVCD program due to the cumulative increase in owners enrolled in the program, and $0.3 million of higher resales commission and other revenues, partially offset by $4.1 million of lower ancillary revenues. The decrease in ancillary revenues included a $5.3 million decline due to the disposition of certain assets during the prior year, the closure of another ancillary operation during the prior year and outsourcing the operation of a restaurant during the prior year, as well as $1.7 million from the changes in foreign exchange rates in our Europe segment. These declines in ancillary revenues were partially offset by a $2.2 million increase in ancillary revenues from food and beverage and golf offerings at our other resorts and $0.7 million of ancillary revenues at our new resort in San Diego acquired in early 2015.</w:t>
      </w:r>
    </w:p>
    <w:p>
      <w:pPr>
        <w:spacing w:after="0" w:line="77" w:lineRule="exact"/>
        <w:rPr>
          <w:sz w:val="20"/>
          <w:szCs w:val="20"/>
          <w:color w:val="auto"/>
        </w:rPr>
      </w:pPr>
    </w:p>
    <w:p>
      <w:pPr>
        <w:ind w:right="180" w:firstLine="913"/>
        <w:spacing w:after="0" w:line="261" w:lineRule="auto"/>
        <w:rPr>
          <w:sz w:val="20"/>
          <w:szCs w:val="20"/>
          <w:color w:val="auto"/>
        </w:rPr>
      </w:pPr>
      <w:r>
        <w:rPr>
          <w:rFonts w:ascii="Times New Roman" w:cs="Times New Roman" w:eastAsia="Times New Roman" w:hAnsi="Times New Roman"/>
          <w:sz w:val="18"/>
          <w:szCs w:val="18"/>
          <w:color w:val="auto"/>
        </w:rPr>
        <w:t>The improvement in the resort management and other services margin reflected the changes in revenue, as well as $5.3 million of lower expenses, including $8.1 million of ancillary expense savings from the dispositions, closure and outsourcing noted above and $1.9 million from the changes in foreign exchange rates in our Europe segment, partially offset by $4.7 million of higher ancillary, customer service, settlement and MVCD program expenses related to the higher revenues in the twenty-four weeks ended June 19, 2015.</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Revenues, Expenses and Margin</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26,927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28,327</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(1,400)</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revenues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1,367</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1,490</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(123)</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revenues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28,294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29,817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(1,523)</w:t>
            </w:r>
          </w:p>
        </w:tc>
        <w:tc>
          <w:tcPr>
            <w:tcW w:w="11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Financing expenses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(647)</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financing interest expense</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489</w:t>
            </w:r>
          </w:p>
        </w:tc>
        <w:tc>
          <w:tcPr>
            <w:tcW w:w="11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margin</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16,961</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18,642</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(1,681)</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propensity</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300" w:firstLine="913"/>
        <w:spacing w:after="0" w:line="266" w:lineRule="auto"/>
        <w:rPr>
          <w:sz w:val="20"/>
          <w:szCs w:val="20"/>
          <w:color w:val="auto"/>
        </w:rPr>
      </w:pPr>
      <w:r>
        <w:rPr>
          <w:rFonts w:ascii="Times New Roman" w:cs="Times New Roman" w:eastAsia="Times New Roman" w:hAnsi="Times New Roman"/>
          <w:sz w:val="18"/>
          <w:szCs w:val="18"/>
          <w:color w:val="auto"/>
        </w:rPr>
        <w:t>The decrease in financing revenues was due to a $61.0 million decline in the average gross vacation ownership notes receivable balance. This decline reflected our continued collection of existing vacation ownership notes receivable at a faster pace than our origination of new vacation ownership notes receivable.</w:t>
      </w:r>
    </w:p>
    <w:p>
      <w:pPr>
        <w:spacing w:after="0" w:line="68" w:lineRule="exact"/>
        <w:rPr>
          <w:sz w:val="20"/>
          <w:szCs w:val="20"/>
          <w:color w:val="auto"/>
        </w:rPr>
      </w:pPr>
    </w:p>
    <w:p>
      <w:pPr>
        <w:ind w:right="100" w:firstLine="913"/>
        <w:spacing w:after="0" w:line="258" w:lineRule="auto"/>
        <w:rPr>
          <w:sz w:val="20"/>
          <w:szCs w:val="20"/>
          <w:color w:val="auto"/>
        </w:rPr>
      </w:pPr>
      <w:r>
        <w:rPr>
          <w:rFonts w:ascii="Times New Roman" w:cs="Times New Roman" w:eastAsia="Times New Roman" w:hAnsi="Times New Roman"/>
          <w:sz w:val="18"/>
          <w:szCs w:val="18"/>
          <w:color w:val="auto"/>
        </w:rPr>
        <w:t>The decline in financing margin reflects the lower financing revenues and an increase in expenses due to higher credit card fees, the timing of expenses and inflationary cost increases, partially offset by lower consumer financing interest expense. The lower consumer financing interest expense was due to a lower average interest rate on the outstanding debt balances.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 The increase in financing propensity was due to the addition of new financing incentives.</w:t>
      </w:r>
    </w:p>
    <w:p>
      <w:pPr>
        <w:spacing w:after="0" w:line="2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94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54,494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57,445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(2,951)</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revenues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2,852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3,012</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(160)</w:t>
            </w:r>
          </w:p>
        </w:tc>
        <w:tc>
          <w:tcPr>
            <w:tcW w:w="110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revenues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57,346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60,457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(3,111)</w:t>
            </w:r>
          </w:p>
        </w:tc>
        <w:tc>
          <w:tcPr>
            <w:tcW w:w="11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Financing expenses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(448)</w:t>
            </w:r>
          </w:p>
        </w:tc>
        <w:tc>
          <w:tcPr>
            <w:tcW w:w="110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financing interest expense</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1,093</w:t>
            </w:r>
          </w:p>
        </w:tc>
        <w:tc>
          <w:tcPr>
            <w:tcW w:w="11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margin</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35,087</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37,553</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(2,466)</w:t>
            </w:r>
          </w:p>
        </w:tc>
        <w:tc>
          <w:tcPr>
            <w:tcW w:w="110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propensity</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300" w:firstLine="913"/>
        <w:spacing w:after="0" w:line="266" w:lineRule="auto"/>
        <w:rPr>
          <w:sz w:val="20"/>
          <w:szCs w:val="20"/>
          <w:color w:val="auto"/>
        </w:rPr>
      </w:pPr>
      <w:r>
        <w:rPr>
          <w:rFonts w:ascii="Times New Roman" w:cs="Times New Roman" w:eastAsia="Times New Roman" w:hAnsi="Times New Roman"/>
          <w:sz w:val="18"/>
          <w:szCs w:val="18"/>
          <w:color w:val="auto"/>
        </w:rPr>
        <w:t>The decrease in financing revenues was due to a $63.3 million decline in the average gross vacation ownership notes receivable balance. This decline reflected our continued collection of existing vacation ownership notes receivable at a faster pace than our origination of new vacation ownership notes receivable.</w:t>
      </w:r>
    </w:p>
    <w:p>
      <w:pPr>
        <w:spacing w:after="0" w:line="68" w:lineRule="exact"/>
        <w:rPr>
          <w:sz w:val="20"/>
          <w:szCs w:val="20"/>
          <w:color w:val="auto"/>
        </w:rPr>
      </w:pPr>
    </w:p>
    <w:p>
      <w:pPr>
        <w:ind w:right="80" w:firstLine="913"/>
        <w:spacing w:after="0" w:line="256" w:lineRule="auto"/>
        <w:rPr>
          <w:sz w:val="20"/>
          <w:szCs w:val="20"/>
          <w:color w:val="auto"/>
        </w:rPr>
      </w:pPr>
      <w:r>
        <w:rPr>
          <w:rFonts w:ascii="Times New Roman" w:cs="Times New Roman" w:eastAsia="Times New Roman" w:hAnsi="Times New Roman"/>
          <w:sz w:val="18"/>
          <w:szCs w:val="18"/>
          <w:color w:val="auto"/>
        </w:rPr>
        <w:t>The decline in financing margin reflects the lower financing revenues and an increase in expenses due to higher credit card fees and inflationary cost increases, partially offset by lower consumer financing interest expense and lower financing expenses. The lower consumer financing interest expense was due to a lower average interest rate on the outstanding debt balances ($1.3 million), partially offset by an increase in the outstanding debt balances of securitized vacation ownership notes receivable and associated interest costs ($0.2 million).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 The increase in financing propensity was due to the addition of new financing incentives.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Rental Revenues, Expenses and Margin</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72,642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61,827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10,815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Unsold maintenance fees — upscale</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(1,934)</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Unsold maintenance fees — luxury</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(119)</w:t>
            </w:r>
          </w:p>
        </w:tc>
        <w:tc>
          <w:tcPr>
            <w:tcW w:w="11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Unsold maintenance fees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(2,053)</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rental expenses</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(41,613)</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(4,791)</w:t>
            </w:r>
          </w:p>
        </w:tc>
        <w:tc>
          <w:tcPr>
            <w:tcW w:w="11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Rental margin</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10,807</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6,836</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3,971</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margin percentage</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3.8 pts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5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24"/>
                <w:szCs w:val="24"/>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Transient keys rented </w:t>
            </w:r>
            <w:r>
              <w:rPr>
                <w:rFonts w:ascii="Times New Roman" w:cs="Times New Roman" w:eastAsia="Times New Roman" w:hAnsi="Times New Roman"/>
                <w:sz w:val="15"/>
                <w:szCs w:val="15"/>
                <w:color w:val="auto"/>
              </w:rPr>
              <w:t>(1)</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275,587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260,979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14,608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Average transient key rate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218.83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210.46</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8.37</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occupancy</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88.3%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88.6%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(0.3 pts)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0890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1"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Transient keys rented exclude those obtained through the use of plus points.</w:t>
      </w:r>
    </w:p>
    <w:p>
      <w:pPr>
        <w:spacing w:after="0" w:line="117" w:lineRule="exact"/>
        <w:rPr>
          <w:sz w:val="20"/>
          <w:szCs w:val="20"/>
          <w:color w:val="auto"/>
        </w:rPr>
      </w:pPr>
    </w:p>
    <w:p>
      <w:pPr>
        <w:ind w:right="120" w:firstLine="913"/>
        <w:spacing w:after="0" w:line="258" w:lineRule="auto"/>
        <w:rPr>
          <w:sz w:val="20"/>
          <w:szCs w:val="20"/>
          <w:color w:val="auto"/>
        </w:rPr>
      </w:pPr>
      <w:r>
        <w:rPr>
          <w:rFonts w:ascii="Times New Roman" w:cs="Times New Roman" w:eastAsia="Times New Roman" w:hAnsi="Times New Roman"/>
          <w:sz w:val="18"/>
          <w:szCs w:val="18"/>
          <w:color w:val="auto"/>
        </w:rPr>
        <w:t>The increase in rental revenues was due to a company-wide 6 percent increase in transient keys rented ($3.1 million) primarily sourced from a 6 percent increase in available keys, a company-wide 4 percent increase in average transient rate ($2.3 million) driven by stronger consumer demand, $1.5 million of higher plus points revenue (which is recognized upon utilization of plus points for stays at our resorts or upon expiration of the points) and a $1.2 million increase in preview keys and other revenue. In addition, we had $2.7 million of revenue from the operation of the hotel acquired during the first quarter of 2015.</w:t>
      </w:r>
    </w:p>
    <w:p>
      <w:pPr>
        <w:spacing w:after="0" w:line="76" w:lineRule="exact"/>
        <w:rPr>
          <w:sz w:val="20"/>
          <w:szCs w:val="20"/>
          <w:color w:val="auto"/>
        </w:rPr>
      </w:pPr>
    </w:p>
    <w:p>
      <w:pPr>
        <w:ind w:right="120" w:firstLine="913"/>
        <w:spacing w:after="0" w:line="266" w:lineRule="auto"/>
        <w:rPr>
          <w:sz w:val="20"/>
          <w:szCs w:val="20"/>
          <w:color w:val="auto"/>
        </w:rPr>
      </w:pPr>
      <w:r>
        <w:rPr>
          <w:rFonts w:ascii="Times New Roman" w:cs="Times New Roman" w:eastAsia="Times New Roman" w:hAnsi="Times New Roman"/>
          <w:sz w:val="18"/>
          <w:szCs w:val="18"/>
          <w:color w:val="auto"/>
        </w:rPr>
        <w:t>The increase in rental margin reflected $2.9 million of higher rental revenues net of direct variable expenses (such as housekeeping), expenses incurred due to owners choosing alternative usage options, and unsold maintenance fees, as well as the $1.5 million increase in plus points revenue, partially offset by a $0.5 million loss from the operation of the hotel acquired during the first quarter of 2015.</w:t>
      </w:r>
    </w:p>
    <w:p>
      <w:pPr>
        <w:spacing w:after="0" w:line="2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92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148,841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125,352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23,489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Unsold maintenance fees — upscale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(2,879)</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Unsold maintenance fees — luxury</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323</w:t>
            </w:r>
          </w:p>
        </w:tc>
        <w:tc>
          <w:tcPr>
            <w:tcW w:w="11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Unsold maintenance fees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(2,556)</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rental expenses</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(92,109)</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(7,656)</w:t>
            </w:r>
          </w:p>
        </w:tc>
        <w:tc>
          <w:tcPr>
            <w:tcW w:w="11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Rental margin</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26,848</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13,571</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13,277</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margin percentage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7.2 pts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5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24"/>
                <w:szCs w:val="24"/>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9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Transient keys rented </w:t>
            </w:r>
            <w:r>
              <w:rPr>
                <w:rFonts w:ascii="Times New Roman" w:cs="Times New Roman" w:eastAsia="Times New Roman" w:hAnsi="Times New Roman"/>
                <w:sz w:val="15"/>
                <w:szCs w:val="15"/>
                <w:color w:val="auto"/>
              </w:rPr>
              <w:t>(1)</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572,297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529,658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42,639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Average transient key rate</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222.62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212.42</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10.20</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occupancy</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88.0%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88.6%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(0.6 pts)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0890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8" w:lineRule="exact"/>
        <w:rPr>
          <w:sz w:val="20"/>
          <w:szCs w:val="20"/>
          <w:color w:val="auto"/>
        </w:rPr>
      </w:pPr>
    </w:p>
    <w:p>
      <w:pPr>
        <w:ind w:left="5620" w:right="5500" w:hanging="5612"/>
        <w:spacing w:after="0" w:line="454" w:lineRule="auto"/>
        <w:tabs>
          <w:tab w:leader="none" w:pos="45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Transient keys rented exclude those obtained through the use of plus points. 35</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58" w:lineRule="auto"/>
        <w:rPr>
          <w:sz w:val="20"/>
          <w:szCs w:val="20"/>
          <w:color w:val="auto"/>
        </w:rPr>
      </w:pPr>
      <w:r>
        <w:rPr>
          <w:rFonts w:ascii="Times New Roman" w:cs="Times New Roman" w:eastAsia="Times New Roman" w:hAnsi="Times New Roman"/>
          <w:sz w:val="18"/>
          <w:szCs w:val="18"/>
          <w:color w:val="auto"/>
        </w:rPr>
        <w:t>The increase in rental revenues was due to a company-wide 8 percent increase in transient keys rented ($9.1 million) primarily sourced from a 9 percent increase in available keys, a company-wide 5 percent increase in average transient rate ($5.8 million) driven by stronger consumer demand, $2.7 million of higher plus points revenue (which is recognized upon utilization of plus points for stays at our resorts or upon expiration of the points) and a $2.6 million increase in preview keys and other revenue. In addition, we had $3.3 million of revenue from the operation of the hotel acquired during the first quarter of 2015.</w:t>
      </w:r>
    </w:p>
    <w:p>
      <w:pPr>
        <w:spacing w:after="0" w:line="76" w:lineRule="exact"/>
        <w:rPr>
          <w:sz w:val="20"/>
          <w:szCs w:val="20"/>
          <w:color w:val="auto"/>
        </w:rPr>
      </w:pPr>
    </w:p>
    <w:p>
      <w:pPr>
        <w:jc w:val="both"/>
        <w:ind w:right="100" w:firstLine="913"/>
        <w:spacing w:after="0" w:line="266" w:lineRule="auto"/>
        <w:rPr>
          <w:sz w:val="20"/>
          <w:szCs w:val="20"/>
          <w:color w:val="auto"/>
        </w:rPr>
      </w:pPr>
      <w:r>
        <w:rPr>
          <w:rFonts w:ascii="Times New Roman" w:cs="Times New Roman" w:eastAsia="Times New Roman" w:hAnsi="Times New Roman"/>
          <w:sz w:val="18"/>
          <w:szCs w:val="18"/>
          <w:color w:val="auto"/>
        </w:rPr>
        <w:t>The increase in rental margin reflected $11.6 million of higher rental revenues net of direct variable expenses (such as housekeeping), expenses incurred due to owners choosing alternative usage options, and unsold maintenance fees, as well as the $2.7 million increase in plus points revenue, partially offset by a $1.0 million loss from the operation of the hotel acquired during the first quarter of 2015.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Reimbursements</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p>
      <w:pPr>
        <w:spacing w:after="0" w:line="119" w:lineRule="exact"/>
        <w:rPr>
          <w:sz w:val="20"/>
          <w:szCs w:val="20"/>
          <w:color w:val="auto"/>
        </w:rPr>
      </w:pPr>
    </w:p>
    <w:p>
      <w:pPr>
        <w:ind w:right="180" w:firstLine="913"/>
        <w:spacing w:after="0" w:line="261" w:lineRule="auto"/>
        <w:rPr>
          <w:sz w:val="20"/>
          <w:szCs w:val="20"/>
          <w:color w:val="auto"/>
        </w:rPr>
      </w:pPr>
      <w:r>
        <w:rPr>
          <w:rFonts w:ascii="Times New Roman" w:cs="Times New Roman" w:eastAsia="Times New Roman" w:hAnsi="Times New Roman"/>
          <w:sz w:val="18"/>
          <w:szCs w:val="18"/>
          <w:color w:val="auto"/>
        </w:rPr>
        <w:t>Cost reimbursements increased $1.6 million, or 2 percent, over the prior year comparable period, reflecting an increase of $4.1 million due to higher costs and $1.4 million due to additional managed unit weeks in the twelve weeks ended June 19, 2015, partially offset by $2.0 million of lower costs associated with management contracts that were terminated prior to 2015 and a $1.9 million negative impact from foreign exchange rates in our Europe segment.</w:t>
      </w:r>
    </w:p>
    <w:p>
      <w:pPr>
        <w:spacing w:after="0" w:line="2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119" w:lineRule="exact"/>
        <w:rPr>
          <w:sz w:val="20"/>
          <w:szCs w:val="20"/>
          <w:color w:val="auto"/>
        </w:rPr>
      </w:pPr>
    </w:p>
    <w:p>
      <w:pPr>
        <w:ind w:right="60" w:firstLine="913"/>
        <w:spacing w:after="0" w:line="261" w:lineRule="auto"/>
        <w:rPr>
          <w:sz w:val="20"/>
          <w:szCs w:val="20"/>
          <w:color w:val="auto"/>
        </w:rPr>
      </w:pPr>
      <w:r>
        <w:rPr>
          <w:rFonts w:ascii="Times New Roman" w:cs="Times New Roman" w:eastAsia="Times New Roman" w:hAnsi="Times New Roman"/>
          <w:sz w:val="18"/>
          <w:szCs w:val="18"/>
          <w:color w:val="auto"/>
        </w:rPr>
        <w:t>Cost reimbursements increased $3.5 million, or 2 percent, over the prior year comparable period, reflecting an increase of $8.3 million due to higher costs and $2.5 million due to additional managed unit weeks in the twenty-four weeks ended June 19, 2015, partially offset by $4.1 million of lower costs associated with management contracts that were terminated prior to 2015 and a $3.2 million negative impact from foreign exchange rates in our Europe segment.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p>
      <w:pPr>
        <w:spacing w:after="0" w:line="119" w:lineRule="exact"/>
        <w:rPr>
          <w:sz w:val="20"/>
          <w:szCs w:val="20"/>
          <w:color w:val="auto"/>
        </w:rPr>
      </w:pPr>
    </w:p>
    <w:p>
      <w:pPr>
        <w:ind w:right="300" w:firstLine="913"/>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$0.3 million (from $23.2 million to $22.9 million) and were driven by lower depreciation and cost savings, partially offset by higher personnel related and other costs.</w:t>
      </w:r>
    </w:p>
    <w:p>
      <w:pPr>
        <w:spacing w:after="0" w:line="20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119" w:lineRule="exact"/>
        <w:rPr>
          <w:sz w:val="20"/>
          <w:szCs w:val="20"/>
          <w:color w:val="auto"/>
        </w:rPr>
      </w:pPr>
    </w:p>
    <w:p>
      <w:pPr>
        <w:ind w:right="240" w:firstLine="913"/>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$0.7 million (from $45.0 million to $45.7 million) and were driven by higher personnel related and other costs, partially offset by lower depreciation and cost savings.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Settlement</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and Twenty-Four Weeks Ended June 19, 2015</w:t>
      </w:r>
    </w:p>
    <w:p>
      <w:pPr>
        <w:spacing w:after="0" w:line="119" w:lineRule="exact"/>
        <w:rPr>
          <w:sz w:val="20"/>
          <w:szCs w:val="20"/>
          <w:color w:val="auto"/>
        </w:rPr>
      </w:pPr>
    </w:p>
    <w:p>
      <w:pPr>
        <w:ind w:right="100" w:firstLine="913"/>
        <w:spacing w:after="0" w:line="282" w:lineRule="auto"/>
        <w:rPr>
          <w:sz w:val="20"/>
          <w:szCs w:val="20"/>
          <w:color w:val="auto"/>
        </w:rPr>
      </w:pPr>
      <w:r>
        <w:rPr>
          <w:rFonts w:ascii="Times New Roman" w:cs="Times New Roman" w:eastAsia="Times New Roman" w:hAnsi="Times New Roman"/>
          <w:sz w:val="18"/>
          <w:szCs w:val="18"/>
          <w:color w:val="auto"/>
        </w:rPr>
        <w:t>During the first quarter of 2015, we reversed $0.3 million of an accrual from the sale of The Abaco Club in the Bahamas in the fourth quarter of 2014 because actual costs were lower than expected.</w:t>
      </w:r>
    </w:p>
    <w:p>
      <w:pPr>
        <w:spacing w:after="0" w:line="54"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During the second quarter of 2014, we agreed to settle a dispute with a service provider relating to services provided to us prior to 2011. The dispute related to certain lawsuits and claims asserted by several residential unit and fractional interest owners at The Ritz-Carlton Club and Residences, San Francisco (the “RCC San Francisco”), a project within our North America segment, who questioned the adequacy of disclosures made regarding bonds issued for that project under California’s Mello-Roos Community Facilities Act of 1982 and their payment obligations with respect to such bonds. In connection with the settlement, we received a one-time payment of $7.6 million after the end of the second quarter of 2014 from the service provider, which no longer provides services to us. We recorded a gain of $7.6 million as a result of the settlement, which is included in the Litigation settlement line on the Statements of Operations for the twelve and twenty-four weeks ended June 20, 2014.</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and Separation Related Efforts</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and Twenty-Four Weeks Ended June 19, 2015</w:t>
      </w:r>
    </w:p>
    <w:p>
      <w:pPr>
        <w:spacing w:after="0" w:line="119" w:lineRule="exact"/>
        <w:rPr>
          <w:sz w:val="20"/>
          <w:szCs w:val="20"/>
          <w:color w:val="auto"/>
        </w:rPr>
      </w:pPr>
    </w:p>
    <w:p>
      <w:pPr>
        <w:ind w:right="60" w:firstLine="913"/>
        <w:spacing w:after="0" w:line="261" w:lineRule="auto"/>
        <w:rPr>
          <w:sz w:val="20"/>
          <w:szCs w:val="20"/>
          <w:color w:val="auto"/>
        </w:rPr>
      </w:pPr>
      <w:r>
        <w:rPr>
          <w:rFonts w:ascii="Times New Roman" w:cs="Times New Roman" w:eastAsia="Times New Roman" w:hAnsi="Times New Roman"/>
          <w:sz w:val="18"/>
          <w:szCs w:val="18"/>
          <w:color w:val="auto"/>
        </w:rPr>
        <w:t>Organizational and separation related expenses, as reflected on our Statements of Income, continued to decline in the second quarter of 2015 due to the completion of many of the initiatives relating to our separation from Marriott International, with $0.1 million of expenses in the twelve weeks ended June 19, 2015 compared to $1.1 million in the prior year comparable period, and $0.3 million of expenses in the twenty-four weeks ended June 19, 2015 compared to $1.9 million in the prior year comparable period.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Fee</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p>
      <w:pPr>
        <w:spacing w:after="0" w:line="119" w:lineRule="exact"/>
        <w:rPr>
          <w:sz w:val="20"/>
          <w:szCs w:val="20"/>
          <w:color w:val="auto"/>
        </w:rPr>
      </w:pPr>
    </w:p>
    <w:p>
      <w:pPr>
        <w:jc w:val="both"/>
        <w:ind w:right="460" w:firstLine="913"/>
        <w:spacing w:after="0" w:line="266" w:lineRule="auto"/>
        <w:rPr>
          <w:sz w:val="20"/>
          <w:szCs w:val="20"/>
          <w:color w:val="auto"/>
        </w:rPr>
      </w:pPr>
      <w:r>
        <w:rPr>
          <w:rFonts w:ascii="Times New Roman" w:cs="Times New Roman" w:eastAsia="Times New Roman" w:hAnsi="Times New Roman"/>
          <w:sz w:val="18"/>
          <w:szCs w:val="18"/>
          <w:color w:val="auto"/>
        </w:rPr>
        <w:t>Royalty fee expense decreased $0.3 million in the twelve weeks ended June 19, 2015 (from $13.7 million to $13.4 million) due to a higher portion of sales of pre-owned inventory, which carry a lower royalty fee as compared to initial sales of our real estate inventory (one percent versus two percent).</w:t>
      </w:r>
    </w:p>
    <w:p>
      <w:pPr>
        <w:spacing w:after="0" w:line="2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119" w:lineRule="exact"/>
        <w:rPr>
          <w:sz w:val="20"/>
          <w:szCs w:val="20"/>
          <w:color w:val="auto"/>
        </w:rPr>
      </w:pPr>
    </w:p>
    <w:p>
      <w:pPr>
        <w:ind w:right="240" w:firstLine="913"/>
        <w:spacing w:after="0" w:line="258" w:lineRule="auto"/>
        <w:rPr>
          <w:sz w:val="20"/>
          <w:szCs w:val="20"/>
          <w:color w:val="auto"/>
        </w:rPr>
      </w:pPr>
      <w:r>
        <w:rPr>
          <w:rFonts w:ascii="Times New Roman" w:cs="Times New Roman" w:eastAsia="Times New Roman" w:hAnsi="Times New Roman"/>
          <w:sz w:val="18"/>
          <w:szCs w:val="18"/>
          <w:color w:val="auto"/>
        </w:rPr>
        <w:t>Royalty fee expense decreased $0.7 million in the twenty-four weeks ended June 19, 2015 (from $27.1 million to $26.4 million), and included $0.8 million of lower costs due to a higher portion of sales of pre-owned inventory, which carry a lower royalty fee as compared to initial sales of our real estate inventory (one percent versus two percent), partially offset by $0.1 million of higher costs due to higher closings in the twenty-four weeks ended June 19, 2015. Royalty fee expense decreased despite higher sales of our real estate inventory, as the $28.4 million of residential contract sales in our Asia Pacific segment were unbranded and did not require us to pay a royalty fee.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Gains and Other Income</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p>
      <w:pPr>
        <w:spacing w:after="0" w:line="119" w:lineRule="exact"/>
        <w:rPr>
          <w:sz w:val="20"/>
          <w:szCs w:val="20"/>
          <w:color w:val="auto"/>
        </w:rPr>
      </w:pPr>
    </w:p>
    <w:p>
      <w:pPr>
        <w:ind w:right="140" w:firstLine="913"/>
        <w:spacing w:after="0" w:line="256" w:lineRule="auto"/>
        <w:rPr>
          <w:sz w:val="20"/>
          <w:szCs w:val="20"/>
          <w:color w:val="auto"/>
        </w:rPr>
      </w:pPr>
      <w:r>
        <w:rPr>
          <w:rFonts w:ascii="Times New Roman" w:cs="Times New Roman" w:eastAsia="Times New Roman" w:hAnsi="Times New Roman"/>
          <w:sz w:val="18"/>
          <w:szCs w:val="18"/>
          <w:color w:val="auto"/>
        </w:rPr>
        <w:t>The $8.2 million increase in gains and other income was due to an $8.7 million gain on the disposition of undeveloped land in Kauai, Hawaii in the twelve weeks ended June 19, 2015, partially offset by a $0.3 million lower gain from the disposition of a golf course and adjacent undeveloped land in Orlando, Florida and a $0.3 million lower gain from the disposition of undeveloped land on Singer Island, Florida in the prior year comparable period. We disposed of the golf course and undeveloped land in Orlando, Florida in the first quarter of 2014 and, as a condition of the sale, we continued to operate the golf course through the end of the first quarter of 2015 at our own risk. We utilized the performance of services method to record a gain of $3.1 million over the period during which we operated the golf course, of which $0.3 million was recorded in the twelve weeks ended June 20, 2014.</w:t>
      </w:r>
    </w:p>
    <w:p>
      <w:pPr>
        <w:spacing w:after="0" w:line="2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119" w:lineRule="exact"/>
        <w:rPr>
          <w:sz w:val="20"/>
          <w:szCs w:val="20"/>
          <w:color w:val="auto"/>
        </w:rPr>
      </w:pPr>
    </w:p>
    <w:p>
      <w:pPr>
        <w:ind w:right="100" w:firstLine="913"/>
        <w:spacing w:after="0" w:line="255" w:lineRule="auto"/>
        <w:rPr>
          <w:sz w:val="20"/>
          <w:szCs w:val="20"/>
          <w:color w:val="auto"/>
        </w:rPr>
      </w:pPr>
      <w:r>
        <w:rPr>
          <w:rFonts w:ascii="Times New Roman" w:cs="Times New Roman" w:eastAsia="Times New Roman" w:hAnsi="Times New Roman"/>
          <w:sz w:val="18"/>
          <w:szCs w:val="18"/>
          <w:color w:val="auto"/>
        </w:rPr>
        <w:t>The $7.9 million increase in gains and other income was due to an $8.7 million gain on the disposition of undeveloped land in Kauai, Hawaii in the twenty-four weeks ended June 19, 2015, partially offset by a $0.6 million lower gain from the disposition of a golf course and adjacent undeveloped land in Orlando, Florida and a $0.3 million gain from the disposition of undeveloped land on Singer Island, Florida in the prior year comparable period. We disposed of golf course and undeveloped land in Orlando, Florida in the first quarter of 2014 and, as a condition of the sale, we continued to operate the golf course through the end of the first quarter of 2015 at our own risk. We utilized the performance of services method to record a gain of $3.1 million over the period during which we operated the golf course, of which $0.9 million was recorded in the twenty-four weeks ended June 19, 2015 and $1.5 million in the prior year comparable period.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p>
      <w:pPr>
        <w:spacing w:after="0" w:line="119"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Interest expense increased $0.4 million (from $2.6 million to $3.0 million) due to $0.7 million of lower capitalized interest costs because fewer projects were under construction than in the prior year comparable period, partially offset by a $0.2 million decline in expense associated with our liability for the Marriott Rewards customer loyalty program under our Marriott Rewards Affiliation Agreement with Marriott International and a $0.1 million decline in other interest expense.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119"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Interest expense increased $1.3 million (from $4.7 million to $6.0 million) due to $2.1 million of lower capitalized interest costs because fewer projects were under construction than in the prior year comparable period, partially offset by a $0.4 million decline in expense associated with our liability for the Marriott Rewards customer loyalty program under our Marriott Rewards Affiliation Agreement with Marriott International and a $0.4 million decline in other interest expense.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Reversals on Equity Investment</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and Twenty-Four Weeks Ended June 19, 2015</w:t>
      </w:r>
    </w:p>
    <w:p>
      <w:pPr>
        <w:spacing w:after="0" w:line="119" w:lineRule="exact"/>
        <w:rPr>
          <w:sz w:val="20"/>
          <w:szCs w:val="20"/>
          <w:color w:val="auto"/>
        </w:rPr>
      </w:pPr>
    </w:p>
    <w:p>
      <w:pPr>
        <w:ind w:right="60" w:firstLine="913"/>
        <w:spacing w:after="0" w:line="266" w:lineRule="auto"/>
        <w:rPr>
          <w:sz w:val="20"/>
          <w:szCs w:val="20"/>
          <w:color w:val="auto"/>
        </w:rPr>
      </w:pPr>
      <w:r>
        <w:rPr>
          <w:rFonts w:ascii="Times New Roman" w:cs="Times New Roman" w:eastAsia="Times New Roman" w:hAnsi="Times New Roman"/>
          <w:sz w:val="18"/>
          <w:szCs w:val="18"/>
          <w:color w:val="auto"/>
        </w:rPr>
        <w:t>There were no impairment reversals or charges on equity investment during either the first or second quarters of 2015. During the first quarter of 2014, we recorded a $2.0 million charge to increase our accrual for remaining costs expected to be incurred relating to our interests in an equity method investment in a joint venture project in our North America segment. During the second quarter of 2014, we reversed the $2.0 million charge.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and Twenty-four Weeks Ended June 19, 2015</w:t>
      </w:r>
    </w:p>
    <w:p>
      <w:pPr>
        <w:spacing w:after="0" w:line="119"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During the second quarter of 2015 we incurred $1.3 million of transaction related costs associated with our commitment to purchase an operating hotel in our Asia Pacific segment. We expect to complete this transaction during the third quarter of 2015 and incur an additional $3.0 million to $4.0 million in transaction related costs. See Footnote No. 8, “Contingencies and Commitments,” to our Financial Statements for further information related to this transaction.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p>
      <w:pPr>
        <w:spacing w:after="0" w:line="119" w:lineRule="exact"/>
        <w:rPr>
          <w:sz w:val="20"/>
          <w:szCs w:val="20"/>
          <w:color w:val="auto"/>
        </w:rPr>
      </w:pPr>
    </w:p>
    <w:p>
      <w:pPr>
        <w:ind w:right="40" w:firstLine="913"/>
        <w:spacing w:after="0" w:line="282" w:lineRule="auto"/>
        <w:rPr>
          <w:sz w:val="20"/>
          <w:szCs w:val="20"/>
          <w:color w:val="auto"/>
        </w:rPr>
      </w:pPr>
      <w:r>
        <w:rPr>
          <w:rFonts w:ascii="Times New Roman" w:cs="Times New Roman" w:eastAsia="Times New Roman" w:hAnsi="Times New Roman"/>
          <w:sz w:val="18"/>
          <w:szCs w:val="18"/>
          <w:color w:val="auto"/>
        </w:rPr>
        <w:t>Our provision for income taxes increased $1.1 million (from $22.3 million to $23.4 million) from the prior year comparable period. The increase was due to higher income in the United States.</w:t>
      </w:r>
    </w:p>
    <w:p>
      <w:pPr>
        <w:spacing w:after="0" w:line="20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119" w:lineRule="exact"/>
        <w:rPr>
          <w:sz w:val="20"/>
          <w:szCs w:val="20"/>
          <w:color w:val="auto"/>
        </w:rPr>
      </w:pPr>
    </w:p>
    <w:p>
      <w:pPr>
        <w:ind w:right="280" w:firstLine="913"/>
        <w:spacing w:after="0" w:line="266" w:lineRule="auto"/>
        <w:rPr>
          <w:sz w:val="20"/>
          <w:szCs w:val="20"/>
          <w:color w:val="auto"/>
        </w:rPr>
      </w:pPr>
      <w:r>
        <w:rPr>
          <w:rFonts w:ascii="Times New Roman" w:cs="Times New Roman" w:eastAsia="Times New Roman" w:hAnsi="Times New Roman"/>
          <w:sz w:val="18"/>
          <w:szCs w:val="18"/>
          <w:color w:val="auto"/>
        </w:rPr>
        <w:t>Our provision for income taxes increased $11.6 million (from $35.1 million to $46.7 million) from the prior year comparable period. The increase was due to higher income in the United States and international jurisdictions including higher income from the sale of the residential inventory in Macau as noted in the discussion of our Asia-Pacific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Before Interest Expense, Taxes, Depreciation and Amortization (“EBITDA”)</w:t>
      </w:r>
    </w:p>
    <w:p>
      <w:pPr>
        <w:spacing w:after="0" w:line="121" w:lineRule="exact"/>
        <w:rPr>
          <w:sz w:val="20"/>
          <w:szCs w:val="20"/>
          <w:color w:val="auto"/>
        </w:rPr>
      </w:pPr>
    </w:p>
    <w:p>
      <w:pPr>
        <w:ind w:right="80" w:firstLine="913"/>
        <w:spacing w:after="0" w:line="258" w:lineRule="auto"/>
        <w:rPr>
          <w:sz w:val="20"/>
          <w:szCs w:val="20"/>
          <w:color w:val="auto"/>
        </w:rPr>
      </w:pPr>
      <w:r>
        <w:rPr>
          <w:rFonts w:ascii="Times New Roman" w:cs="Times New Roman" w:eastAsia="Times New Roman" w:hAnsi="Times New Roman"/>
          <w:sz w:val="18"/>
          <w:szCs w:val="18"/>
          <w:color w:val="auto"/>
        </w:rPr>
        <w:t>EBITDA, a financial measure that is not prescribed or authorized by GAAP, is defined as earnings, or net income, before interest expense (excluding consumer financing interest expense), provision for income taxes, depreciation and amortization. For purposes of our EBITDA calculation, we do not adjust for consumer financing interest expense because the associated debt is secured by vacation ownership notes receivable that have been sold to bankruptcy remote special purpose entities and that is generally non-recourse to us. Further, we consider consumer financing interest expense to be an operating expense of our business.</w:t>
      </w:r>
    </w:p>
    <w:p>
      <w:pPr>
        <w:spacing w:after="0" w:line="184" w:lineRule="exact"/>
        <w:rPr>
          <w:sz w:val="20"/>
          <w:szCs w:val="20"/>
          <w:color w:val="auto"/>
        </w:rPr>
      </w:pPr>
    </w:p>
    <w:p>
      <w:pPr>
        <w:ind w:right="60" w:firstLine="913"/>
        <w:spacing w:after="0" w:line="272" w:lineRule="auto"/>
        <w:rPr>
          <w:sz w:val="20"/>
          <w:szCs w:val="20"/>
          <w:color w:val="auto"/>
        </w:rPr>
      </w:pPr>
      <w:r>
        <w:rPr>
          <w:rFonts w:ascii="Times New Roman" w:cs="Times New Roman" w:eastAsia="Times New Roman" w:hAnsi="Times New Roman"/>
          <w:sz w:val="17"/>
          <w:szCs w:val="17"/>
          <w:color w:val="auto"/>
        </w:rPr>
        <w:t>We consider EBITDA to be an indicator of operating performance, and we use it to measure our ability to service debt, fund capital expenditures and expand our business. We also use it, as do analysts, lenders, investors and others,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also excludes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firstLine="913"/>
        <w:spacing w:after="0" w:line="266" w:lineRule="auto"/>
        <w:rPr>
          <w:sz w:val="20"/>
          <w:szCs w:val="20"/>
          <w:color w:val="auto"/>
        </w:rPr>
      </w:pPr>
      <w:r>
        <w:rPr>
          <w:rFonts w:ascii="Times New Roman" w:cs="Times New Roman" w:eastAsia="Times New Roman" w:hAnsi="Times New Roman"/>
          <w:sz w:val="18"/>
          <w:szCs w:val="18"/>
          <w:color w:val="auto"/>
        </w:rPr>
        <w:t>EBITDA has limitations and should not be considered in isolation or as a substitute for performance measures calculated in accordance with GAAP. In addition, other companies in our industry may calculate EBITDA differently than we do or may not calculate it at all, limiting its usefulness as a comparative measure. The table below shows our EBITDA calculation and reconciles that measure with Net income.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4020" w:type="dxa"/>
            <w:vAlign w:val="bottom"/>
            <w:tcBorders>
              <w:bottom w:val="single" w:sz="8" w:color="CCEEFF"/>
            </w:tcBorders>
            <w:vMerge w:val="continue"/>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34,041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35,303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68,095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54,611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3,009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5,983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4,748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23,403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22,344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46,692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4,493</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4,264</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8,558</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8,922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EBITDA</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64,946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64,512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129,328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103,388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21" w:lineRule="exact"/>
        <w:rPr>
          <w:sz w:val="20"/>
          <w:szCs w:val="20"/>
          <w:color w:val="auto"/>
        </w:rPr>
      </w:pPr>
    </w:p>
    <w:p>
      <w:pPr>
        <w:ind w:right="500" w:firstLine="913"/>
        <w:spacing w:after="0" w:line="282" w:lineRule="auto"/>
        <w:rPr>
          <w:sz w:val="20"/>
          <w:szCs w:val="20"/>
          <w:color w:val="auto"/>
        </w:rPr>
      </w:pPr>
      <w:r>
        <w:rPr>
          <w:rFonts w:ascii="Times New Roman" w:cs="Times New Roman" w:eastAsia="Times New Roman" w:hAnsi="Times New Roman"/>
          <w:sz w:val="18"/>
          <w:szCs w:val="18"/>
          <w:color w:val="auto"/>
        </w:rPr>
        <w:t>Our business is grouped into three reportable business segments: North America, Europe and Asia Pacific. See Footnote No. 14, “Business Segments,” to our Financial Statements for further information on our segments.</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As of June 19, 2015, we operated the following 59 properties by segment:</w:t>
      </w:r>
    </w:p>
    <w:p>
      <w:pPr>
        <w:spacing w:after="0" w:line="246"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586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12"/>
                <w:szCs w:val="12"/>
                <w:b w:val="1"/>
                <w:bCs w:val="1"/>
                <w:color w:val="auto"/>
              </w:rPr>
              <w:t>(1)</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15"/>
                <w:szCs w:val="15"/>
                <w:color w:val="auto"/>
              </w:rPr>
              <w:t>(2)</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58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120015</wp:posOffset>
            </wp:positionV>
            <wp:extent cx="909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05" w:lineRule="exact"/>
        <w:rPr>
          <w:sz w:val="20"/>
          <w:szCs w:val="20"/>
          <w:color w:val="auto"/>
        </w:rPr>
      </w:pPr>
    </w:p>
    <w:p>
      <w:pPr>
        <w:ind w:left="1380" w:hanging="454"/>
        <w:spacing w:after="0"/>
        <w:tabs>
          <w:tab w:leader="none" w:pos="13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properties located in the 48 contiguous states, Hawaii and Alaska.</w:t>
      </w:r>
    </w:p>
    <w:p>
      <w:pPr>
        <w:spacing w:after="0" w:line="76" w:lineRule="exact"/>
        <w:rPr>
          <w:rFonts w:ascii="Times New Roman" w:cs="Times New Roman" w:eastAsia="Times New Roman" w:hAnsi="Times New Roman"/>
          <w:sz w:val="15"/>
          <w:szCs w:val="15"/>
          <w:color w:val="auto"/>
        </w:rPr>
      </w:pPr>
    </w:p>
    <w:p>
      <w:pPr>
        <w:ind w:left="1380" w:right="1240" w:hanging="454"/>
        <w:spacing w:after="0" w:line="282" w:lineRule="auto"/>
        <w:tabs>
          <w:tab w:leader="none" w:pos="13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an operating hotel in San Diego, California acquired during the first quarter of 2015, which is operated by a third party, that we intend to convert in the near term into vacation ownership interests for future use in our MVCD program.</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America</w:t>
      </w:r>
    </w:p>
    <w:p>
      <w:pPr>
        <w:spacing w:after="0" w:line="121" w:lineRule="exact"/>
        <w:rPr>
          <w:sz w:val="20"/>
          <w:szCs w:val="20"/>
          <w:color w:val="auto"/>
        </w:rPr>
      </w:pPr>
    </w:p>
    <w:p>
      <w:pPr>
        <w:ind w:right="160" w:firstLine="913"/>
        <w:spacing w:after="0" w:line="282" w:lineRule="auto"/>
        <w:rPr>
          <w:sz w:val="20"/>
          <w:szCs w:val="20"/>
          <w:color w:val="auto"/>
        </w:rPr>
      </w:pPr>
      <w:r>
        <w:rPr>
          <w:rFonts w:ascii="Times New Roman" w:cs="Times New Roman" w:eastAsia="Times New Roman" w:hAnsi="Times New Roman"/>
          <w:sz w:val="18"/>
          <w:szCs w:val="18"/>
          <w:color w:val="auto"/>
        </w:rPr>
        <w:t>The following discussion presents an analysis of our results of operations for the twelve and twenty-four weeks ended June 19, 2015, compared to the twelve and twenty-four weeks ended June 20, 2014.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gridSpan w:val="7"/>
          </w:tcPr>
          <w:p>
            <w:pPr>
              <w:ind w:left="680"/>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4720" w:type="dxa"/>
            <w:vAlign w:val="bottom"/>
            <w:tcBorders>
              <w:bottom w:val="single" w:sz="8" w:color="CCEEFF"/>
            </w:tcBorders>
            <w:gridSpan w:val="2"/>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5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142,148</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134,590</w:t>
            </w:r>
          </w:p>
        </w:tc>
        <w:tc>
          <w:tcPr>
            <w:tcW w:w="60" w:type="dxa"/>
            <w:vAlign w:val="bottom"/>
          </w:tcPr>
          <w:p>
            <w:pPr>
              <w:spacing w:after="0"/>
              <w:rPr>
                <w:sz w:val="18"/>
                <w:szCs w:val="18"/>
                <w:color w:val="auto"/>
              </w:rPr>
            </w:pPr>
          </w:p>
        </w:tc>
        <w:tc>
          <w:tcPr>
            <w:tcW w:w="38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283,876</w:t>
            </w:r>
          </w:p>
        </w:tc>
        <w:tc>
          <w:tcPr>
            <w:tcW w:w="14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65,480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124,769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Financing</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27,807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Rental</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54,404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137,471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 reimbursements</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84,037</w:t>
            </w: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80,642</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176,891</w:t>
            </w:r>
          </w:p>
        </w:tc>
        <w:tc>
          <w:tcPr>
            <w:tcW w:w="1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384,489</w:t>
            </w:r>
          </w:p>
        </w:tc>
        <w:tc>
          <w:tcPr>
            <w:tcW w:w="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362,923</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776,417</w:t>
            </w: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729,252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37,433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Marketing and sales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67,837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61,722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136,854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40,527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Rental</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47,985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Litigation settlement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Organizational and separation related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Royalty fee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reimbursements</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84,037</w:t>
            </w:r>
          </w:p>
        </w:tc>
        <w:tc>
          <w:tcPr>
            <w:tcW w:w="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80,642</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176,891</w:t>
            </w: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288,630</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263,776</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583,718</w:t>
            </w:r>
          </w:p>
        </w:tc>
        <w:tc>
          <w:tcPr>
            <w:tcW w:w="1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549,731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Gains and other income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Equity in earnings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reversals on equity investment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Segment financial results</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104,603</w:t>
            </w:r>
          </w:p>
        </w:tc>
        <w:tc>
          <w:tcPr>
            <w:tcW w:w="1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101,676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202,339</w:t>
            </w:r>
          </w:p>
        </w:tc>
        <w:tc>
          <w:tcPr>
            <w:tcW w:w="1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Sales</w:t>
            </w: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7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tcPr>
          <w:p>
            <w:pPr>
              <w:spacing w:after="0"/>
              <w:rPr>
                <w:sz w:val="24"/>
                <w:szCs w:val="24"/>
                <w:color w:val="auto"/>
              </w:rPr>
            </w:pPr>
          </w:p>
        </w:tc>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7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720" w:type="dxa"/>
            <w:vAlign w:val="bottom"/>
            <w:gridSpan w:val="2"/>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Vacation ownership</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150,605</w:t>
            </w:r>
          </w:p>
        </w:tc>
        <w:tc>
          <w:tcPr>
            <w:tcW w:w="1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145,597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5,008</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contract sales</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150,605</w:t>
            </w: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145,597</w:t>
            </w:r>
          </w:p>
        </w:tc>
        <w:tc>
          <w:tcPr>
            <w:tcW w:w="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5,008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191"/>
              <w:spacing w:after="0"/>
              <w:rPr>
                <w:sz w:val="20"/>
                <w:szCs w:val="20"/>
                <w:color w:val="auto"/>
              </w:rPr>
            </w:pPr>
            <w:r>
              <w:rPr>
                <w:rFonts w:ascii="Times New Roman" w:cs="Times New Roman" w:eastAsia="Times New Roman" w:hAnsi="Times New Roman"/>
                <w:sz w:val="18"/>
                <w:szCs w:val="18"/>
                <w:color w:val="auto"/>
                <w:w w:val="99"/>
              </w:rPr>
              <w:t>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The increase in vacation ownership contract sales in our North America segment reflected a $2.4 million increase in sales at off-site (non tour-based) sales locations, a $1.8 million increase in sales at on-site sales locations, and an $0.8 million increase in fractional sales as we continue to sell through remaining luxury inventory. The increase in sales at on-site sales locations reflected a nearly 1 percent increase in VPG to $3,404 in the twelve weeks ended June 19, 2015 from $3,383 in the prior year comparable period and a 1 percent increase in the number of tours. The increase in VPG was due to a 0.4 percentage point increase in closing efficiency and higher pricing, partially offset by a decrease in the number of points sold per contract due to the increase in sales to existing owners in the current period. The increase in the number of tours was driven by an increase in existing owner tours. In the first quarter of 2015, we announced enhancements to our owner recognition levels that created a near-term incentive for existing owners to purchase additional points prior to the end of the twelve weeks ended June 19, 2015, which resulted in an increase in existing owner tours.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82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Vacation ownership</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306,598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285,774</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20,824</w:t>
            </w:r>
          </w:p>
        </w:tc>
        <w:tc>
          <w:tcPr>
            <w:tcW w:w="1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products</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6,326</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(6,326)</w:t>
            </w:r>
          </w:p>
        </w:tc>
        <w:tc>
          <w:tcPr>
            <w:tcW w:w="12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3"/>
        </w:trPr>
        <w:tc>
          <w:tcPr>
            <w:tcW w:w="4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contract sales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306,598</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292,100</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14,498</w:t>
            </w:r>
          </w:p>
        </w:tc>
        <w:tc>
          <w:tcPr>
            <w:tcW w:w="1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0" w:firstLine="913"/>
        <w:spacing w:after="0" w:line="255" w:lineRule="auto"/>
        <w:rPr>
          <w:sz w:val="20"/>
          <w:szCs w:val="20"/>
          <w:color w:val="auto"/>
        </w:rPr>
      </w:pPr>
      <w:r>
        <w:rPr>
          <w:rFonts w:ascii="Times New Roman" w:cs="Times New Roman" w:eastAsia="Times New Roman" w:hAnsi="Times New Roman"/>
          <w:sz w:val="18"/>
          <w:szCs w:val="18"/>
          <w:color w:val="auto"/>
        </w:rPr>
        <w:t>The increase in vacation ownership contract sales in our North America segment reflected a $14.4 million increase in sales at on-site sales locations, a $3.7 million increase in sales at off-site (non tour-based) sales locations, and a $2.7 million increase in fractional sales as we continue to sell through remaining luxury inventory. The increase in sales at on-site sales locations reflected a nearly 3 percent increase in VPG to $3,519 in the twenty-four weeks ended June 19, 2015 from $3,428 in the prior year comparable period and a 3 percent increase in the number of tours. The increase in VPG was due to a 0.6 percentage point increase in closing efficiency and higher pricing, partially offset by a decrease in the number of points sold per contract due to the increase in sales to existing owners in the current period. The increase in the number of tours was driven by an increase in existing owner tours. In the first quarter of 2015, we announced enhancements to our owner recognition levels that created a near-term incentive for existing owners to purchase additional points prior to the end of the twenty-four weeks ended June 19, 2015, which resulted in an increase in existing owner tours.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Vacation Ownership Products</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sales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150,605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145,597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5,008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Reportability</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1,942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1,734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reserve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(6,424)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5"/>
                <w:szCs w:val="15"/>
                <w:color w:val="auto"/>
              </w:rPr>
              <w:t>(1)</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(4,791)</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142,148</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134,590</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7,558</w:t>
            </w:r>
          </w:p>
        </w:tc>
        <w:tc>
          <w:tcPr>
            <w:tcW w:w="1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890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86"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Adjustment for sales incentives that will not be recognized as Sale of vacation ownership products revenue.</w:t>
      </w:r>
    </w:p>
    <w:p>
      <w:pPr>
        <w:spacing w:after="0" w:line="225" w:lineRule="exact"/>
        <w:rPr>
          <w:sz w:val="20"/>
          <w:szCs w:val="20"/>
          <w:color w:val="auto"/>
        </w:rPr>
      </w:pPr>
    </w:p>
    <w:p>
      <w:pPr>
        <w:ind w:right="160" w:firstLine="913"/>
        <w:spacing w:after="0" w:line="258" w:lineRule="auto"/>
        <w:rPr>
          <w:sz w:val="20"/>
          <w:szCs w:val="20"/>
          <w:color w:val="auto"/>
        </w:rPr>
      </w:pPr>
      <w:r>
        <w:rPr>
          <w:rFonts w:ascii="Times New Roman" w:cs="Times New Roman" w:eastAsia="Times New Roman" w:hAnsi="Times New Roman"/>
          <w:sz w:val="18"/>
          <w:szCs w:val="18"/>
          <w:color w:val="auto"/>
        </w:rPr>
        <w:t>Revenue reportability had a $1.9 million positive impact in the current period, compared to a $0.2 million positive impact in the prior year comparable period because fewer sales were in the rescission period at the end of the twelve weeks ended June 19, 2015 compared to the prior year comparable period, partially offset by an increase in sales that did not meet the down payment requirement for revenue recognition purposes prior to the end of the current period compared to the prior year comparable period. The lower sales reserve reflects a decrease in the estimated default activity compared to the prior year comparable period, partially offset by the increase in vacation ownership contract sales.</w:t>
      </w:r>
    </w:p>
    <w:p>
      <w:pPr>
        <w:spacing w:after="0" w:line="18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sales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306,598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292,100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14,498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Reportability</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(4,192)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2,690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reserve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(12,751)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5"/>
                <w:szCs w:val="15"/>
                <w:color w:val="auto"/>
              </w:rPr>
              <w:t>(1)</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(9,225)</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283,876</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265,932</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17,944</w:t>
            </w:r>
          </w:p>
        </w:tc>
        <w:tc>
          <w:tcPr>
            <w:tcW w:w="1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890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72"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Adjustment for sales incentives that will not be recognized as Sale of vacation ownership products revenue.</w:t>
      </w:r>
    </w:p>
    <w:p>
      <w:pPr>
        <w:spacing w:after="0" w:line="225" w:lineRule="exact"/>
        <w:rPr>
          <w:sz w:val="20"/>
          <w:szCs w:val="20"/>
          <w:color w:val="auto"/>
        </w:rPr>
      </w:pPr>
    </w:p>
    <w:p>
      <w:pPr>
        <w:ind w:right="460" w:firstLine="913"/>
        <w:spacing w:after="0" w:line="282" w:lineRule="auto"/>
        <w:rPr>
          <w:sz w:val="20"/>
          <w:szCs w:val="20"/>
          <w:color w:val="auto"/>
        </w:rPr>
      </w:pPr>
      <w:r>
        <w:rPr>
          <w:rFonts w:ascii="Times New Roman" w:cs="Times New Roman" w:eastAsia="Times New Roman" w:hAnsi="Times New Roman"/>
          <w:sz w:val="18"/>
          <w:szCs w:val="18"/>
          <w:color w:val="auto"/>
        </w:rPr>
        <w:t>Revenue reportability had a $1.5 million negative impact in the current period, compared to a $4.2 million negative impact in the prior year comparable period because fewer sales were in the rescission period at the end of the twenty-four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weeks ended June 19, 2015 compared to the prior year comparable period, partially offset by an increase in sales that did not meet the down payment requirement for revenue recognition purposes prior to the end of the current period compared to the prior year comparable period. The lower sales reserve is due to a decrease in the estimated default activity compared to the prior year comparable period, partially offset by the increase in vacation ownership contract sales.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Margin</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142,148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134,590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7,558</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(3,401)</w:t>
            </w:r>
          </w:p>
        </w:tc>
        <w:tc>
          <w:tcPr>
            <w:tcW w:w="12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(67,837)</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(61,722)</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(6,115)</w:t>
            </w:r>
          </w:p>
        </w:tc>
        <w:tc>
          <w:tcPr>
            <w:tcW w:w="12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margin</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33,477</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35,435</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(1,958)</w:t>
            </w:r>
          </w:p>
        </w:tc>
        <w:tc>
          <w:tcPr>
            <w:tcW w:w="12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 pts)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decrease in development margin reflected the following:</w:t>
      </w:r>
    </w:p>
    <w:p>
      <w:pPr>
        <w:spacing w:after="0" w:line="131" w:lineRule="exact"/>
        <w:rPr>
          <w:sz w:val="20"/>
          <w:szCs w:val="20"/>
          <w:color w:val="auto"/>
        </w:rPr>
      </w:pPr>
    </w:p>
    <w:p>
      <w:pPr>
        <w:ind w:left="1920" w:right="80" w:hanging="440"/>
        <w:spacing w:after="0" w:line="258" w:lineRule="auto"/>
        <w:tabs>
          <w:tab w:leader="none" w:pos="1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million from vacation ownership contract sales volume net of higher direct variable expenses (i.e., cost of vacation ownership products and marketing and sales), including $3.3 million from higher marketing and sales costs due to investment in new programs to help generate future incremental tour volumes, and the timing of certain marketing and sales related program costs, and $0.7 million from an unfavorable mix of higher cost real estate inventory being sold, partially offset by $1.2 million from the higher vacation ownership contract sales volume; and</w:t>
      </w:r>
    </w:p>
    <w:p>
      <w:pPr>
        <w:spacing w:after="0" w:line="89" w:lineRule="exact"/>
        <w:rPr>
          <w:rFonts w:ascii="Times New Roman" w:cs="Times New Roman" w:eastAsia="Times New Roman" w:hAnsi="Times New Roman"/>
          <w:sz w:val="18"/>
          <w:szCs w:val="18"/>
          <w:color w:val="auto"/>
        </w:rPr>
      </w:pPr>
    </w:p>
    <w:p>
      <w:pPr>
        <w:ind w:left="1920" w:right="200" w:hanging="440"/>
        <w:spacing w:after="0" w:line="282" w:lineRule="auto"/>
        <w:tabs>
          <w:tab w:leader="none" w:pos="1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from lower favorable product cost true-ups ($0.5 million in the twelve weeks ended June 19, 2015 compared to $1.6 million in the prior year comparable period).</w:t>
      </w:r>
    </w:p>
    <w:p>
      <w:pPr>
        <w:spacing w:after="0" w:line="54" w:lineRule="exact"/>
        <w:rPr>
          <w:sz w:val="20"/>
          <w:szCs w:val="20"/>
          <w:color w:val="auto"/>
        </w:rPr>
      </w:pPr>
    </w:p>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t>These decreases were partially offset by $0.8 million from the lower estimated default activity compared to the prior year comparable period and $1.1 million from higher revenue reportability compared to the prior year comparable period.</w:t>
      </w:r>
    </w:p>
    <w:p>
      <w:pPr>
        <w:spacing w:after="0" w:line="54"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The 2.7 percentage point decline in the development margin percentage reflected a 2.4 percentage point decline due to higher marketing and sales spending, 0.8 percentage point decrease due to the lower favorable product cost true-up activity year-over-year, and a 0.5 percentage point decrease due to an unfavorable mix of higher cost vacation ownership real estate inventory being sold in the twelve weeks ended June 19, 2015. These declines were partially offset by a 0.5 percentage point increase due to the favorable revenue reportability year-over-year, and a 0.4 percentage point increase due to the lower estimated default activity.</w:t>
      </w:r>
    </w:p>
    <w:p>
      <w:pPr>
        <w:spacing w:after="0" w:line="18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8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283,876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265,932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17,944</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(2,397)</w:t>
            </w:r>
          </w:p>
        </w:tc>
        <w:tc>
          <w:tcPr>
            <w:tcW w:w="12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(124,409)</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(12,445)</w:t>
            </w:r>
          </w:p>
        </w:tc>
        <w:tc>
          <w:tcPr>
            <w:tcW w:w="12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margin</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65,687</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62,585</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3,102</w:t>
            </w:r>
          </w:p>
        </w:tc>
        <w:tc>
          <w:tcPr>
            <w:tcW w:w="12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(0.4 pts)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increase in development margin reflected the following:</w:t>
      </w:r>
    </w:p>
    <w:p>
      <w:pPr>
        <w:spacing w:after="0" w:line="131" w:lineRule="exact"/>
        <w:rPr>
          <w:sz w:val="20"/>
          <w:szCs w:val="20"/>
          <w:color w:val="auto"/>
        </w:rPr>
      </w:pPr>
    </w:p>
    <w:p>
      <w:pPr>
        <w:ind w:left="1920" w:right="80" w:hanging="440"/>
        <w:spacing w:after="0" w:line="258" w:lineRule="auto"/>
        <w:tabs>
          <w:tab w:leader="none" w:pos="1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million from higher vacation ownership contract sales volume net of direct variable expenses (i.e., cost of vacation ownership products and marketing and sales), including $5.1 million from the higher vacation ownership contract sales volume and $0.8 million from a favorable mix of lower cost real estate inventory being sold, partially offset by $3.2 million from higher marketing and sales costs due to investment in new programs to help generate future incremental tour volumes, and the timing of certain marketing and sales related program costs;</w:t>
      </w:r>
    </w:p>
    <w:p>
      <w:pPr>
        <w:spacing w:after="0" w:line="89"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from higher revenue reportability compared to the prior year comparable period; and</w:t>
      </w:r>
    </w:p>
    <w:p>
      <w:pPr>
        <w:spacing w:after="0" w:line="130"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from the lower estimated default activity compared to the prior year comparable period.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82" w:lineRule="auto"/>
        <w:rPr>
          <w:sz w:val="20"/>
          <w:szCs w:val="20"/>
          <w:color w:val="auto"/>
        </w:rPr>
      </w:pPr>
      <w:r>
        <w:rPr>
          <w:rFonts w:ascii="Times New Roman" w:cs="Times New Roman" w:eastAsia="Times New Roman" w:hAnsi="Times New Roman"/>
          <w:sz w:val="18"/>
          <w:szCs w:val="18"/>
          <w:color w:val="auto"/>
        </w:rPr>
        <w:t>These increases were partially offset by $1.4 million lower residential contract sales and $0.8 million from lower favorable product cost true-ups ($1.5 million in the twenty-four weeks ended June 19, 2015 compared to $2.3 million in the prior year comparable period).</w:t>
      </w:r>
    </w:p>
    <w:p>
      <w:pPr>
        <w:spacing w:after="0" w:line="54"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The 0.4 percentage point decline in the development margin percentage reflected a 1.0 percentage point decline due to higher marketing and sales spending and a 0.3 percentage point decrease due to the lower favorable product cost true-up activity year-over-year, partially offset by a 0.3 percentage point increase due to the favorable revenue reportability year-over-year, a 0.3 percentage point increase due to a favorable mix of lower cost vacation ownership real estate inventory being sold in the twenty-four weeks ended June 19, 2015, and a 0.2 percentage point increase due to the lower estimated default activity.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Resort Management and Other Services Revenues, Expenses and Margin</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15,909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15,030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879</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 services revenues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50,285</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50,450</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revenues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66,194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65,480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714</w:t>
            </w:r>
          </w:p>
        </w:tc>
        <w:tc>
          <w:tcPr>
            <w:tcW w:w="11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Resort management and other services expenses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(39,101)</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(40,527)</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1,426</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27,093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24,953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2,140</w:t>
            </w:r>
          </w:p>
        </w:tc>
        <w:tc>
          <w:tcPr>
            <w:tcW w:w="11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 percentage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4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38.1%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 pts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20" w:firstLine="913"/>
        <w:spacing w:after="0" w:line="255" w:lineRule="auto"/>
        <w:rPr>
          <w:sz w:val="20"/>
          <w:szCs w:val="20"/>
          <w:color w:val="auto"/>
        </w:rPr>
      </w:pPr>
      <w:r>
        <w:rPr>
          <w:rFonts w:ascii="Times New Roman" w:cs="Times New Roman" w:eastAsia="Times New Roman" w:hAnsi="Times New Roman"/>
          <w:sz w:val="18"/>
          <w:szCs w:val="18"/>
          <w:color w:val="auto"/>
        </w:rPr>
        <w:t>The increase in resort management and other services revenues reflected $1.1 million of higher settlement and lien fees due to an increase in the number of contracts closed and higher assessed lien fees, $0.9 million of higher management fees, and $0.6 million of additional annual club dues earned in connection with the MVCD program due to the cumulative increase in owners enrolled in the program, partially offset by $0.8 million of lower ancillary revenues, $0.6 million of lower brand fees due to fewer closings compared to the prior year comparable period and $0.5 million of lower fees from external exchange service providers. The decrease in ancillary revenues included a $2.5 million decline due to the disposition of certain assets during the prior year, the closure of another ancillary operation during the prior year and outsourcing the operation of a restaurant during the prior year, partially offset by a $1.1 million increase in ancillary revenues from food and beverage and golf offerings at our other resorts and $0.6 million of ancillary revenues at our new resort in San Diego acquired in early 2015.</w:t>
      </w:r>
    </w:p>
    <w:p>
      <w:pPr>
        <w:spacing w:after="0" w:line="77" w:lineRule="exact"/>
        <w:rPr>
          <w:sz w:val="20"/>
          <w:szCs w:val="20"/>
          <w:color w:val="auto"/>
        </w:rPr>
      </w:pPr>
    </w:p>
    <w:p>
      <w:pPr>
        <w:ind w:right="200" w:firstLine="913"/>
        <w:spacing w:after="0" w:line="266" w:lineRule="auto"/>
        <w:rPr>
          <w:sz w:val="20"/>
          <w:szCs w:val="20"/>
          <w:color w:val="auto"/>
        </w:rPr>
      </w:pPr>
      <w:r>
        <w:rPr>
          <w:rFonts w:ascii="Times New Roman" w:cs="Times New Roman" w:eastAsia="Times New Roman" w:hAnsi="Times New Roman"/>
          <w:sz w:val="18"/>
          <w:szCs w:val="18"/>
          <w:color w:val="auto"/>
        </w:rPr>
        <w:t>The improvement in the resort management and other services margin reflected the changes in revenue, as well as $1.4 million of lower expenses, including $4.0 million of ancillary expense savings from the dispositions, closure and outsourcing noted above, partially offset by $2.6 million of higher ancillary, customer service, settlement and MVCD program expenses related to the higher revenues in the twelve weeks ended June 19, 2015.</w:t>
      </w:r>
    </w:p>
    <w:p>
      <w:pPr>
        <w:spacing w:after="0" w:line="17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31,477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29,648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1,829</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 services revenues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93,292</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92,992</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revenues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124,769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122,640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2,129</w:t>
            </w:r>
          </w:p>
        </w:tc>
        <w:tc>
          <w:tcPr>
            <w:tcW w:w="11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Resort management and other services expenses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(76,069)</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(79,616)</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3,547</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48,700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43,024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5,676</w:t>
            </w:r>
          </w:p>
        </w:tc>
        <w:tc>
          <w:tcPr>
            <w:tcW w:w="11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 percentage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4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 pts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20" w:firstLine="913"/>
        <w:spacing w:after="0" w:line="266" w:lineRule="auto"/>
        <w:rPr>
          <w:sz w:val="20"/>
          <w:szCs w:val="20"/>
          <w:color w:val="auto"/>
        </w:rPr>
      </w:pPr>
      <w:r>
        <w:rPr>
          <w:rFonts w:ascii="Times New Roman" w:cs="Times New Roman" w:eastAsia="Times New Roman" w:hAnsi="Times New Roman"/>
          <w:sz w:val="18"/>
          <w:szCs w:val="18"/>
          <w:color w:val="auto"/>
        </w:rPr>
        <w:t>The increase in resort management and other services revenues reflected $1.8 million of higher assessed management fees, $1.4 million of higher settlement and lien fees due to an increase in the number of contracts closed and higher assessed lien fees, $1.1 million of additional annual club dues earned in connection with the MVCD program due to the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cumulative increase in owners enrolled in the program, and $0.6 million of higher resales commission and other revenues, partially offset by $2.8 million of lower ancillary revenues. The decrease in ancillary revenues included a $5.3 million decline due to the disposition of certain assets during the prior year, the closure of another ancillary operation during the prior year and outsourcing the operation of a restaurant during the prior year, partially offset by a $1.8 million increase in ancillary revenues from food and beverage and golf offerings at our other resorts and $0.7 million of ancillary revenues at our new resort in San Diego acquired in early 2015.</w:t>
      </w:r>
    </w:p>
    <w:p>
      <w:pPr>
        <w:spacing w:after="0" w:line="76" w:lineRule="exact"/>
        <w:rPr>
          <w:sz w:val="20"/>
          <w:szCs w:val="20"/>
          <w:color w:val="auto"/>
        </w:rPr>
      </w:pPr>
    </w:p>
    <w:p>
      <w:pPr>
        <w:ind w:right="200" w:firstLine="913"/>
        <w:spacing w:after="0" w:line="266" w:lineRule="auto"/>
        <w:rPr>
          <w:sz w:val="20"/>
          <w:szCs w:val="20"/>
          <w:color w:val="auto"/>
        </w:rPr>
      </w:pPr>
      <w:r>
        <w:rPr>
          <w:rFonts w:ascii="Times New Roman" w:cs="Times New Roman" w:eastAsia="Times New Roman" w:hAnsi="Times New Roman"/>
          <w:sz w:val="18"/>
          <w:szCs w:val="18"/>
          <w:color w:val="auto"/>
        </w:rPr>
        <w:t>The improvement in the resort management and other services margin reflected the changes in revenue, as well as $3.5 million of lower expenses, including $8.1 million of ancillary expense savings from the dispositions, closure and outsourcing noted above, partially offset by $4.6 million of higher ancillary, customer service, settlement and MVCD program expenses related to the higher revenues in the twenty-four weeks ended June 19, 2015.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Revenues, Expenses and Margin</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25,027</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revenues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1,327</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26,354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1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Financing propensity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1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20" w:firstLine="913"/>
        <w:spacing w:after="0" w:line="266" w:lineRule="auto"/>
        <w:rPr>
          <w:sz w:val="20"/>
          <w:szCs w:val="20"/>
          <w:color w:val="auto"/>
        </w:rPr>
      </w:pPr>
      <w:r>
        <w:rPr>
          <w:rFonts w:ascii="Times New Roman" w:cs="Times New Roman" w:eastAsia="Times New Roman" w:hAnsi="Times New Roman"/>
          <w:sz w:val="18"/>
          <w:szCs w:val="18"/>
          <w:color w:val="auto"/>
        </w:rPr>
        <w:t>The decrease in financing revenues was due to lower interest income from a lower outstanding vacation ownership notes receivable balance. This decline reflected our continued collection of existing vacation ownership notes receivable at a faster pace than our origination of new vacation ownership notes receivable. The increase in financing propensity was due to the addition of new financing incentives.</w:t>
      </w:r>
    </w:p>
    <w:p>
      <w:pPr>
        <w:spacing w:after="0" w:line="17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50,636</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revenues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2,774</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53,410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1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Financing propensity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1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 w:firstLine="913"/>
        <w:spacing w:after="0" w:line="266" w:lineRule="auto"/>
        <w:rPr>
          <w:sz w:val="20"/>
          <w:szCs w:val="20"/>
          <w:color w:val="auto"/>
        </w:rPr>
      </w:pPr>
      <w:r>
        <w:rPr>
          <w:rFonts w:ascii="Times New Roman" w:cs="Times New Roman" w:eastAsia="Times New Roman" w:hAnsi="Times New Roman"/>
          <w:sz w:val="18"/>
          <w:szCs w:val="18"/>
          <w:color w:val="auto"/>
        </w:rPr>
        <w:t>The decrease in financing revenues was due to lower interest income from a lower outstanding vacation ownership notes receivable balance. This decline reflected our continued collection of existing vacation ownership notes receivable at a faster pace than our origination of new vacation ownership notes receivable. The increase in financing propensity was due to the addition of new financing incentives.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Rental Revenues, Expenses and Margin</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220" w:type="dxa"/>
            <w:vAlign w:val="bottom"/>
            <w:tcBorders>
              <w:bottom w:val="single" w:sz="8" w:color="CCEEFF"/>
            </w:tcBorders>
            <w:vMerge w:val="continue"/>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revenues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65,756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Unsold maintenance fees — upscale</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Unsold maintenance fees — luxury</w:t>
            </w:r>
          </w:p>
        </w:tc>
        <w:tc>
          <w:tcPr>
            <w:tcW w:w="19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1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Unsold maintenance fees</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rental expenses</w:t>
            </w:r>
          </w:p>
        </w:tc>
        <w:tc>
          <w:tcPr>
            <w:tcW w:w="19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1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Rental margin</w:t>
            </w:r>
          </w:p>
        </w:tc>
        <w:tc>
          <w:tcPr>
            <w:tcW w:w="192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10,628</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margin percentage</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pts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220" w:type="dxa"/>
            <w:vAlign w:val="bottom"/>
          </w:tcPr>
          <w:p>
            <w:pPr>
              <w:spacing w:after="0"/>
              <w:rPr>
                <w:sz w:val="24"/>
                <w:szCs w:val="24"/>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240" w:type="dxa"/>
            <w:vAlign w:val="bottom"/>
          </w:tcPr>
          <w:p>
            <w:pPr>
              <w:spacing w:after="0"/>
              <w:rPr>
                <w:sz w:val="15"/>
                <w:szCs w:val="15"/>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Transient keys rented </w:t>
            </w:r>
            <w:r>
              <w:rPr>
                <w:rFonts w:ascii="Times New Roman" w:cs="Times New Roman" w:eastAsia="Times New Roman" w:hAnsi="Times New Roman"/>
                <w:sz w:val="15"/>
                <w:szCs w:val="15"/>
                <w:color w:val="auto"/>
              </w:rPr>
              <w:t>(1)</w:t>
            </w: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252,199</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237,045</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15,154</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Average transient key rate</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214.51</w:t>
            </w: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202.75</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11.76</w:t>
            </w: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occupancy</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89.5%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89.4%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0.1 pts</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890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Transient keys rented exclude those obtained through the use of plus points.</w:t>
      </w:r>
    </w:p>
    <w:p>
      <w:pPr>
        <w:spacing w:after="0" w:line="117"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The increase in rental revenues was due to a 6 percent increase in transient keys rented ($3.1 million) primarily sourced from a 5 percent increase in available keys, a 6 percent increase in average transient rate ($3.2 million) driven by stronger consumer demand, $1.5 million of higher plus points revenue (which is recognized upon utilization of plus points for stays at our resorts or upon expiration of the points) and a $0.9 million increase in preview keys and other revenue. In addition, we had $2.7 million of revenue from the operation of the hotel acquired during the first quarter of 2015.</w:t>
      </w:r>
    </w:p>
    <w:p>
      <w:pPr>
        <w:spacing w:after="0" w:line="72" w:lineRule="exact"/>
        <w:rPr>
          <w:sz w:val="20"/>
          <w:szCs w:val="20"/>
          <w:color w:val="auto"/>
        </w:rPr>
      </w:pPr>
    </w:p>
    <w:p>
      <w:pPr>
        <w:ind w:right="120" w:firstLine="913"/>
        <w:spacing w:after="0" w:line="266" w:lineRule="auto"/>
        <w:rPr>
          <w:sz w:val="20"/>
          <w:szCs w:val="20"/>
          <w:color w:val="auto"/>
        </w:rPr>
      </w:pPr>
      <w:r>
        <w:rPr>
          <w:rFonts w:ascii="Times New Roman" w:cs="Times New Roman" w:eastAsia="Times New Roman" w:hAnsi="Times New Roman"/>
          <w:sz w:val="18"/>
          <w:szCs w:val="18"/>
          <w:color w:val="auto"/>
        </w:rPr>
        <w:t>The increase in rental margin reflected $3.2 million of higher rental revenues net of direct variable expenses (such as housekeeping), expenses incurred due to owners choosing alternative usage options, and unsold maintenance fees, as well as the $1.5 million increase in plus points revenue, partially offset by a $0.5 million loss from the operation of the hotel acquired during the first quarter of 2015.</w:t>
      </w:r>
    </w:p>
    <w:p>
      <w:pPr>
        <w:spacing w:after="0" w:line="2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00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revenues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137,471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113,727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23,744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Unsold maintenance fees — upscale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(23,344)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(19,598)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(3,746)</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Unsold maintenance fees — luxury</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(4,416)</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(4,739)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323</w:t>
            </w:r>
          </w:p>
        </w:tc>
        <w:tc>
          <w:tcPr>
            <w:tcW w:w="11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Unsold maintenance fees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(27,760)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(24,337)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(3,423)</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rental expenses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(81,979)</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(74,685)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(7,294)</w:t>
            </w:r>
          </w:p>
        </w:tc>
        <w:tc>
          <w:tcPr>
            <w:tcW w:w="11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Rental margin</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27,732</w:t>
            </w:r>
          </w:p>
        </w:tc>
        <w:tc>
          <w:tcPr>
            <w:tcW w:w="1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14,705</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13,027</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margin percentage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7.3 pts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6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7"/>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60" w:type="dxa"/>
            <w:vAlign w:val="bottom"/>
          </w:tcPr>
          <w:p>
            <w:pPr>
              <w:spacing w:after="0"/>
              <w:rPr>
                <w:sz w:val="24"/>
                <w:szCs w:val="24"/>
                <w:color w:val="auto"/>
              </w:rPr>
            </w:pPr>
          </w:p>
        </w:tc>
        <w:tc>
          <w:tcPr>
            <w:tcW w:w="104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24"/>
                <w:szCs w:val="24"/>
                <w:color w:val="auto"/>
              </w:rPr>
            </w:pPr>
          </w:p>
        </w:tc>
        <w:tc>
          <w:tcPr>
            <w:tcW w:w="94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3"/>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Transient keys rented </w:t>
            </w:r>
            <w:r>
              <w:rPr>
                <w:rFonts w:ascii="Times New Roman" w:cs="Times New Roman" w:eastAsia="Times New Roman" w:hAnsi="Times New Roman"/>
                <w:sz w:val="15"/>
                <w:szCs w:val="15"/>
                <w:color w:val="auto"/>
              </w:rPr>
              <w:t>(1)</w:t>
            </w: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531,960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489,745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42,215</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Average transient key rate</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220.57</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208.13</w:t>
            </w:r>
          </w:p>
        </w:tc>
        <w:tc>
          <w:tcPr>
            <w:tcW w:w="140" w:type="dxa"/>
            <w:vAlign w:val="bottom"/>
          </w:tcPr>
          <w:p>
            <w:pPr>
              <w:spacing w:after="0"/>
              <w:rPr>
                <w:sz w:val="18"/>
                <w:szCs w:val="18"/>
                <w:color w:val="auto"/>
              </w:rPr>
            </w:pP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12.44</w:t>
            </w:r>
          </w:p>
        </w:tc>
        <w:tc>
          <w:tcPr>
            <w:tcW w:w="14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occupancy</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89.9%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(0.3 pts)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890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37"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Transient keys rented exclude those obtained through the use of plus points.</w:t>
      </w:r>
    </w:p>
    <w:p>
      <w:pPr>
        <w:spacing w:after="0" w:line="117"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The increase in rental revenues was due to a 9 percent increase in transient keys rented ($8.8 million) primarily sourced from a 9 percent increase in available keys, a 6 percent increase in average transient rate ($6.6 million) driven by stronger consumer demand, $2.7 million of higher plus points revenue (which is recognized upon utilization of plus points for stays at our resorts or upon expiration of the points) and a $2.3 million increase in preview keys and other revenue. In addition, we had $3.3 million of revenue from the operation of the hotel acquired during the first quarter of 2015.</w:t>
      </w:r>
    </w:p>
    <w:p>
      <w:pPr>
        <w:spacing w:after="0" w:line="72" w:lineRule="exact"/>
        <w:rPr>
          <w:sz w:val="20"/>
          <w:szCs w:val="20"/>
          <w:color w:val="auto"/>
        </w:rPr>
      </w:pPr>
    </w:p>
    <w:p>
      <w:pPr>
        <w:jc w:val="both"/>
        <w:ind w:right="120" w:firstLine="913"/>
        <w:spacing w:after="0" w:line="266" w:lineRule="auto"/>
        <w:rPr>
          <w:sz w:val="20"/>
          <w:szCs w:val="20"/>
          <w:color w:val="auto"/>
        </w:rPr>
      </w:pPr>
      <w:r>
        <w:rPr>
          <w:rFonts w:ascii="Times New Roman" w:cs="Times New Roman" w:eastAsia="Times New Roman" w:hAnsi="Times New Roman"/>
          <w:sz w:val="18"/>
          <w:szCs w:val="18"/>
          <w:color w:val="auto"/>
        </w:rPr>
        <w:t>The increase in rental margin reflected $11.3 million of higher rental revenues net of direct variable expenses (such as housekeeping), expenses incurred due to owners choosing alternative usage options, and unsold maintenance fees, as well as the $2.7 million increase in plus points revenue, partially offset by a $1.0 million loss from the operation of the hotel acquired during the first quarter of 2015.</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121" w:lineRule="exact"/>
        <w:rPr>
          <w:sz w:val="20"/>
          <w:szCs w:val="20"/>
          <w:color w:val="auto"/>
        </w:rPr>
      </w:pPr>
    </w:p>
    <w:p>
      <w:pPr>
        <w:ind w:right="160" w:firstLine="913"/>
        <w:spacing w:after="0" w:line="282" w:lineRule="auto"/>
        <w:rPr>
          <w:sz w:val="20"/>
          <w:szCs w:val="20"/>
          <w:color w:val="auto"/>
        </w:rPr>
      </w:pPr>
      <w:r>
        <w:rPr>
          <w:rFonts w:ascii="Times New Roman" w:cs="Times New Roman" w:eastAsia="Times New Roman" w:hAnsi="Times New Roman"/>
          <w:sz w:val="18"/>
          <w:szCs w:val="18"/>
          <w:color w:val="auto"/>
        </w:rPr>
        <w:t>The following discussion presents an analysis of our results of operations for the twelve and twenty-four weeks ended June 19, 2015, compared to the twelve and twenty-four weeks ended June 20, 2014.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60" w:type="dxa"/>
            <w:vAlign w:val="bottom"/>
          </w:tcPr>
          <w:p>
            <w:pPr>
              <w:spacing w:after="0"/>
              <w:rPr>
                <w:sz w:val="15"/>
                <w:szCs w:val="15"/>
                <w:color w:val="auto"/>
              </w:rPr>
            </w:pPr>
          </w:p>
        </w:tc>
        <w:tc>
          <w:tcPr>
            <w:tcW w:w="252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5,647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10,018</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11,547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6,905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8,415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11,884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w:t>
            </w:r>
          </w:p>
        </w:tc>
        <w:tc>
          <w:tcPr>
            <w:tcW w:w="160" w:type="dxa"/>
            <w:vAlign w:val="bottom"/>
          </w:tcPr>
          <w:p>
            <w:pPr>
              <w:spacing w:after="0"/>
              <w:rPr>
                <w:sz w:val="18"/>
                <w:szCs w:val="18"/>
                <w:color w:val="auto"/>
              </w:rPr>
            </w:pP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Rental</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5,383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reimbursements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7,789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9,511</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15,375</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26,621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34,749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48,208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Marketing and sales</w:t>
            </w:r>
          </w:p>
        </w:tc>
        <w:tc>
          <w:tcPr>
            <w:tcW w:w="160" w:type="dxa"/>
            <w:vAlign w:val="bottom"/>
          </w:tcPr>
          <w:p>
            <w:pPr>
              <w:spacing w:after="0"/>
              <w:rPr>
                <w:sz w:val="18"/>
                <w:szCs w:val="18"/>
                <w:color w:val="auto"/>
              </w:rPr>
            </w:pP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4,868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6,262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5,724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10,315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w:t>
            </w:r>
          </w:p>
        </w:tc>
        <w:tc>
          <w:tcPr>
            <w:tcW w:w="160" w:type="dxa"/>
            <w:vAlign w:val="bottom"/>
          </w:tcPr>
          <w:p>
            <w:pPr>
              <w:spacing w:after="0"/>
              <w:rPr>
                <w:sz w:val="18"/>
                <w:szCs w:val="18"/>
                <w:color w:val="auto"/>
              </w:rPr>
            </w:pP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3,913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6,964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Royalty fee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reimbursements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7,789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9,511</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15,375</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23,615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29,551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45,192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Gains and other income</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Segment financial results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3,006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5,159</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3,020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firstLine="913"/>
        <w:spacing w:after="0" w:line="282" w:lineRule="auto"/>
        <w:rPr>
          <w:sz w:val="20"/>
          <w:szCs w:val="20"/>
          <w:color w:val="auto"/>
        </w:rPr>
      </w:pPr>
      <w:r>
        <w:rPr>
          <w:rFonts w:ascii="Times New Roman" w:cs="Times New Roman" w:eastAsia="Times New Roman" w:hAnsi="Times New Roman"/>
          <w:sz w:val="18"/>
          <w:szCs w:val="18"/>
          <w:color w:val="auto"/>
        </w:rPr>
        <w:t>In our Europe segment, we are focused on selling our existing projects and managing existing resorts. We do not have any current plans for new development in this segment.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Sales</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46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Vacation ownership</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7,341</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11,655</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(4,314)</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contract sales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7,341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11,655</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(4,314)</w:t>
            </w:r>
          </w:p>
        </w:tc>
        <w:tc>
          <w:tcPr>
            <w:tcW w:w="12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913"/>
        <w:spacing w:after="0" w:line="266" w:lineRule="auto"/>
        <w:rPr>
          <w:sz w:val="20"/>
          <w:szCs w:val="20"/>
          <w:color w:val="auto"/>
        </w:rPr>
      </w:pPr>
      <w:r>
        <w:rPr>
          <w:rFonts w:ascii="Times New Roman" w:cs="Times New Roman" w:eastAsia="Times New Roman" w:hAnsi="Times New Roman"/>
          <w:sz w:val="18"/>
          <w:szCs w:val="18"/>
          <w:color w:val="auto"/>
        </w:rPr>
        <w:t>The decrease in contract sales was driven by $3.0 million of lower sales from our Middle East sales location due to large multi-week purchases in the prior year comparable period that did not recur in the current period and fewer tours in the current period, as well as $1.4 million from the changes in foreign exchange rates.</w:t>
      </w:r>
    </w:p>
    <w:p>
      <w:pPr>
        <w:spacing w:after="0" w:line="17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46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Vacation ownership</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12,639</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20,103</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(7,464)</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contract sales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12,639</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20,103</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(7,464)</w:t>
            </w:r>
          </w:p>
        </w:tc>
        <w:tc>
          <w:tcPr>
            <w:tcW w:w="12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913"/>
        <w:spacing w:after="0" w:line="266" w:lineRule="auto"/>
        <w:rPr>
          <w:sz w:val="20"/>
          <w:szCs w:val="20"/>
          <w:color w:val="auto"/>
        </w:rPr>
      </w:pPr>
      <w:r>
        <w:rPr>
          <w:rFonts w:ascii="Times New Roman" w:cs="Times New Roman" w:eastAsia="Times New Roman" w:hAnsi="Times New Roman"/>
          <w:sz w:val="18"/>
          <w:szCs w:val="18"/>
          <w:color w:val="auto"/>
        </w:rPr>
        <w:t>The decrease in contract sales was driven by $5.0 million of lower sales from our Middle East sales location due to large multi-week purchases in the prior year comparable period that did not recur in the current period and higher cancellations and fewer tours in the current period, $2.0 million from the changes in foreign exchange rates, and $0.5 million of lower sales across the other sites in this segment.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Vacation Ownership Products</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14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sales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7,341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11,655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Reportability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reserve</w:t>
            </w:r>
          </w:p>
        </w:tc>
        <w:tc>
          <w:tcPr>
            <w:tcW w:w="240" w:type="dxa"/>
            <w:vAlign w:val="bottom"/>
          </w:tcPr>
          <w:p>
            <w:pPr>
              <w:spacing w:after="0"/>
              <w:rPr>
                <w:sz w:val="18"/>
                <w:szCs w:val="18"/>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(1,035)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5"/>
                <w:szCs w:val="15"/>
                <w:color w:val="auto"/>
              </w:rPr>
              <w:t>(1)</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5,647</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10,018</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890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86"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Adjustment for sales incentives that will not be recognized as Sale of vacation ownership products revenue.</w:t>
      </w:r>
    </w:p>
    <w:p>
      <w:pPr>
        <w:spacing w:after="0" w:line="117" w:lineRule="exact"/>
        <w:rPr>
          <w:sz w:val="20"/>
          <w:szCs w:val="20"/>
          <w:color w:val="auto"/>
        </w:rPr>
      </w:pPr>
    </w:p>
    <w:p>
      <w:pPr>
        <w:ind w:right="80" w:firstLine="913"/>
        <w:spacing w:after="0" w:line="261" w:lineRule="auto"/>
        <w:rPr>
          <w:sz w:val="20"/>
          <w:szCs w:val="20"/>
          <w:color w:val="auto"/>
        </w:rPr>
      </w:pPr>
      <w:r>
        <w:rPr>
          <w:rFonts w:ascii="Times New Roman" w:cs="Times New Roman" w:eastAsia="Times New Roman" w:hAnsi="Times New Roman"/>
          <w:sz w:val="18"/>
          <w:szCs w:val="18"/>
          <w:color w:val="auto"/>
        </w:rPr>
        <w:t>Revenue reportability had a $0.6 million negative impact in the current period, compared to a $0.4 million negative impact in the prior year comparable period because fewer sales met the down payment requirement for revenue recognition purposes prior to the end of the current period compared to the prior year comparable period. The decrease in the sales reserve is due to the lower contract sales, partially offset by an increase in the estimated default activity compared to the prior year comparable period.</w:t>
      </w:r>
    </w:p>
    <w:p>
      <w:pPr>
        <w:spacing w:after="0" w:line="1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14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sales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12,639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20,103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Reportability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1,700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reserve</w:t>
            </w:r>
          </w:p>
        </w:tc>
        <w:tc>
          <w:tcPr>
            <w:tcW w:w="240" w:type="dxa"/>
            <w:vAlign w:val="bottom"/>
          </w:tcPr>
          <w:p>
            <w:pPr>
              <w:spacing w:after="0"/>
              <w:rPr>
                <w:sz w:val="18"/>
                <w:szCs w:val="18"/>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(2,115)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5"/>
                <w:szCs w:val="15"/>
                <w:color w:val="auto"/>
              </w:rPr>
              <w:t>(1)</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11,547</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17,258</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890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86"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Adjustment for sales incentives that will not be recognized as Sale of vacation ownership products revenue.</w:t>
      </w:r>
    </w:p>
    <w:p>
      <w:pPr>
        <w:spacing w:after="0" w:line="117"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Revenue reportability had a $1.2 million positive impact in the current period, compared to a $0.5 million negative impact in the prior year comparable period because more sales met the down payment requirement for revenue recognition purposes prior to the end of the current period compared to the prior year comparable period. The decrease in the sales reserve is due to the lower contract sales, partially offset by an increase in the estimated default activity compared to the prior year comparable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Margin</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14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5,647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10,018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98"/>
              </w:rPr>
              <w:t>(4,371)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40" w:type="dxa"/>
            <w:vAlign w:val="bottom"/>
          </w:tcPr>
          <w:p>
            <w:pPr>
              <w:spacing w:after="0"/>
              <w:rPr>
                <w:sz w:val="18"/>
                <w:szCs w:val="18"/>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(1,233)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rPr>
              <w:t>1,156</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(4,868)</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rPr>
              <w:t>1,394</w:t>
            </w:r>
          </w:p>
        </w:tc>
        <w:tc>
          <w:tcPr>
            <w:tcW w:w="11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margin</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1,367</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8"/>
                <w:szCs w:val="18"/>
                <w:color w:val="auto"/>
                <w:w w:val="98"/>
              </w:rPr>
              <w:t>(1,821)</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(133%)</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(21.6 pts)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913"/>
        <w:spacing w:after="0" w:line="266" w:lineRule="auto"/>
        <w:rPr>
          <w:sz w:val="20"/>
          <w:szCs w:val="20"/>
          <w:color w:val="auto"/>
        </w:rPr>
      </w:pPr>
      <w:r>
        <w:rPr>
          <w:rFonts w:ascii="Times New Roman" w:cs="Times New Roman" w:eastAsia="Times New Roman" w:hAnsi="Times New Roman"/>
          <w:sz w:val="18"/>
          <w:szCs w:val="18"/>
          <w:color w:val="auto"/>
        </w:rPr>
        <w:t>The decrease in development margin reflected $1.7 million from the lower vacation ownership contract sales volume net of higher direct variable expenses (i.e., cost of vacation ownership products and marketing and sales) due in part to less efficient marketing and sales spending at our existing sales locations due to an inability to leverage fixed costs on lower sales volumes and $0.1 million from the lower revenue reportability year-over-year.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58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11,547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17,258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(5,711)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60" w:type="dxa"/>
            <w:vAlign w:val="bottom"/>
          </w:tcPr>
          <w:p>
            <w:pPr>
              <w:spacing w:after="0"/>
              <w:rPr>
                <w:sz w:val="18"/>
                <w:szCs w:val="18"/>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1,750</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(10,289)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(11,017)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728</w:t>
            </w:r>
          </w:p>
        </w:tc>
        <w:tc>
          <w:tcPr>
            <w:tcW w:w="12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margin</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2,406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(3,233)</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(134%)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(21.1 pts)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913"/>
        <w:spacing w:after="0" w:line="261" w:lineRule="auto"/>
        <w:rPr>
          <w:sz w:val="20"/>
          <w:szCs w:val="20"/>
          <w:color w:val="auto"/>
        </w:rPr>
      </w:pPr>
      <w:r>
        <w:rPr>
          <w:rFonts w:ascii="Times New Roman" w:cs="Times New Roman" w:eastAsia="Times New Roman" w:hAnsi="Times New Roman"/>
          <w:sz w:val="18"/>
          <w:szCs w:val="18"/>
          <w:color w:val="auto"/>
        </w:rPr>
        <w:t>The decrease in development margin reflected $4.3 million from the lower vacation ownership contract sales volume net of higher direct variable expenses (i.e., cost of vacation ownership products and marketing and sales) due in part to less efficient marketing and sales spending at our existing sales locations due to an inability to leverage fixed costs on lower sales volumes, partially offset by $1.1 million from the higher revenue reportability year-over-year.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Asia Pacific</w:t>
      </w:r>
    </w:p>
    <w:p>
      <w:pPr>
        <w:spacing w:after="0" w:line="121" w:lineRule="exact"/>
        <w:rPr>
          <w:sz w:val="20"/>
          <w:szCs w:val="20"/>
          <w:color w:val="auto"/>
        </w:rPr>
      </w:pPr>
    </w:p>
    <w:p>
      <w:pPr>
        <w:ind w:right="160" w:firstLine="913"/>
        <w:spacing w:after="0" w:line="282" w:lineRule="auto"/>
        <w:rPr>
          <w:sz w:val="20"/>
          <w:szCs w:val="20"/>
          <w:color w:val="auto"/>
        </w:rPr>
      </w:pPr>
      <w:r>
        <w:rPr>
          <w:rFonts w:ascii="Times New Roman" w:cs="Times New Roman" w:eastAsia="Times New Roman" w:hAnsi="Times New Roman"/>
          <w:sz w:val="18"/>
          <w:szCs w:val="18"/>
          <w:color w:val="auto"/>
        </w:rPr>
        <w:t>The following discussion presents an analysis of our results of operations for the twelve and twenty-four weeks ended June 19, 2015, compared to the twelve and twenty-four weeks ended June 20, 2014.</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80" w:type="dxa"/>
            <w:vAlign w:val="bottom"/>
          </w:tcPr>
          <w:p>
            <w:pPr>
              <w:spacing w:after="0"/>
              <w:rPr>
                <w:sz w:val="15"/>
                <w:szCs w:val="15"/>
                <w:color w:val="auto"/>
              </w:rPr>
            </w:pPr>
          </w:p>
        </w:tc>
        <w:tc>
          <w:tcPr>
            <w:tcW w:w="254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5760" w:type="dxa"/>
            <w:vAlign w:val="bottom"/>
            <w:tcBorders>
              <w:bottom w:val="single" w:sz="8" w:color="CCEEFF"/>
            </w:tcBorders>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7,575</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7,954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43,853</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w:t>
            </w:r>
          </w:p>
        </w:tc>
        <w:tc>
          <w:tcPr>
            <w:tcW w:w="18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Rental</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3,855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reimbursements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722</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1,498</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11,717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12,230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53,082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23,799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Marketing and sales</w:t>
            </w:r>
          </w:p>
        </w:tc>
        <w:tc>
          <w:tcPr>
            <w:tcW w:w="18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4,243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9,989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w:t>
            </w:r>
          </w:p>
        </w:tc>
        <w:tc>
          <w:tcPr>
            <w:tcW w:w="18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2,794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2,936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5,290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Royalty fee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reimbursements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722</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1,498</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expenses</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10,466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10,737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42,388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Gains and other income</w:t>
            </w:r>
          </w:p>
        </w:tc>
        <w:tc>
          <w:tcPr>
            <w:tcW w:w="18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in losses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(1,272)</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(1,272)</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Segment financial results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1,493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9,388</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0" w:firstLine="913"/>
        <w:spacing w:after="0" w:line="256" w:lineRule="auto"/>
        <w:rPr>
          <w:sz w:val="20"/>
          <w:szCs w:val="20"/>
          <w:color w:val="auto"/>
        </w:rPr>
      </w:pPr>
      <w:r>
        <w:rPr>
          <w:rFonts w:ascii="Times New Roman" w:cs="Times New Roman" w:eastAsia="Times New Roman" w:hAnsi="Times New Roman"/>
          <w:sz w:val="18"/>
          <w:szCs w:val="18"/>
          <w:color w:val="auto"/>
        </w:rPr>
        <w:t>In our Asia Pacific segment, we continue to identify opportunities for development margin improvement. Our on-site sales locations are more efficient sales channels than our off-site sales locations and we plan to focus on future inventory acquisitions with strong on-site sales locations. Due to operational constraints, regulatory conditions and certain other conditions related to our 18 units in Macau, we decided not to sell these units through our Marriott Vacation Club, Asia Pacific points program, and instead disposed of the units as whole ownership residential units during the first quarter of 2015. We expect to reinvest the proceeds from the disposition in new timeshare destinations in the region with strong on-site sales locations, such as the operating hotel located in Surfers Paradise, Australia that we have committed to purchase.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Sales</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Vacation ownership</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655</w:t>
            </w: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contract sales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655</w:t>
            </w:r>
          </w:p>
        </w:tc>
        <w:tc>
          <w:tcPr>
            <w:tcW w:w="11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180" w:firstLine="913"/>
        <w:spacing w:after="0" w:line="266" w:lineRule="auto"/>
        <w:rPr>
          <w:sz w:val="20"/>
          <w:szCs w:val="20"/>
          <w:color w:val="auto"/>
        </w:rPr>
      </w:pPr>
      <w:r>
        <w:rPr>
          <w:rFonts w:ascii="Times New Roman" w:cs="Times New Roman" w:eastAsia="Times New Roman" w:hAnsi="Times New Roman"/>
          <w:sz w:val="18"/>
          <w:szCs w:val="18"/>
          <w:color w:val="auto"/>
        </w:rPr>
        <w:t>The increase in vacation ownership contract sales reflected a 2 percent increase in VPG and a 7 percent increase in the number of tours, both of which were impacted in the prior year comparable period by the increase in the cancellations rate due to changes in the Singapore timeshare regulations and political turmoil in Thailand.</w:t>
      </w:r>
    </w:p>
    <w:p>
      <w:pPr>
        <w:spacing w:after="0" w:line="17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Vacation ownership</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13,960</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2,691</w:t>
            </w:r>
          </w:p>
        </w:tc>
        <w:tc>
          <w:tcPr>
            <w:tcW w:w="1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Residential products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28,420</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28,420</w:t>
            </w:r>
          </w:p>
        </w:tc>
        <w:tc>
          <w:tcPr>
            <w:tcW w:w="11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3"/>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contract sales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45,071</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13,960</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31,111</w:t>
            </w:r>
          </w:p>
        </w:tc>
        <w:tc>
          <w:tcPr>
            <w:tcW w:w="1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223%</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80" w:firstLine="913"/>
        <w:spacing w:after="0" w:line="266" w:lineRule="auto"/>
        <w:rPr>
          <w:sz w:val="20"/>
          <w:szCs w:val="20"/>
          <w:color w:val="auto"/>
        </w:rPr>
      </w:pPr>
      <w:r>
        <w:rPr>
          <w:rFonts w:ascii="Times New Roman" w:cs="Times New Roman" w:eastAsia="Times New Roman" w:hAnsi="Times New Roman"/>
          <w:sz w:val="18"/>
          <w:szCs w:val="18"/>
          <w:color w:val="auto"/>
        </w:rPr>
        <w:t>The increase in vacation ownership contract sales reflected a 12 percent increase in VPG and a 6 percent increase in the number of tours, both of which were impacted in the prior year comparable period by the increase in the cancellations rate due to changes in the Singapore timeshare regulations and political turmoil in Thailand.</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$28.4 million of residential contract sales was from the disposition of the Macau inventory discussed above.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Vacation Ownership Products</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02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sales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Reportability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reserve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5"/>
                <w:szCs w:val="15"/>
                <w:color w:val="auto"/>
              </w:rPr>
              <w:t>(1)</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14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890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86" w:lineRule="exact"/>
        <w:rPr>
          <w:sz w:val="20"/>
          <w:szCs w:val="20"/>
          <w:color w:val="auto"/>
        </w:rPr>
      </w:pPr>
    </w:p>
    <w:p>
      <w:pPr>
        <w:ind w:left="460" w:hanging="452"/>
        <w:spacing w:after="0"/>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Adjustment for sales incentives that will not be recognized as Sale of vacation ownership products revenue.</w:t>
      </w:r>
    </w:p>
    <w:p>
      <w:pPr>
        <w:spacing w:after="0" w:line="225" w:lineRule="exact"/>
        <w:rPr>
          <w:sz w:val="20"/>
          <w:szCs w:val="20"/>
          <w:color w:val="auto"/>
        </w:rPr>
      </w:pPr>
    </w:p>
    <w:p>
      <w:pPr>
        <w:ind w:right="120" w:firstLine="913"/>
        <w:spacing w:after="0" w:line="282" w:lineRule="auto"/>
        <w:rPr>
          <w:sz w:val="20"/>
          <w:szCs w:val="20"/>
          <w:color w:val="auto"/>
        </w:rPr>
      </w:pPr>
      <w:r>
        <w:rPr>
          <w:rFonts w:ascii="Times New Roman" w:cs="Times New Roman" w:eastAsia="Times New Roman" w:hAnsi="Times New Roman"/>
          <w:sz w:val="18"/>
          <w:szCs w:val="18"/>
          <w:color w:val="auto"/>
        </w:rPr>
        <w:t>The lower favorable reportability in the current period is due to the recognition of sales in the prior year comparable period that were previously in the rescission period as a result of the change in timeshare legislation in Singapore.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8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sales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45,071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13,960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31,111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223%</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Reportability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980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reserve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(702)</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5"/>
                <w:szCs w:val="15"/>
                <w:color w:val="auto"/>
              </w:rPr>
              <w:t>(1)</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43,853</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14,222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29,631</w:t>
            </w:r>
          </w:p>
        </w:tc>
        <w:tc>
          <w:tcPr>
            <w:tcW w:w="11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890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86" w:lineRule="exact"/>
        <w:rPr>
          <w:sz w:val="20"/>
          <w:szCs w:val="20"/>
          <w:color w:val="auto"/>
        </w:rPr>
      </w:pPr>
    </w:p>
    <w:p>
      <w:pPr>
        <w:ind w:left="460" w:hanging="452"/>
        <w:spacing w:after="0"/>
        <w:tabs>
          <w:tab w:leader="none" w:pos="4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Adjustment for sales incentives that will not be recognized as Sale of vacation ownership products revenue.</w:t>
      </w:r>
    </w:p>
    <w:p>
      <w:pPr>
        <w:spacing w:after="0" w:line="225" w:lineRule="exact"/>
        <w:rPr>
          <w:sz w:val="20"/>
          <w:szCs w:val="20"/>
          <w:color w:val="auto"/>
        </w:rPr>
      </w:pPr>
    </w:p>
    <w:p>
      <w:pPr>
        <w:jc w:val="both"/>
        <w:ind w:right="120" w:firstLine="913"/>
        <w:spacing w:after="0" w:line="266" w:lineRule="auto"/>
        <w:rPr>
          <w:sz w:val="20"/>
          <w:szCs w:val="20"/>
          <w:color w:val="auto"/>
        </w:rPr>
      </w:pPr>
      <w:r>
        <w:rPr>
          <w:rFonts w:ascii="Times New Roman" w:cs="Times New Roman" w:eastAsia="Times New Roman" w:hAnsi="Times New Roman"/>
          <w:sz w:val="18"/>
          <w:szCs w:val="18"/>
          <w:color w:val="auto"/>
        </w:rPr>
        <w:t>The lower favorable reportability in the current period is due to the recognition of sales in the prior year comparable period that were previously in the rescission period as a result of the change in timeshare legislation in Singapore. The increase in the sales reserve is due to an increase in the estimated default activity compared to the prior year comparable period as well as the increase in vacation ownership contract sales.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Margin</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68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8"/>
              </w:rPr>
              <w:t>7,575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8"/>
              </w:rPr>
              <w:t>7,954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w w:val="97"/>
              </w:rPr>
              <w:t>(379)</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40" w:type="dxa"/>
            <w:vAlign w:val="bottom"/>
          </w:tcPr>
          <w:p>
            <w:pPr>
              <w:spacing w:after="0"/>
              <w:rPr>
                <w:sz w:val="18"/>
                <w:szCs w:val="18"/>
                <w:color w:val="auto"/>
              </w:rPr>
            </w:pPr>
          </w:p>
        </w:tc>
        <w:tc>
          <w:tcPr>
            <w:tcW w:w="1180" w:type="dxa"/>
            <w:vAlign w:val="bottom"/>
          </w:tcPr>
          <w:p>
            <w:pPr>
              <w:jc w:val="center"/>
              <w:ind w:left="375"/>
              <w:spacing w:after="0"/>
              <w:rPr>
                <w:sz w:val="20"/>
                <w:szCs w:val="20"/>
                <w:color w:val="auto"/>
              </w:rPr>
            </w:pPr>
            <w:r>
              <w:rPr>
                <w:rFonts w:ascii="Times New Roman" w:cs="Times New Roman" w:eastAsia="Times New Roman" w:hAnsi="Times New Roman"/>
                <w:sz w:val="18"/>
                <w:szCs w:val="18"/>
                <w:color w:val="auto"/>
                <w:w w:val="98"/>
              </w:rPr>
              <w:t>(1,803)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8"/>
              </w:rPr>
              <w:t>(2,047)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left="413"/>
              <w:spacing w:after="0"/>
              <w:rPr>
                <w:sz w:val="20"/>
                <w:szCs w:val="20"/>
                <w:color w:val="auto"/>
              </w:rPr>
            </w:pPr>
            <w:r>
              <w:rPr>
                <w:rFonts w:ascii="Times New Roman" w:cs="Times New Roman" w:eastAsia="Times New Roman" w:hAnsi="Times New Roman"/>
                <w:sz w:val="18"/>
                <w:szCs w:val="18"/>
                <w:color w:val="auto"/>
                <w:w w:val="96"/>
              </w:rPr>
              <w:t>244</w:t>
            </w:r>
          </w:p>
        </w:tc>
        <w:tc>
          <w:tcPr>
            <w:tcW w:w="12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8"/>
              </w:rPr>
              <w:t>(4,432)</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8"/>
              </w:rPr>
              <w:t>(4,243)</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w w:val="97"/>
              </w:rPr>
              <w:t>(189)</w:t>
            </w:r>
          </w:p>
        </w:tc>
        <w:tc>
          <w:tcPr>
            <w:tcW w:w="120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margin</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ind w:left="415"/>
              <w:spacing w:after="0"/>
              <w:rPr>
                <w:sz w:val="20"/>
                <w:szCs w:val="20"/>
                <w:color w:val="auto"/>
              </w:rPr>
            </w:pPr>
            <w:r>
              <w:rPr>
                <w:rFonts w:ascii="Times New Roman" w:cs="Times New Roman" w:eastAsia="Times New Roman" w:hAnsi="Times New Roman"/>
                <w:sz w:val="18"/>
                <w:szCs w:val="18"/>
                <w:color w:val="auto"/>
                <w:w w:val="98"/>
              </w:rPr>
              <w:t>1,340</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center"/>
              <w:ind w:left="433"/>
              <w:spacing w:after="0"/>
              <w:rPr>
                <w:sz w:val="20"/>
                <w:szCs w:val="20"/>
                <w:color w:val="auto"/>
              </w:rPr>
            </w:pPr>
            <w:r>
              <w:rPr>
                <w:rFonts w:ascii="Times New Roman" w:cs="Times New Roman" w:eastAsia="Times New Roman" w:hAnsi="Times New Roman"/>
                <w:sz w:val="18"/>
                <w:szCs w:val="18"/>
                <w:color w:val="auto"/>
                <w:w w:val="98"/>
              </w:rPr>
              <w:t>1,664</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center"/>
              <w:ind w:left="373"/>
              <w:spacing w:after="0"/>
              <w:rPr>
                <w:sz w:val="20"/>
                <w:szCs w:val="20"/>
                <w:color w:val="auto"/>
              </w:rPr>
            </w:pPr>
            <w:r>
              <w:rPr>
                <w:rFonts w:ascii="Times New Roman" w:cs="Times New Roman" w:eastAsia="Times New Roman" w:hAnsi="Times New Roman"/>
                <w:sz w:val="18"/>
                <w:szCs w:val="18"/>
                <w:color w:val="auto"/>
                <w:w w:val="97"/>
              </w:rPr>
              <w:t>(324)</w:t>
            </w:r>
          </w:p>
        </w:tc>
        <w:tc>
          <w:tcPr>
            <w:tcW w:w="12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(3.2 pts)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40" w:firstLine="913"/>
        <w:spacing w:after="0" w:line="289" w:lineRule="auto"/>
        <w:rPr>
          <w:sz w:val="20"/>
          <w:szCs w:val="20"/>
          <w:color w:val="auto"/>
        </w:rPr>
      </w:pPr>
      <w:r>
        <w:rPr>
          <w:rFonts w:ascii="Times New Roman" w:cs="Times New Roman" w:eastAsia="Times New Roman" w:hAnsi="Times New Roman"/>
          <w:sz w:val="17"/>
          <w:szCs w:val="17"/>
          <w:color w:val="auto"/>
        </w:rPr>
        <w:t>The decrease in development margin reflected $0.7 million from lower revenue reportability compared to the prior year comparable period, partially offset by $0.4 million from the higher sales volume net of direct variable expenses (i.e., cost of vacation ownership products and marketing and sales), and included more efficient marketing and sales spending at our existing sales locations due to leveraging fixed costs on higher sales volumes.</w:t>
      </w:r>
    </w:p>
    <w:p>
      <w:pPr>
        <w:spacing w:after="0" w:line="1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68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43,853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14,222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29,631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208%</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40" w:type="dxa"/>
            <w:vAlign w:val="bottom"/>
          </w:tcPr>
          <w:p>
            <w:pPr>
              <w:spacing w:after="0"/>
              <w:rPr>
                <w:sz w:val="18"/>
                <w:szCs w:val="18"/>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(23,799)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(20,299)</w:t>
            </w:r>
          </w:p>
        </w:tc>
        <w:tc>
          <w:tcPr>
            <w:tcW w:w="12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(580%)</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(9,989)</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(8,021)</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(1,968)</w:t>
            </w:r>
          </w:p>
        </w:tc>
        <w:tc>
          <w:tcPr>
            <w:tcW w:w="12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margin</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10,065</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2,701</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7,364</w:t>
            </w:r>
          </w:p>
        </w:tc>
        <w:tc>
          <w:tcPr>
            <w:tcW w:w="12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273%</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4.0 pts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913"/>
        <w:spacing w:after="0" w:line="258" w:lineRule="auto"/>
        <w:rPr>
          <w:sz w:val="20"/>
          <w:szCs w:val="20"/>
          <w:color w:val="auto"/>
        </w:rPr>
      </w:pPr>
      <w:r>
        <w:rPr>
          <w:rFonts w:ascii="Times New Roman" w:cs="Times New Roman" w:eastAsia="Times New Roman" w:hAnsi="Times New Roman"/>
          <w:sz w:val="18"/>
          <w:szCs w:val="18"/>
          <w:color w:val="auto"/>
        </w:rPr>
        <w:t>The increase in development margin reflected $5.9 million from the residential contract sales, $1.5 million from higher favorable product cost true-ups ($1.5 million in the twenty-four weeks ended June 19, 2015 compared to $0 in the prior year comparable period), and $1.0 million from the higher sales volume net of direct variable expenses (i.e., cost of vacation ownership products and marketing and sales), and included more efficient marketing and sales spending at our existing sales locations due to leveraging fixed costs on higher sales volumes. These increases were partially offset by $0.5 million from the lower revenue reportability compared to the prior year comparable period and $0.5 million from the increase in the sales reserve.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21" w:lineRule="exact"/>
        <w:rPr>
          <w:sz w:val="20"/>
          <w:szCs w:val="20"/>
          <w:color w:val="auto"/>
        </w:rPr>
      </w:pPr>
    </w:p>
    <w:p>
      <w:pPr>
        <w:ind w:right="160" w:firstLine="913"/>
        <w:spacing w:after="0" w:line="282" w:lineRule="auto"/>
        <w:rPr>
          <w:sz w:val="20"/>
          <w:szCs w:val="20"/>
          <w:color w:val="auto"/>
        </w:rPr>
      </w:pPr>
      <w:r>
        <w:rPr>
          <w:rFonts w:ascii="Times New Roman" w:cs="Times New Roman" w:eastAsia="Times New Roman" w:hAnsi="Times New Roman"/>
          <w:sz w:val="18"/>
          <w:szCs w:val="18"/>
          <w:color w:val="auto"/>
        </w:rPr>
        <w:t>The following discussion presents an analysis of our results of operations for the twelve and twenty-four weeks ended June 19, 2015, compared to the twelve and twenty-four weeks ended June 20, 2014.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Pr>
          <w:p>
            <w:pPr>
              <w:spacing w:after="0"/>
              <w:rPr>
                <w:sz w:val="15"/>
                <w:szCs w:val="15"/>
                <w:color w:val="auto"/>
              </w:rPr>
            </w:pPr>
          </w:p>
        </w:tc>
        <w:tc>
          <w:tcPr>
            <w:tcW w:w="280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CCEEFF"/>
            </w:tcBorders>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1,249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1,545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2,862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Financing</w:t>
            </w:r>
          </w:p>
        </w:tc>
        <w:tc>
          <w:tcPr>
            <w:tcW w:w="200" w:type="dxa"/>
            <w:vAlign w:val="bottom"/>
          </w:tcPr>
          <w:p>
            <w:pPr>
              <w:spacing w:after="0"/>
              <w:rPr>
                <w:sz w:val="18"/>
                <w:szCs w:val="18"/>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6,085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5,438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10,990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10,542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22,892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23,153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45,669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44,981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Litigation settlement</w:t>
            </w:r>
          </w:p>
        </w:tc>
        <w:tc>
          <w:tcPr>
            <w:tcW w:w="200" w:type="dxa"/>
            <w:vAlign w:val="bottom"/>
          </w:tcPr>
          <w:p>
            <w:pPr>
              <w:spacing w:after="0"/>
              <w:rPr>
                <w:sz w:val="18"/>
                <w:szCs w:val="18"/>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Organizational and separation related</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Consumer financing interest</w:t>
            </w:r>
          </w:p>
        </w:tc>
        <w:tc>
          <w:tcPr>
            <w:tcW w:w="200" w:type="dxa"/>
            <w:vAlign w:val="bottom"/>
          </w:tcPr>
          <w:p>
            <w:pPr>
              <w:spacing w:after="0"/>
              <w:rPr>
                <w:sz w:val="18"/>
                <w:szCs w:val="18"/>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5,248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5,737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11,269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12,362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fee</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11,507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11,506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23,014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47,101</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48,080</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93,977</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96,410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20" w:firstLine="913"/>
        <w:spacing w:after="0" w:line="261" w:lineRule="auto"/>
        <w:rPr>
          <w:sz w:val="20"/>
          <w:szCs w:val="20"/>
          <w:color w:val="auto"/>
        </w:rPr>
      </w:pPr>
      <w:r>
        <w:rPr>
          <w:rFonts w:ascii="Times New Roman" w:cs="Times New Roman" w:eastAsia="Times New Roman" w:hAnsi="Times New Roman"/>
          <w:sz w:val="18"/>
          <w:szCs w:val="18"/>
          <w:color w:val="auto"/>
        </w:rPr>
        <w:t>Corporate and Other consists of results not specifically attributable to an individual segment, including expenses in support of our financing operations, non-capitalizable development expenses incurred to support overall company development, company-wide general and administrative costs, consumer financing interest expense and the fixed royalty fee payable under the license agreements that we entered into with Marriott International in connection with the Spin-Off.</w:t>
      </w:r>
    </w:p>
    <w:p>
      <w:pPr>
        <w:spacing w:after="0" w:line="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Twelve Weeks Ended June 19, 2015</w:t>
      </w:r>
    </w:p>
    <w:p>
      <w:pPr>
        <w:spacing w:after="0" w:line="119" w:lineRule="exact"/>
        <w:rPr>
          <w:sz w:val="20"/>
          <w:szCs w:val="20"/>
          <w:color w:val="auto"/>
        </w:rPr>
      </w:pPr>
    </w:p>
    <w:p>
      <w:pPr>
        <w:ind w:right="160" w:firstLine="913"/>
        <w:spacing w:after="0" w:line="261" w:lineRule="auto"/>
        <w:rPr>
          <w:sz w:val="20"/>
          <w:szCs w:val="20"/>
          <w:color w:val="auto"/>
        </w:rPr>
      </w:pPr>
      <w:r>
        <w:rPr>
          <w:rFonts w:ascii="Times New Roman" w:cs="Times New Roman" w:eastAsia="Times New Roman" w:hAnsi="Times New Roman"/>
          <w:sz w:val="18"/>
          <w:szCs w:val="18"/>
          <w:color w:val="auto"/>
        </w:rPr>
        <w:t>Total expenses decreased $1.0 million from the prior year comparable period. The $1.0 million decrease resulted from $0.7 million of lower organizational and separation related expenses due to the completion of many of the initiatives relating to our separation from Marriott International, $0.5 million of lower consumer financing interest expense, $0.3 million of lower cost of vacation ownership products expenses and $0.2 million of lower general and administrative expenses, partially offset by $0.6 million of higher financing expenses and $0.1 million of litigation settlements in the current period.</w:t>
      </w:r>
    </w:p>
    <w:p>
      <w:pPr>
        <w:spacing w:after="0" w:line="72" w:lineRule="exact"/>
        <w:rPr>
          <w:sz w:val="20"/>
          <w:szCs w:val="20"/>
          <w:color w:val="auto"/>
        </w:rPr>
      </w:pPr>
    </w:p>
    <w:p>
      <w:pPr>
        <w:ind w:right="220" w:firstLine="913"/>
        <w:spacing w:after="0" w:line="266" w:lineRule="auto"/>
        <w:rPr>
          <w:sz w:val="20"/>
          <w:szCs w:val="20"/>
          <w:color w:val="auto"/>
        </w:rPr>
      </w:pPr>
      <w:r>
        <w:rPr>
          <w:rFonts w:ascii="Times New Roman" w:cs="Times New Roman" w:eastAsia="Times New Roman" w:hAnsi="Times New Roman"/>
          <w:sz w:val="18"/>
          <w:szCs w:val="18"/>
          <w:color w:val="auto"/>
        </w:rPr>
        <w:t>The $0.5 million decline in consumer financing interest expense was due to a lower average interest rate on the outstanding debt balances.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68" w:lineRule="exact"/>
        <w:rPr>
          <w:sz w:val="20"/>
          <w:szCs w:val="20"/>
          <w:color w:val="auto"/>
        </w:rPr>
      </w:pPr>
    </w:p>
    <w:p>
      <w:pPr>
        <w:ind w:right="320" w:firstLine="913"/>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$0.3 million (from $23.2 million to $22.9 million) and were driven by lower depreciation and cost savings, partially offset by higher personnel related and other costs.</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Twenty-Four Weeks Ended June 19, 2015</w:t>
      </w:r>
    </w:p>
    <w:p>
      <w:pPr>
        <w:spacing w:after="0" w:line="119" w:lineRule="exact"/>
        <w:rPr>
          <w:sz w:val="20"/>
          <w:szCs w:val="20"/>
          <w:color w:val="auto"/>
        </w:rPr>
      </w:pPr>
    </w:p>
    <w:p>
      <w:pPr>
        <w:ind w:right="100" w:firstLine="913"/>
        <w:spacing w:after="0" w:line="258" w:lineRule="auto"/>
        <w:rPr>
          <w:sz w:val="20"/>
          <w:szCs w:val="20"/>
          <w:color w:val="auto"/>
        </w:rPr>
      </w:pPr>
      <w:r>
        <w:rPr>
          <w:rFonts w:ascii="Times New Roman" w:cs="Times New Roman" w:eastAsia="Times New Roman" w:hAnsi="Times New Roman"/>
          <w:sz w:val="18"/>
          <w:szCs w:val="18"/>
          <w:color w:val="auto"/>
        </w:rPr>
        <w:t>Total expenses decreased $2.4 million from the prior year comparable period. The $2.4 million decrease resulted from $1.5 million of lower organizational and separation related expenses due to the completion of many of the initiatives relating to our separation from Marriott International, $1.1 million of lower cost of vacation ownership products expenses due to lower pre-development spending associated with potential acquisitions and lower other expenses, and $1.1 million of lower consumer financing interest expense, partially offset by $0.8 million of higher general and administrative expenses, $0.4 million of higher financing expenses and $0.1 million of litigation settlements in the current period.</w:t>
      </w:r>
    </w:p>
    <w:p>
      <w:pPr>
        <w:spacing w:after="0" w:line="76" w:lineRule="exact"/>
        <w:rPr>
          <w:sz w:val="20"/>
          <w:szCs w:val="20"/>
          <w:color w:val="auto"/>
        </w:rPr>
      </w:pPr>
    </w:p>
    <w:p>
      <w:pPr>
        <w:jc w:val="both"/>
        <w:ind w:right="80" w:firstLine="913"/>
        <w:spacing w:after="0" w:line="261" w:lineRule="auto"/>
        <w:rPr>
          <w:sz w:val="20"/>
          <w:szCs w:val="20"/>
          <w:color w:val="auto"/>
        </w:rPr>
      </w:pPr>
      <w:r>
        <w:rPr>
          <w:rFonts w:ascii="Times New Roman" w:cs="Times New Roman" w:eastAsia="Times New Roman" w:hAnsi="Times New Roman"/>
          <w:sz w:val="18"/>
          <w:szCs w:val="18"/>
          <w:color w:val="auto"/>
        </w:rPr>
        <w:t>The $1.1 million decline in consumer financing interest expense was due to a lower average interest rate on the outstanding debt balances ($1.3 million), partially offset by an increase in the outstanding debt balances of securitized vacation ownership notes receivable and associated interest costs ($0.2 million).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72" w:lineRule="exact"/>
        <w:rPr>
          <w:sz w:val="20"/>
          <w:szCs w:val="20"/>
          <w:color w:val="auto"/>
        </w:rPr>
      </w:pPr>
    </w:p>
    <w:p>
      <w:pPr>
        <w:ind w:right="260" w:firstLine="913"/>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$0.7 million (from $45.0 million to $45.7 million) and were driven by higher personnel related and other costs, partially offset by lower depreciation and cost savings.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40" w:firstLine="913"/>
        <w:spacing w:after="0" w:line="282" w:lineRule="auto"/>
        <w:rPr>
          <w:sz w:val="20"/>
          <w:szCs w:val="20"/>
          <w:color w:val="auto"/>
        </w:rPr>
      </w:pPr>
      <w:r>
        <w:rPr>
          <w:rFonts w:ascii="Times New Roman" w:cs="Times New Roman" w:eastAsia="Times New Roman" w:hAnsi="Times New Roman"/>
          <w:sz w:val="18"/>
          <w:szCs w:val="18"/>
          <w:color w:val="auto"/>
        </w:rPr>
        <w:t>See Footnote No. 1, “Summary of Significant Accounting Policies,” to our Financial Statements for a discussion of recently issued accounting pronouncements, including information on new accounting standards and the future adoption of such standards.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Our capital needs are supported by cash on hand ($250.9 million at the end of the second quarter of 2015), cash generated from operations, our ability to raise capital through securitizations in the ABS market, and to the extent necessary, funds available under the Warehouse Credit Facility and the Revolving Corporate Credit Facility. We believe these sources of capital will be adequate to meet our short-term and long-term liquidity requirements, finance our long-term growth plans, satisfy debt service requirements, and fulfill other cash requirements. At the end of the second quarter of 2015, $564.7 million of the $568.1 million of total gross debt outstanding was non-recourse debt associated with vacation ownership notes receivable securitizations. In addition, we have $40.0 million of gross mandatorily redeemable preferred stock of a consolidated subsidiary that we are not required to redeem until October 2021. We may, however, redeem the preferred stock at par beginning in October 2016 at our option.</w:t>
      </w:r>
    </w:p>
    <w:p>
      <w:pPr>
        <w:spacing w:after="0" w:line="81" w:lineRule="exact"/>
        <w:rPr>
          <w:sz w:val="20"/>
          <w:szCs w:val="20"/>
          <w:color w:val="auto"/>
        </w:rPr>
      </w:pPr>
    </w:p>
    <w:p>
      <w:pPr>
        <w:jc w:val="both"/>
        <w:ind w:right="120" w:firstLine="913"/>
        <w:spacing w:after="0" w:line="266" w:lineRule="auto"/>
        <w:rPr>
          <w:sz w:val="20"/>
          <w:szCs w:val="20"/>
          <w:color w:val="auto"/>
        </w:rPr>
      </w:pPr>
      <w:r>
        <w:rPr>
          <w:rFonts w:ascii="Times New Roman" w:cs="Times New Roman" w:eastAsia="Times New Roman" w:hAnsi="Times New Roman"/>
          <w:sz w:val="18"/>
          <w:szCs w:val="18"/>
          <w:color w:val="auto"/>
        </w:rPr>
        <w:t>At the end of the second quarter of 2015, we had $699.1 million of real estate inventory on hand, comprised of $335.3 million of finished goods and $363.8 million of land and infrastructure. We expect to continue to sell excess Ritz-Carlton branded inventory through the MVCD program or bulk sale transactions in order to generate incremental cash and reduce related carrying costs.</w:t>
      </w:r>
    </w:p>
    <w:p>
      <w:pPr>
        <w:spacing w:after="0" w:line="68" w:lineRule="exact"/>
        <w:rPr>
          <w:sz w:val="20"/>
          <w:szCs w:val="20"/>
          <w:color w:val="auto"/>
        </w:rPr>
      </w:pPr>
    </w:p>
    <w:p>
      <w:pPr>
        <w:ind w:right="20" w:firstLine="913"/>
        <w:spacing w:after="0" w:line="256" w:lineRule="auto"/>
        <w:rPr>
          <w:sz w:val="20"/>
          <w:szCs w:val="20"/>
          <w:color w:val="auto"/>
        </w:rPr>
      </w:pPr>
      <w:r>
        <w:rPr>
          <w:rFonts w:ascii="Times New Roman" w:cs="Times New Roman" w:eastAsia="Times New Roman" w:hAnsi="Times New Roman"/>
          <w:sz w:val="18"/>
          <w:szCs w:val="18"/>
          <w:color w:val="auto"/>
        </w:rPr>
        <w:t>Our vacation ownership product offerings allow us to utilize our real estate inventory efficiently. The majority of our sales are of a points-based product, which permits us to sell vacation ownership products at most of our sales locations, including those where little or no weeks-based inventory remains available for sale. Because we no longer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real estate inventory acquisitions with the pace of sales of vacation ownership products.</w:t>
      </w:r>
    </w:p>
    <w:p>
      <w:pPr>
        <w:spacing w:after="0" w:line="80" w:lineRule="exact"/>
        <w:rPr>
          <w:sz w:val="20"/>
          <w:szCs w:val="20"/>
          <w:color w:val="auto"/>
        </w:rPr>
      </w:pPr>
    </w:p>
    <w:p>
      <w:pPr>
        <w:ind w:right="40" w:firstLine="913"/>
        <w:spacing w:after="0" w:line="261" w:lineRule="auto"/>
        <w:rPr>
          <w:sz w:val="20"/>
          <w:szCs w:val="20"/>
          <w:color w:val="auto"/>
        </w:rPr>
      </w:pPr>
      <w:r>
        <w:rPr>
          <w:rFonts w:ascii="Times New Roman" w:cs="Times New Roman" w:eastAsia="Times New Roman" w:hAnsi="Times New Roman"/>
          <w:sz w:val="18"/>
          <w:szCs w:val="18"/>
          <w:color w:val="auto"/>
        </w:rPr>
        <w:t>We are selectively pursuing growth opportunities in North America and Asia by targeting high-quality inventory that would allow us to add desirable new destinations to our system with new on-site sales locations through transactions that limit our up-front capital investment and allow us to purchase finished inventory closer to the time it is needed for sale. These asset light deals may consist of the development of new inventory, or the conversion of previously built units by third parties, just prior to sale.</w:t>
      </w:r>
    </w:p>
    <w:p>
      <w:pPr>
        <w:spacing w:after="0" w:line="72" w:lineRule="exact"/>
        <w:rPr>
          <w:sz w:val="20"/>
          <w:szCs w:val="20"/>
          <w:color w:val="auto"/>
        </w:rPr>
      </w:pPr>
    </w:p>
    <w:p>
      <w:pPr>
        <w:ind w:right="140" w:firstLine="913"/>
        <w:spacing w:after="0" w:line="282" w:lineRule="auto"/>
        <w:rPr>
          <w:sz w:val="20"/>
          <w:szCs w:val="20"/>
          <w:color w:val="auto"/>
        </w:rPr>
      </w:pPr>
      <w:r>
        <w:rPr>
          <w:rFonts w:ascii="Times New Roman" w:cs="Times New Roman" w:eastAsia="Times New Roman" w:hAnsi="Times New Roman"/>
          <w:sz w:val="18"/>
          <w:szCs w:val="18"/>
          <w:color w:val="auto"/>
        </w:rPr>
        <w:t>We intend for our capital allocation strategy to strike a balance between enhancing our operations and using our capital to provide returns to our shareholders through programs such as share repurchase programs and payment of dividends.</w:t>
      </w:r>
    </w:p>
    <w:p>
      <w:pPr>
        <w:spacing w:after="0" w:line="54" w:lineRule="exact"/>
        <w:rPr>
          <w:sz w:val="20"/>
          <w:szCs w:val="20"/>
          <w:color w:val="auto"/>
        </w:rPr>
      </w:pPr>
    </w:p>
    <w:p>
      <w:pPr>
        <w:ind w:right="580" w:firstLine="913"/>
        <w:spacing w:after="0" w:line="282" w:lineRule="auto"/>
        <w:rPr>
          <w:sz w:val="20"/>
          <w:szCs w:val="20"/>
          <w:color w:val="auto"/>
        </w:rPr>
      </w:pPr>
      <w:r>
        <w:rPr>
          <w:rFonts w:ascii="Times New Roman" w:cs="Times New Roman" w:eastAsia="Times New Roman" w:hAnsi="Times New Roman"/>
          <w:sz w:val="18"/>
          <w:szCs w:val="18"/>
          <w:color w:val="auto"/>
        </w:rPr>
        <w:t>During the twenty-four weeks ended June 19, 2015 we had a net decrease in cash and cash equivalents of $95.6 million compared to a net decrease of $29.7 million during the twenty-four weeks ended June 20, 2014. The following table summarizes these changes:</w:t>
      </w:r>
    </w:p>
    <w:p>
      <w:pPr>
        <w:spacing w:after="0" w:line="61" w:lineRule="exact"/>
        <w:rPr>
          <w:sz w:val="20"/>
          <w:szCs w:val="20"/>
          <w:color w:val="auto"/>
        </w:rPr>
      </w:pPr>
    </w:p>
    <w:tbl>
      <w:tblPr>
        <w:tblLayout w:type="fixed"/>
        <w:tblInd w:w="360" w:type="dxa"/>
        <w:tblCellMar>
          <w:top w:w="0" w:type="dxa"/>
          <w:left w:w="0" w:type="dxa"/>
          <w:bottom w:w="0" w:type="dxa"/>
          <w:right w:w="0" w:type="dxa"/>
        </w:tblCellMar>
      </w:tblPr>
      <w:tr>
        <w:trPr>
          <w:trHeight w:val="173"/>
        </w:trPr>
        <w:tc>
          <w:tcPr>
            <w:tcW w:w="7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60" w:type="dxa"/>
            <w:vAlign w:val="bottom"/>
          </w:tcPr>
          <w:p>
            <w:pPr>
              <w:spacing w:after="0"/>
              <w:rPr>
                <w:sz w:val="15"/>
                <w:szCs w:val="15"/>
                <w:color w:val="auto"/>
              </w:rPr>
            </w:pPr>
          </w:p>
        </w:tc>
        <w:tc>
          <w:tcPr>
            <w:tcW w:w="26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7900" w:type="dxa"/>
            <w:vAlign w:val="bottom"/>
            <w:tcBorders>
              <w:bottom w:val="single" w:sz="8" w:color="CCEEFF"/>
            </w:tcBorders>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provided by (used in):</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78,665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98,162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48,386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74,124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change in exchange rates on cash and cash equivalents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(95,609)</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u w:val="single" w:color="auto"/>
          <w:color w:val="auto"/>
        </w:rPr>
        <w:t>Cash from Operating Activities</w:t>
      </w:r>
    </w:p>
    <w:p>
      <w:pPr>
        <w:spacing w:after="0" w:line="119" w:lineRule="exact"/>
        <w:rPr>
          <w:sz w:val="20"/>
          <w:szCs w:val="20"/>
          <w:color w:val="auto"/>
        </w:rPr>
      </w:pPr>
    </w:p>
    <w:p>
      <w:pPr>
        <w:ind w:right="180" w:firstLine="913"/>
        <w:spacing w:after="0" w:line="261" w:lineRule="auto"/>
        <w:rPr>
          <w:sz w:val="20"/>
          <w:szCs w:val="20"/>
          <w:color w:val="auto"/>
        </w:rPr>
      </w:pPr>
      <w:r>
        <w:rPr>
          <w:rFonts w:ascii="Times New Roman" w:cs="Times New Roman" w:eastAsia="Times New Roman" w:hAnsi="Times New Roman"/>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and (3) net cash generated from our rental and resort management and other services operations. Outflows include spending for the development of new phases of existing resorts, the acquisition of additional inventory and funding our working capital needs.</w:t>
      </w:r>
    </w:p>
    <w:p>
      <w:pPr>
        <w:spacing w:after="0" w:line="72"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compensation-related outflows. In addition, our cash from operations varies due to the timing of our owners’ repayment of vacation ownership notes receivable, the closing of sales contracts for vacation ownership products, financing propensity and cash outlays for real estate inventory acquisition and development.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56" w:lineRule="auto"/>
        <w:rPr>
          <w:sz w:val="20"/>
          <w:szCs w:val="20"/>
          <w:color w:val="auto"/>
        </w:rPr>
      </w:pPr>
      <w:r>
        <w:rPr>
          <w:rFonts w:ascii="Times New Roman" w:cs="Times New Roman" w:eastAsia="Times New Roman" w:hAnsi="Times New Roman"/>
          <w:sz w:val="18"/>
          <w:szCs w:val="18"/>
          <w:color w:val="auto"/>
        </w:rPr>
        <w:t>In the twenty-four weeks ended June 19, 2015, we generated $78.7 million of cash flows from operating activities, compared to $98.2 million in the twenty-four weeks ended June 20, 2014. Excluding the impact of changes in net income and adjustments for non-cash items, the change in cash flows related to cash outlays for an acquisition of an operating hotel in San Diego, California that we intend to convert to vacation ownership interests in the future, timing of payments to property owners’ associations for maintenance fees collected on their behalf, timing of payments for maintenance fees on unsold inventory and lower collections due to the reduction in the portfolio of outstanding vacation ownership notes receivable. These outlays were partially offset by the benefits from payments made in the first quarter of 2014 related to a new accounts payable system and value added taxes paid in France.</w:t>
      </w:r>
    </w:p>
    <w:p>
      <w:pPr>
        <w:spacing w:after="0" w:line="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We recorded $28.4 million of residential contract sales in the twenty-four weeks ended June 19, 2015 associated with the sale of 18 units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Macau.</w:t>
      </w:r>
    </w:p>
    <w:p>
      <w:pPr>
        <w:spacing w:after="0" w:line="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 addition to net income and adjustments for non-cash items, the following operating activities are key drivers of our cash flow from operating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w:t>
      </w:r>
    </w:p>
    <w:p>
      <w:pPr>
        <w:spacing w:after="0" w:line="2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Real Estate Inventory Spending Less Than Cost of Sales</w:t>
      </w:r>
    </w:p>
    <w:p>
      <w:pPr>
        <w:spacing w:after="0" w:line="126" w:lineRule="exact"/>
        <w:rPr>
          <w:sz w:val="20"/>
          <w:szCs w:val="20"/>
          <w:color w:val="auto"/>
        </w:rPr>
      </w:pPr>
    </w:p>
    <w:tbl>
      <w:tblPr>
        <w:tblLayout w:type="fixed"/>
        <w:tblInd w:w="360" w:type="dxa"/>
        <w:tblCellMar>
          <w:top w:w="0" w:type="dxa"/>
          <w:left w:w="0" w:type="dxa"/>
          <w:bottom w:w="0" w:type="dxa"/>
          <w:right w:w="0" w:type="dxa"/>
        </w:tblCellMar>
      </w:tblPr>
      <w:tr>
        <w:trPr>
          <w:trHeight w:val="173"/>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Pr>
          <w:p>
            <w:pPr>
              <w:spacing w:after="0"/>
              <w:rPr>
                <w:sz w:val="15"/>
                <w:szCs w:val="15"/>
                <w:color w:val="auto"/>
              </w:rPr>
            </w:pPr>
          </w:p>
        </w:tc>
        <w:tc>
          <w:tcPr>
            <w:tcW w:w="29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7600" w:type="dxa"/>
            <w:vAlign w:val="bottom"/>
            <w:tcBorders>
              <w:bottom w:val="single" w:sz="8" w:color="CCEEFF"/>
            </w:tcBorders>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inventory spending</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(35,343)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operating hotel for future conversion to inventory</w:t>
            </w:r>
          </w:p>
        </w:tc>
        <w:tc>
          <w:tcPr>
            <w:tcW w:w="200" w:type="dxa"/>
            <w:vAlign w:val="bottom"/>
          </w:tcPr>
          <w:p>
            <w:pPr>
              <w:spacing w:after="0"/>
              <w:rPr>
                <w:sz w:val="18"/>
                <w:szCs w:val="18"/>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(46,614)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inventory costs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105,048</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83,819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Real estate inventory spending less than cost of sales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23,091</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36,017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0" w:firstLine="913"/>
        <w:spacing w:after="0" w:line="313" w:lineRule="auto"/>
        <w:rPr>
          <w:sz w:val="20"/>
          <w:szCs w:val="20"/>
          <w:color w:val="auto"/>
        </w:rPr>
      </w:pPr>
      <w:r>
        <w:rPr>
          <w:rFonts w:ascii="Times New Roman" w:cs="Times New Roman" w:eastAsia="Times New Roman" w:hAnsi="Times New Roman"/>
          <w:sz w:val="17"/>
          <w:szCs w:val="17"/>
          <w:color w:val="auto"/>
        </w:rPr>
        <w:t>We measure our real estate inventory capital efficiency by comparing the cash outflow for real estate inventory spending (a cash item) to the amount of real estate inventory costs charged to expense on our Statements of Income related to sale of vacation ownership products (a non-cash item).</w:t>
      </w:r>
    </w:p>
    <w:p>
      <w:pPr>
        <w:spacing w:after="0" w:line="30" w:lineRule="exact"/>
        <w:rPr>
          <w:sz w:val="20"/>
          <w:szCs w:val="20"/>
          <w:color w:val="auto"/>
        </w:rPr>
      </w:pPr>
    </w:p>
    <w:p>
      <w:pPr>
        <w:ind w:right="80" w:firstLine="913"/>
        <w:spacing w:after="0" w:line="255" w:lineRule="auto"/>
        <w:rPr>
          <w:sz w:val="20"/>
          <w:szCs w:val="20"/>
          <w:color w:val="auto"/>
        </w:rPr>
      </w:pPr>
      <w:r>
        <w:rPr>
          <w:rFonts w:ascii="Times New Roman" w:cs="Times New Roman" w:eastAsia="Times New Roman" w:hAnsi="Times New Roman"/>
          <w:sz w:val="18"/>
          <w:szCs w:val="18"/>
          <w:color w:val="auto"/>
        </w:rPr>
        <w:t>Our real estate inventory spending was less than real estate inventory costs in the twenty-four weeks ended June 19, 2015, as a result of our efforts to optimize the timing of real estate inventory spending. We capitalized on the opportunity to add a premier destination to our portfolio through the acquisition of an operating hotel in San Diego, California that we intend to convert in the near term to vacation ownership interests for future use in our MVCD program. In order to ensure consistency with the expected related future cash flow presentation, $46.6 million of the cash purchase price allocated to property and equipment was included as an operating activity in the Purchase of operating hotel for future conversion to inventory line on the Cash Flows for the twenty-four weeks ended June 19, 2015. See Footnote No. 5, “Acquisitions and Dispositions,” to our Financial Statements for additional information regarding this transaction. Real estate inventory costs for the twenty-four weeks ended June 19, 2015 included $21.6 million related to the sale of the residential units in Macau.</w:t>
      </w:r>
    </w:p>
    <w:p>
      <w:pPr>
        <w:spacing w:after="0" w:line="77" w:lineRule="exact"/>
        <w:rPr>
          <w:sz w:val="20"/>
          <w:szCs w:val="20"/>
          <w:color w:val="auto"/>
        </w:rPr>
      </w:pPr>
    </w:p>
    <w:p>
      <w:pPr>
        <w:ind w:right="680" w:firstLine="913"/>
        <w:spacing w:after="0" w:line="282" w:lineRule="auto"/>
        <w:rPr>
          <w:sz w:val="20"/>
          <w:szCs w:val="20"/>
          <w:color w:val="auto"/>
        </w:rPr>
      </w:pPr>
      <w:r>
        <w:rPr>
          <w:rFonts w:ascii="Times New Roman" w:cs="Times New Roman" w:eastAsia="Times New Roman" w:hAnsi="Times New Roman"/>
          <w:sz w:val="18"/>
          <w:szCs w:val="18"/>
          <w:color w:val="auto"/>
        </w:rPr>
        <w:t>In the twenty-four weeks ended June 20, 2014, real estate inventory spending was less than real estate inventory costs due to the level of completed real estate inventory on hand at that time.</w:t>
      </w:r>
    </w:p>
    <w:p>
      <w:pPr>
        <w:spacing w:after="0" w:line="54" w:lineRule="exact"/>
        <w:rPr>
          <w:sz w:val="20"/>
          <w:szCs w:val="20"/>
          <w:color w:val="auto"/>
        </w:rPr>
      </w:pPr>
    </w:p>
    <w:p>
      <w:pPr>
        <w:ind w:right="200" w:firstLine="913"/>
        <w:spacing w:after="0" w:line="266" w:lineRule="auto"/>
        <w:rPr>
          <w:sz w:val="20"/>
          <w:szCs w:val="20"/>
          <w:color w:val="auto"/>
        </w:rPr>
      </w:pPr>
      <w:r>
        <w:rPr>
          <w:rFonts w:ascii="Times New Roman" w:cs="Times New Roman" w:eastAsia="Times New Roman" w:hAnsi="Times New Roman"/>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w:t>
      </w:r>
    </w:p>
    <w:p>
      <w:pPr>
        <w:spacing w:after="0" w:line="17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Notes Receivable Collections in Excess of New Mortgages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Pr>
          <w:p>
            <w:pPr>
              <w:spacing w:after="0"/>
              <w:rPr>
                <w:sz w:val="15"/>
                <w:szCs w:val="15"/>
                <w:color w:val="auto"/>
              </w:rPr>
            </w:pPr>
          </w:p>
        </w:tc>
        <w:tc>
          <w:tcPr>
            <w:tcW w:w="29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8300" w:type="dxa"/>
            <w:vAlign w:val="bottom"/>
            <w:tcBorders>
              <w:bottom w:val="single" w:sz="8" w:color="CCEEFF"/>
            </w:tcBorders>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 ownership notes receivable collections — non-securitized</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46,914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51,704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Vacation ownership notes receivable collections — securitized</w:t>
            </w:r>
          </w:p>
        </w:tc>
        <w:tc>
          <w:tcPr>
            <w:tcW w:w="220" w:type="dxa"/>
            <w:vAlign w:val="bottom"/>
          </w:tcPr>
          <w:p>
            <w:pPr>
              <w:spacing w:after="0"/>
              <w:rPr>
                <w:sz w:val="18"/>
                <w:szCs w:val="18"/>
                <w:color w:val="auto"/>
              </w:rPr>
            </w:pP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85,483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85,756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 ownership notes receivable originations</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(112,060)</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Vacation ownership notes receivable collections in excess of originations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20,337</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33,552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0" w:firstLine="913"/>
        <w:spacing w:after="0" w:line="282" w:lineRule="auto"/>
        <w:rPr>
          <w:sz w:val="20"/>
          <w:szCs w:val="20"/>
          <w:color w:val="auto"/>
        </w:rPr>
      </w:pPr>
      <w:r>
        <w:rPr>
          <w:rFonts w:ascii="Times New Roman" w:cs="Times New Roman" w:eastAsia="Times New Roman" w:hAnsi="Times New Roman"/>
          <w:sz w:val="18"/>
          <w:szCs w:val="18"/>
          <w:color w:val="auto"/>
        </w:rPr>
        <w:t>Vacation ownership notes receivable collections include principal from non-securitized and securitized vacation ownership notes receivable. Vacation ownership notes receivable collections declined due to the reduction in the portfolio 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outstanding vacation ownership notes receivable. Vacation ownership notes receivable originations in the twenty-four weeks ended June 19, 2015 increased due to higher vacation ownership sales volumes and an increase in financing propensity to 42.7 percent for the twenty-four weeks ended June 19, 2015 compared to 40.8 percent for the twenty-four weeks ended June 20, 2014 due to the addition of new financing incentives. During the twenty-four weeks ended June 19, 2015, and as of June 20, 2014, no securitized vacation ownership notes receivable pools were out of compliance with established performance parameters.</w:t>
      </w:r>
    </w:p>
    <w:p>
      <w:pPr>
        <w:spacing w:after="0" w:line="2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u w:val="single" w:color="auto"/>
          <w:color w:val="auto"/>
        </w:rPr>
        <w:t>Cash from Investing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Pr>
          <w:p>
            <w:pPr>
              <w:spacing w:after="0"/>
              <w:rPr>
                <w:sz w:val="15"/>
                <w:szCs w:val="15"/>
                <w:color w:val="auto"/>
              </w:rPr>
            </w:pPr>
          </w:p>
        </w:tc>
        <w:tc>
          <w:tcPr>
            <w:tcW w:w="29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8300" w:type="dxa"/>
            <w:vAlign w:val="bottom"/>
            <w:tcBorders>
              <w:bottom w:val="single" w:sz="8" w:color="CCEEFF"/>
            </w:tcBorders>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for property and equipment (excluding inventory)</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316"/>
              <w:spacing w:after="0"/>
              <w:rPr>
                <w:sz w:val="20"/>
                <w:szCs w:val="20"/>
                <w:color w:val="auto"/>
              </w:rPr>
            </w:pPr>
            <w:r>
              <w:rPr>
                <w:rFonts w:ascii="Times New Roman" w:cs="Times New Roman" w:eastAsia="Times New Roman" w:hAnsi="Times New Roman"/>
                <w:sz w:val="18"/>
                <w:szCs w:val="18"/>
                <w:color w:val="auto"/>
                <w:w w:val="97"/>
              </w:rPr>
              <w:t>(15,718)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Decrease in restricted cash</w:t>
            </w:r>
          </w:p>
        </w:tc>
        <w:tc>
          <w:tcPr>
            <w:tcW w:w="220" w:type="dxa"/>
            <w:vAlign w:val="bottom"/>
          </w:tcPr>
          <w:p>
            <w:pPr>
              <w:spacing w:after="0"/>
              <w:rPr>
                <w:sz w:val="18"/>
                <w:szCs w:val="18"/>
                <w:color w:val="auto"/>
              </w:rPr>
            </w:pPr>
          </w:p>
        </w:tc>
        <w:tc>
          <w:tcPr>
            <w:tcW w:w="1200" w:type="dxa"/>
            <w:vAlign w:val="bottom"/>
          </w:tcPr>
          <w:p>
            <w:pPr>
              <w:jc w:val="center"/>
              <w:ind w:left="336"/>
              <w:spacing w:after="0"/>
              <w:rPr>
                <w:sz w:val="20"/>
                <w:szCs w:val="20"/>
                <w:color w:val="auto"/>
              </w:rPr>
            </w:pPr>
            <w:r>
              <w:rPr>
                <w:rFonts w:ascii="Times New Roman" w:cs="Times New Roman" w:eastAsia="Times New Roman" w:hAnsi="Times New Roman"/>
                <w:sz w:val="18"/>
                <w:szCs w:val="18"/>
                <w:color w:val="auto"/>
              </w:rPr>
              <w:t>43,758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43,958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 net</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ind w:left="336"/>
              <w:spacing w:after="0"/>
              <w:rPr>
                <w:sz w:val="20"/>
                <w:szCs w:val="20"/>
                <w:color w:val="auto"/>
              </w:rPr>
            </w:pPr>
            <w:r>
              <w:rPr>
                <w:rFonts w:ascii="Times New Roman" w:cs="Times New Roman" w:eastAsia="Times New Roman" w:hAnsi="Times New Roman"/>
                <w:sz w:val="18"/>
                <w:szCs w:val="18"/>
                <w:color w:val="auto"/>
              </w:rPr>
              <w:t>20,346</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33,169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center"/>
              <w:ind w:left="336"/>
              <w:spacing w:after="0"/>
              <w:rPr>
                <w:sz w:val="20"/>
                <w:szCs w:val="20"/>
                <w:color w:val="auto"/>
              </w:rPr>
            </w:pPr>
            <w:r>
              <w:rPr>
                <w:rFonts w:ascii="Times New Roman" w:cs="Times New Roman" w:eastAsia="Times New Roman" w:hAnsi="Times New Roman"/>
                <w:sz w:val="18"/>
                <w:szCs w:val="18"/>
                <w:color w:val="auto"/>
              </w:rPr>
              <w:t>48,386</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74,124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Capital Expenditures for Property and Equipment</w:t>
      </w:r>
    </w:p>
    <w:p>
      <w:pPr>
        <w:spacing w:after="0" w:line="119" w:lineRule="exact"/>
        <w:rPr>
          <w:sz w:val="20"/>
          <w:szCs w:val="20"/>
          <w:color w:val="auto"/>
        </w:rPr>
      </w:pPr>
    </w:p>
    <w:p>
      <w:pPr>
        <w:ind w:right="80" w:firstLine="913"/>
        <w:spacing w:after="0" w:line="282" w:lineRule="auto"/>
        <w:rPr>
          <w:sz w:val="20"/>
          <w:szCs w:val="20"/>
          <w:color w:val="auto"/>
        </w:rPr>
      </w:pPr>
      <w:r>
        <w:rPr>
          <w:rFonts w:ascii="Times New Roman" w:cs="Times New Roman" w:eastAsia="Times New Roman" w:hAnsi="Times New Roman"/>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w:t>
      </w:r>
    </w:p>
    <w:p>
      <w:pPr>
        <w:spacing w:after="0" w:line="54" w:lineRule="exact"/>
        <w:rPr>
          <w:sz w:val="20"/>
          <w:szCs w:val="20"/>
          <w:color w:val="auto"/>
        </w:rPr>
      </w:pPr>
    </w:p>
    <w:p>
      <w:pPr>
        <w:ind w:right="240" w:firstLine="913"/>
        <w:spacing w:after="0" w:line="258" w:lineRule="auto"/>
        <w:rPr>
          <w:sz w:val="20"/>
          <w:szCs w:val="20"/>
          <w:color w:val="auto"/>
        </w:rPr>
      </w:pPr>
      <w:r>
        <w:rPr>
          <w:rFonts w:ascii="Times New Roman" w:cs="Times New Roman" w:eastAsia="Times New Roman" w:hAnsi="Times New Roman"/>
          <w:sz w:val="18"/>
          <w:szCs w:val="18"/>
          <w:color w:val="auto"/>
        </w:rPr>
        <w:t>In the twenty-four weeks ended June 19, 2015, capital expenditures for property and equipment of $15.7 million included $12.1 million to support business operations (including $1.6 million for ancillary and operations assets, $2.8 million for sales locations other than the operating hotel in San Diego, California, and $7.7 million associated with the assets purchased for the operating hotel in San Diego, California), and $3.6 million for technology spending (including $2.3 million for Spin-Off related initiatives). See Footnote No. 5, “Acquisitions and Dispositions,” to our Financial Statements for additional information regarding this transaction.</w:t>
      </w:r>
    </w:p>
    <w:p>
      <w:pPr>
        <w:spacing w:after="0" w:line="76" w:lineRule="exact"/>
        <w:rPr>
          <w:sz w:val="20"/>
          <w:szCs w:val="20"/>
          <w:color w:val="auto"/>
        </w:rPr>
      </w:pPr>
    </w:p>
    <w:p>
      <w:pPr>
        <w:jc w:val="both"/>
        <w:ind w:right="140" w:firstLine="913"/>
        <w:spacing w:after="0" w:line="266" w:lineRule="auto"/>
        <w:rPr>
          <w:sz w:val="20"/>
          <w:szCs w:val="20"/>
          <w:color w:val="auto"/>
        </w:rPr>
      </w:pPr>
      <w:r>
        <w:rPr>
          <w:rFonts w:ascii="Times New Roman" w:cs="Times New Roman" w:eastAsia="Times New Roman" w:hAnsi="Times New Roman"/>
          <w:sz w:val="18"/>
          <w:szCs w:val="18"/>
          <w:color w:val="auto"/>
        </w:rPr>
        <w:t>In the twenty-four weeks ended June 20, 2014, capital expenditures for property and equipment of $3.0 million included $2.3 million to support business operations (including $1.8 million for ancillary and operations assets and $0.5 million for sales locations) and $0.7 million for technology spending (including $0.4 million for Spin-Off related initiatives).</w:t>
      </w:r>
    </w:p>
    <w:p>
      <w:pPr>
        <w:spacing w:after="0" w:line="28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Decrease in Restricted Cash</w:t>
      </w:r>
    </w:p>
    <w:p>
      <w:pPr>
        <w:spacing w:after="0" w:line="119" w:lineRule="exact"/>
        <w:rPr>
          <w:sz w:val="20"/>
          <w:szCs w:val="20"/>
          <w:color w:val="auto"/>
        </w:rPr>
      </w:pPr>
    </w:p>
    <w:p>
      <w:pPr>
        <w:ind w:right="160" w:firstLine="913"/>
        <w:spacing w:after="0" w:line="261" w:lineRule="auto"/>
        <w:rPr>
          <w:sz w:val="20"/>
          <w:szCs w:val="20"/>
          <w:color w:val="auto"/>
        </w:rPr>
      </w:pPr>
      <w:r>
        <w:rPr>
          <w:rFonts w:ascii="Times New Roman" w:cs="Times New Roman" w:eastAsia="Times New Roman" w:hAnsi="Times New Roman"/>
          <w:sz w:val="18"/>
          <w:szCs w:val="18"/>
          <w:color w:val="auto"/>
        </w:rPr>
        <w:t>Restricted cash primarily consists of cash held in reserve accounts related to vacation ownership notes receivable securitizations, cash collected for maintenance fees to be remitted to property owners’ associations and deposits received, primarily associated with tour package sales and vacation ownership product sales that are held in escrow until the associated contract has closed or the period in which it can be rescinded has expired, depending on applicable legal requirements.</w:t>
      </w:r>
    </w:p>
    <w:p>
      <w:pPr>
        <w:spacing w:after="0" w:line="72"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The decrease in restricted cash in the twenty-four weeks ended June 19, 2015 reflected $49.6 million of higher cash distributions for maintenance fees remitted to certain property owners’ associations subsequent to the end of 2014, partially offset by a $3.4 million increase in cash associated with vacation ownership sales held in escrow and $2.4 million increase in cash that was collected for distribution to investors in connection with securitized vacation ownership notes receivable.</w:t>
      </w:r>
    </w:p>
    <w:p>
      <w:pPr>
        <w:spacing w:after="0" w:line="72"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The decrease in restricted cash in the twenty-four weeks ended June 20, 2014 reflected $33.2 million of cash distributions for maintenance fees remitted to certain property owners’ associations subsequent to the end of 2013 and $13.8 million of cash distributions in connection with securitized vacation ownership notes receivable that was distributed to investors subsequent to the end of 2013, partially offset by a $2.4 million increase in cash related to vacation ownership sales that are held in escrow, and a $0.7 million increase in funds required to be held in escrow to guarantee our credit card business in the Asia Pacific segment.</w:t>
      </w:r>
    </w:p>
    <w:p>
      <w:pPr>
        <w:spacing w:after="0" w:line="18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19"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Dispositions in the twenty-four weeks ended June 19, 2015 related to the sale of undeveloped land in Kauai, Hawaii for $19.5 million, two lots in St. Thomas, U.S. Virgin Islands for $0.4 million and an operations facility in Hilton Head, South Carolina for $0.4 million. Dispositions in the twenty-four weeks ended June 20, 2014 related to the sale of an operating golf course and adjacent undeveloped land in Orlando, Florida for $21.9 million, the sale of undeveloped land on Singer Island, Florida for $10.1 million, a lot in St. Thomas, U.S. Virgin Islands for $0.4 million, lots in Abaco, Bahamas for $0.3 million and undeveloped land in Seaview, New Jersey for $0.2 million.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u w:val="single" w:color="auto"/>
          <w:color w:val="auto"/>
        </w:rPr>
        <w:t>Cash from Financing Activities</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7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Pr>
          <w:p>
            <w:pPr>
              <w:spacing w:after="0"/>
              <w:rPr>
                <w:sz w:val="15"/>
                <w:szCs w:val="15"/>
                <w:color w:val="auto"/>
              </w:rPr>
            </w:pPr>
          </w:p>
        </w:tc>
        <w:tc>
          <w:tcPr>
            <w:tcW w:w="29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7400" w:type="dxa"/>
            <w:vAlign w:val="bottom"/>
            <w:tcBorders>
              <w:bottom w:val="single" w:sz="8" w:color="CCEEFF"/>
            </w:tcBorders>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June 19, 2015</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June 20, 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from securitization transactions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debt related to securitizations</w:t>
            </w:r>
          </w:p>
        </w:tc>
        <w:tc>
          <w:tcPr>
            <w:tcW w:w="200" w:type="dxa"/>
            <w:vAlign w:val="bottom"/>
          </w:tcPr>
          <w:p>
            <w:pPr>
              <w:spacing w:after="0"/>
              <w:rPr>
                <w:sz w:val="18"/>
                <w:szCs w:val="18"/>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(143,374)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vacation ownership inventory arrangement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5,375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00" w:type="dxa"/>
            <w:vAlign w:val="bottom"/>
          </w:tcPr>
          <w:p>
            <w:pPr>
              <w:spacing w:after="0"/>
              <w:rPr>
                <w:sz w:val="18"/>
                <w:szCs w:val="18"/>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(66,237)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Payment of dividends</w:t>
            </w:r>
          </w:p>
        </w:tc>
        <w:tc>
          <w:tcPr>
            <w:tcW w:w="200" w:type="dxa"/>
            <w:vAlign w:val="bottom"/>
          </w:tcPr>
          <w:p>
            <w:pPr>
              <w:spacing w:after="0"/>
              <w:rPr>
                <w:sz w:val="18"/>
                <w:szCs w:val="18"/>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(8,085)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Payment of withholding taxes on vesting of restricted stock units</w:t>
            </w:r>
          </w:p>
        </w:tc>
        <w:tc>
          <w:tcPr>
            <w:tcW w:w="200" w:type="dxa"/>
            <w:vAlign w:val="bottom"/>
          </w:tcPr>
          <w:p>
            <w:pPr>
              <w:spacing w:after="0"/>
              <w:rPr>
                <w:sz w:val="18"/>
                <w:szCs w:val="18"/>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(9,353)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(221,503)</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Warehouse Credit Facility</w:t>
      </w:r>
    </w:p>
    <w:p>
      <w:pPr>
        <w:spacing w:after="0" w:line="119" w:lineRule="exact"/>
        <w:rPr>
          <w:sz w:val="20"/>
          <w:szCs w:val="20"/>
          <w:color w:val="auto"/>
        </w:rPr>
      </w:pPr>
    </w:p>
    <w:p>
      <w:pPr>
        <w:ind w:right="480" w:firstLine="913"/>
        <w:spacing w:after="0" w:line="282" w:lineRule="auto"/>
        <w:rPr>
          <w:sz w:val="20"/>
          <w:szCs w:val="20"/>
          <w:color w:val="auto"/>
        </w:rPr>
      </w:pPr>
      <w:r>
        <w:rPr>
          <w:rFonts w:ascii="Times New Roman" w:cs="Times New Roman" w:eastAsia="Times New Roman" w:hAnsi="Times New Roman"/>
          <w:sz w:val="18"/>
          <w:szCs w:val="18"/>
          <w:color w:val="auto"/>
        </w:rPr>
        <w:t>At June 19, 2015, no amounts were outstanding under the Warehouse Credit Facility and $206.6 million of gross vacation ownership notes receivable were eligible for securitization.</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Borrowings from / Repayments of Debt Related to Securitization Transactions</w:t>
      </w:r>
    </w:p>
    <w:p>
      <w:pPr>
        <w:spacing w:after="0" w:line="119" w:lineRule="exact"/>
        <w:rPr>
          <w:sz w:val="20"/>
          <w:szCs w:val="20"/>
          <w:color w:val="auto"/>
        </w:rPr>
      </w:pPr>
    </w:p>
    <w:p>
      <w:pPr>
        <w:ind w:right="300" w:firstLine="913"/>
        <w:spacing w:after="0" w:line="261" w:lineRule="auto"/>
        <w:rPr>
          <w:sz w:val="20"/>
          <w:szCs w:val="20"/>
          <w:color w:val="auto"/>
        </w:rPr>
      </w:pPr>
      <w:r>
        <w:rPr>
          <w:rFonts w:ascii="Times New Roman" w:cs="Times New Roman" w:eastAsia="Times New Roman" w:hAnsi="Times New Roman"/>
          <w:sz w:val="18"/>
          <w:szCs w:val="18"/>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w:t>
      </w:r>
    </w:p>
    <w:p>
      <w:pPr>
        <w:spacing w:after="0" w:line="72" w:lineRule="exact"/>
        <w:rPr>
          <w:sz w:val="20"/>
          <w:szCs w:val="20"/>
          <w:color w:val="auto"/>
        </w:rPr>
      </w:pPr>
    </w:p>
    <w:p>
      <w:pPr>
        <w:jc w:val="both"/>
        <w:ind w:right="100" w:firstLine="913"/>
        <w:spacing w:after="0" w:line="266" w:lineRule="auto"/>
        <w:rPr>
          <w:sz w:val="20"/>
          <w:szCs w:val="20"/>
          <w:color w:val="auto"/>
        </w:rPr>
      </w:pPr>
      <w:r>
        <w:rPr>
          <w:rFonts w:ascii="Times New Roman" w:cs="Times New Roman" w:eastAsia="Times New Roman" w:hAnsi="Times New Roman"/>
          <w:sz w:val="18"/>
          <w:szCs w:val="18"/>
          <w:color w:val="auto"/>
        </w:rPr>
        <w:t>Repayments on the non-recourse debt associated with our vacation ownership notes receivable securitizations totaled $143.4 million (including $54.0 million for voluntary retirement clean-up calls) and $131.0 million (including $26.7 million for voluntary retirement clean-up calls) in the twenty-four weeks ended June 19, 2015 and June 20, 2014, respectively.</w:t>
      </w:r>
    </w:p>
    <w:p>
      <w:pPr>
        <w:spacing w:after="0" w:line="68" w:lineRule="exact"/>
        <w:rPr>
          <w:sz w:val="20"/>
          <w:szCs w:val="20"/>
          <w:color w:val="auto"/>
        </w:rPr>
      </w:pPr>
    </w:p>
    <w:p>
      <w:pPr>
        <w:ind w:firstLine="546"/>
        <w:spacing w:after="0" w:line="256" w:lineRule="auto"/>
        <w:rPr>
          <w:sz w:val="20"/>
          <w:szCs w:val="20"/>
          <w:color w:val="auto"/>
        </w:rPr>
      </w:pPr>
      <w:r>
        <w:rPr>
          <w:rFonts w:ascii="Times New Roman" w:cs="Times New Roman" w:eastAsia="Times New Roman" w:hAnsi="Times New Roman"/>
          <w:sz w:val="18"/>
          <w:szCs w:val="18"/>
          <w:color w:val="auto"/>
        </w:rPr>
        <w:t>In the twenty-four weeks ended June 20, 2014, we completed the securitization of a pool of $23.6 million primarily highly-seasoned vacation ownership notes receivable that we previously classified as not being eligible for securitization. In connection with the securitization, investors purchased in a private placement $22.6 million in vacation ownership loan backed notes from the Kyuka Owner Trust 2014-A with an interest rate of 6.25 percent. The securitized loans previously were classified as not eligible for securitization using criteria applicable to then current securitization transactions in the ABS market because they did not meet certain representation criteria required in such securitizations, or because of other factors that may have reflected investor demand in a securitization transaction.</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Proceeds from Vacation Ownership Inventory Arrangement</w:t>
      </w:r>
    </w:p>
    <w:p>
      <w:pPr>
        <w:spacing w:after="0" w:line="119"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In connection with our initiative of pursuing growth opportunities in ways that optimize the timing of our capital investments, including working with third-party partners to develop new inventory or convert previously built units to be sold to us close to when we need such inventory for sale, we sold real property located in Marco Island, Florida during the first quarter of 2015 to a third-party developer. Pursuant to this transaction, we are obligated to repurchase the completed property from the developer contingent upon the property meeting our brand standards and provided that the third-party developer has not sold the property to another party. As discussed in Footnote No. 5, “Acquisitions and Dispositions,” to our Financial Statements, we received cash proceeds of $5.4 million upon the sale of this real property. In accordance with the authoritative guidance on accounting for sales of real estate, our conditional obligation to repurchase the property constitutes continuing involvement and thus we were unable to account for this transaction as a sale, and as such have recorded these proceeds as a financing activity.</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80"/>
          </w:cols>
          <w:pgMar w:left="240" w:top="455" w:right="27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right="60" w:firstLine="913"/>
        <w:spacing w:after="0" w:line="266" w:lineRule="auto"/>
        <w:rPr>
          <w:sz w:val="20"/>
          <w:szCs w:val="20"/>
          <w:color w:val="auto"/>
        </w:rPr>
      </w:pPr>
      <w:r>
        <w:rPr>
          <w:rFonts w:ascii="Times New Roman" w:cs="Times New Roman" w:eastAsia="Times New Roman" w:hAnsi="Times New Roman"/>
          <w:sz w:val="18"/>
          <w:szCs w:val="18"/>
          <w:color w:val="auto"/>
        </w:rPr>
        <w:t>During the twenty-four weeks ended June 19, 2015, we repurchased 817,726 shares of our common stock at an average price of $81.00 per share for a total of $66.2 million (including $30.0 million under an accelerated share repurchase program pursuant to which we repurchased 370,065 shares). See Footnote No. 11, “Shareholders’ Equity,” to our Financial Statements for further information related to our share repurchase program.</w:t>
      </w:r>
    </w:p>
    <w:p>
      <w:pPr>
        <w:spacing w:after="0" w:line="2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40" w:firstLine="913"/>
        <w:spacing w:after="0" w:line="261" w:lineRule="auto"/>
        <w:rPr>
          <w:sz w:val="20"/>
          <w:szCs w:val="20"/>
          <w:color w:val="auto"/>
        </w:rPr>
      </w:pPr>
      <w:r>
        <w:rPr>
          <w:rFonts w:ascii="Times New Roman" w:cs="Times New Roman" w:eastAsia="Times New Roman" w:hAnsi="Times New Roman"/>
          <w:sz w:val="18"/>
          <w:szCs w:val="18"/>
          <w:color w:val="auto"/>
        </w:rPr>
        <w:t>On February 12, 2015, our Board of Directors declared a quarterly dividend of $0.25 per share to shareholders of record as of February 26, 2015, which we paid on March 11, 2015. On June 4, 2015, our Board of Directors declared a quarterly dividend of $0.25 per share to shareholders of record as of June 18, 2015, which we paid on July 2, 2015. Any future dividend payments will be subject to Board approval, and there can be no assurance that we will pay dividends in the future.</w:t>
      </w:r>
    </w:p>
    <w:p>
      <w:pPr>
        <w:spacing w:after="0" w:line="2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Contractual Obligations and Off-Balance Sheet Arrangements</w:t>
      </w:r>
    </w:p>
    <w:p>
      <w:pPr>
        <w:spacing w:after="0" w:line="119" w:lineRule="exact"/>
        <w:rPr>
          <w:sz w:val="20"/>
          <w:szCs w:val="20"/>
          <w:color w:val="auto"/>
        </w:rPr>
      </w:pPr>
    </w:p>
    <w:p>
      <w:pPr>
        <w:ind w:right="140" w:firstLine="913"/>
        <w:spacing w:after="0" w:line="255" w:lineRule="auto"/>
        <w:rPr>
          <w:sz w:val="20"/>
          <w:szCs w:val="20"/>
          <w:color w:val="auto"/>
        </w:rPr>
      </w:pPr>
      <w:r>
        <w:rPr>
          <w:rFonts w:ascii="Times New Roman" w:cs="Times New Roman" w:eastAsia="Times New Roman" w:hAnsi="Times New Roman"/>
          <w:sz w:val="18"/>
          <w:szCs w:val="18"/>
          <w:color w:val="auto"/>
        </w:rPr>
        <w:t>There have been no significant changes to our “Contractual Obligations and Off-Balance Sheet Arrangements” as reported in “Management’s Discussion and Analysis of Financial Condition and Results of Operations,” in our Annual Report on Form 10-K for the year ended January 2, 2015, other than those discussed below. As of June 19, 2015, debt, net decreased by $141.9 million to $561.1 million compared to $703.0 million at January 2, 2015, of which $143.4 million related to a decrease in non-recourse gross debt associated with vacation ownership notes receivable securitizations, partially offset by $1.4 million of debt issuance cost amortization. As of June 19, 2015, future debt payments to be paid out of collections from our vacation ownership notes receivable, including principal and interest, totaled $631.0 million and are due as follows: $55.9 million in 2015; $89.9 million in 2016; $82.2 million in 2017; $75.6 million in 2018; $73.5 million in 2019; and $253.9 million thereafter.</w:t>
      </w:r>
    </w:p>
    <w:p>
      <w:pPr>
        <w:spacing w:after="0" w:line="81" w:lineRule="exact"/>
        <w:rPr>
          <w:sz w:val="20"/>
          <w:szCs w:val="20"/>
          <w:color w:val="auto"/>
        </w:rPr>
      </w:pPr>
    </w:p>
    <w:p>
      <w:pPr>
        <w:jc w:val="both"/>
        <w:ind w:right="120" w:firstLine="913"/>
        <w:spacing w:after="0" w:line="266" w:lineRule="auto"/>
        <w:rPr>
          <w:sz w:val="20"/>
          <w:szCs w:val="20"/>
          <w:color w:val="auto"/>
        </w:rPr>
      </w:pPr>
      <w:r>
        <w:rPr>
          <w:rFonts w:ascii="Times New Roman" w:cs="Times New Roman" w:eastAsia="Times New Roman" w:hAnsi="Times New Roman"/>
          <w:sz w:val="18"/>
          <w:szCs w:val="18"/>
          <w:color w:val="auto"/>
        </w:rPr>
        <w:t>We have a commitment of AUD $84.5 million ($65.8 million) to purchase an operating hotel located in Surfers Paradise, Australia, discussed in Footnote No. 5, “Acquisitions and Dispositions,” to our Financial Statements. We made a deposit of AUD $8.5 million ($6.5 million) in connection with this commitment during the second quarter of 2015 and we expect to pay the remaining AUD $76.0 million ($59.3 million) in the third quarter of 2015.</w:t>
      </w:r>
    </w:p>
    <w:p>
      <w:pPr>
        <w:spacing w:after="0" w:line="68" w:lineRule="exact"/>
        <w:rPr>
          <w:sz w:val="20"/>
          <w:szCs w:val="20"/>
          <w:color w:val="auto"/>
        </w:rPr>
      </w:pPr>
    </w:p>
    <w:p>
      <w:pPr>
        <w:jc w:val="both"/>
        <w:ind w:right="200" w:firstLine="913"/>
        <w:spacing w:after="0" w:line="266" w:lineRule="auto"/>
        <w:rPr>
          <w:sz w:val="20"/>
          <w:szCs w:val="20"/>
          <w:color w:val="auto"/>
        </w:rPr>
      </w:pPr>
      <w:r>
        <w:rPr>
          <w:rFonts w:ascii="Times New Roman" w:cs="Times New Roman" w:eastAsia="Times New Roman" w:hAnsi="Times New Roman"/>
          <w:sz w:val="18"/>
          <w:szCs w:val="18"/>
          <w:color w:val="auto"/>
        </w:rPr>
        <w:t>We have a commitment of $137.1 million to purchase vacation ownership units located in Marco Island, Florida, discussed in Footnote No. 5, “Acquisitions and Dispositions,” to our Financial Statements, of which we expect $33.3 million, $50.0 million and $53.8 million will be paid in 2017, 2018 and 2019, respectively.</w:t>
      </w:r>
    </w:p>
    <w:p>
      <w:pPr>
        <w:spacing w:after="0" w:line="68"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We have historically issued guarantees to certain lenders in connection with the provision of third-party financing for our sales of vacation ownership products. The terms of these guarantees generally require us to fund if the purchaser fails to pay under the terms of its note payable. We are entitled to recover any payments we make to third-party lenders under these guarantees through reacquisition and resale of the vacation ownership product. Our commitments under these guarantees expire as the underlying notes mature or are repaid. Our maximum exposure under such guarantees as of June 19, 2015 in the Asia Pacific and North America segments was $6.8 million and $2.8 million, respectively. The terms of the underlying debt to third-party lenders extend to 2022.</w:t>
      </w:r>
    </w:p>
    <w:p>
      <w:pPr>
        <w:spacing w:after="0" w:line="80" w:lineRule="exact"/>
        <w:rPr>
          <w:sz w:val="20"/>
          <w:szCs w:val="20"/>
          <w:color w:val="auto"/>
        </w:rPr>
      </w:pPr>
    </w:p>
    <w:p>
      <w:pPr>
        <w:ind w:right="240" w:firstLine="913"/>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these guarantees and the circumstances under which they were entered into, see the “Guarantees” caption within Footnote No. 8, “Contingencies and Commitments,” to our Financial Statements.</w:t>
      </w:r>
    </w:p>
    <w:p>
      <w:pPr>
        <w:spacing w:after="0" w:line="54" w:lineRule="exact"/>
        <w:rPr>
          <w:sz w:val="20"/>
          <w:szCs w:val="20"/>
          <w:color w:val="auto"/>
        </w:rPr>
      </w:pPr>
    </w:p>
    <w:p>
      <w:pPr>
        <w:ind w:right="100" w:firstLine="913"/>
        <w:spacing w:after="0" w:line="266" w:lineRule="auto"/>
        <w:rPr>
          <w:sz w:val="20"/>
          <w:szCs w:val="20"/>
          <w:color w:val="auto"/>
        </w:rPr>
      </w:pPr>
      <w:r>
        <w:rPr>
          <w:rFonts w:ascii="Times New Roman" w:cs="Times New Roman" w:eastAsia="Times New Roman" w:hAnsi="Times New Roman"/>
          <w:sz w:val="18"/>
          <w:szCs w:val="18"/>
          <w:color w:val="auto"/>
        </w:rPr>
        <w:t>In the normal course of our resort management business, we enter into purchase commitments with property owners’ associations to manage the daily operating needs of our resorts. Since we are reimbursed for these commitments from the cash flows of the resorts, these obligations have minimal impact on our net income and cash flow.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60" w:firstLine="913"/>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consolidated results of operations or financial condition.</w:t>
      </w:r>
    </w:p>
    <w:p>
      <w:pPr>
        <w:spacing w:after="0" w:line="72" w:lineRule="exact"/>
        <w:rPr>
          <w:sz w:val="20"/>
          <w:szCs w:val="20"/>
          <w:color w:val="auto"/>
        </w:rPr>
      </w:pPr>
    </w:p>
    <w:p>
      <w:pPr>
        <w:ind w:right="80" w:firstLine="913"/>
        <w:spacing w:after="0" w:line="266" w:lineRule="auto"/>
        <w:rPr>
          <w:sz w:val="20"/>
          <w:szCs w:val="20"/>
          <w:color w:val="auto"/>
        </w:rPr>
      </w:pPr>
      <w:r>
        <w:rPr>
          <w:rFonts w:ascii="Times New Roman" w:cs="Times New Roman" w:eastAsia="Times New Roman" w:hAnsi="Times New Roman"/>
          <w:sz w:val="18"/>
          <w:szCs w:val="18"/>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financial position or results of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operations. We have discussed those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3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Our exposure to market risk has not changed materially from that disclosed in our Annual Report on Form 10-K for the year ended January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w:t>
      </w:r>
    </w:p>
    <w:p>
      <w:pPr>
        <w:spacing w:after="0" w:line="35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19"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29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340" w:firstLine="913"/>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Currently, and from time to time, we are subject to claims in legal proceedings arising in the normal course of business, including, among others, the legal actions discussed in Footnote No. 8,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3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280" w:firstLine="913"/>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Part I, Item 1A of our Annual Report on Form 10-K for the fiscal year ended January 2, 2015.</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80"/>
          </w:cols>
          <w:pgMar w:left="240" w:top="455" w:right="2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57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80" w:type="dxa"/>
            <w:vAlign w:val="bottom"/>
          </w:tcPr>
          <w:p>
            <w:pPr>
              <w:spacing w:after="0"/>
              <w:rPr>
                <w:sz w:val="12"/>
                <w:szCs w:val="12"/>
                <w:color w:val="auto"/>
              </w:rPr>
            </w:pPr>
          </w:p>
        </w:tc>
        <w:tc>
          <w:tcPr>
            <w:tcW w:w="9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60" w:type="dxa"/>
            <w:vAlign w:val="bottom"/>
          </w:tcPr>
          <w:p>
            <w:pPr>
              <w:spacing w:after="0"/>
              <w:rPr>
                <w:sz w:val="12"/>
                <w:szCs w:val="12"/>
                <w:color w:val="auto"/>
              </w:rPr>
            </w:pPr>
          </w:p>
        </w:tc>
        <w:tc>
          <w:tcPr>
            <w:tcW w:w="14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60" w:type="dxa"/>
            <w:vAlign w:val="bottom"/>
          </w:tcPr>
          <w:p>
            <w:pPr>
              <w:spacing w:after="0"/>
              <w:rPr>
                <w:sz w:val="12"/>
                <w:szCs w:val="12"/>
                <w:color w:val="auto"/>
              </w:rPr>
            </w:pPr>
          </w:p>
        </w:tc>
        <w:tc>
          <w:tcPr>
            <w:tcW w:w="14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9"/>
        </w:trPr>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60" w:type="dxa"/>
            <w:vAlign w:val="bottom"/>
          </w:tcPr>
          <w:p>
            <w:pPr>
              <w:spacing w:after="0"/>
              <w:rPr>
                <w:sz w:val="12"/>
                <w:szCs w:val="12"/>
                <w:color w:val="auto"/>
              </w:rPr>
            </w:pPr>
          </w:p>
        </w:tc>
        <w:tc>
          <w:tcPr>
            <w:tcW w:w="14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740" w:type="dxa"/>
            <w:vAlign w:val="bottom"/>
            <w:gridSpan w:val="2"/>
            <w:vMerge w:val="continue"/>
          </w:tcPr>
          <w:p>
            <w:pPr>
              <w:spacing w:after="0"/>
              <w:rPr>
                <w:sz w:val="15"/>
                <w:szCs w:val="15"/>
                <w:color w:val="auto"/>
              </w:rPr>
            </w:pPr>
          </w:p>
        </w:tc>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15"/>
                <w:szCs w:val="15"/>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12"/>
                <w:szCs w:val="12"/>
                <w:b w:val="1"/>
                <w:bCs w:val="1"/>
                <w:color w:val="auto"/>
              </w:rPr>
              <w:t>(1)</w:t>
            </w:r>
          </w:p>
        </w:tc>
        <w:tc>
          <w:tcPr>
            <w:tcW w:w="26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28, 2015 – April 24, 2015</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2,297,742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25, 2015 – May 22, 2015</w:t>
            </w: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4,000</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260" w:type="dxa"/>
            <w:vAlign w:val="bottom"/>
          </w:tcPr>
          <w:p>
            <w:pPr>
              <w:spacing w:after="0"/>
              <w:rPr>
                <w:sz w:val="18"/>
                <w:szCs w:val="18"/>
                <w:color w:val="auto"/>
              </w:rPr>
            </w:pPr>
          </w:p>
        </w:tc>
        <w:tc>
          <w:tcPr>
            <w:tcW w:w="110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4,000</w:t>
            </w:r>
          </w:p>
        </w:tc>
        <w:tc>
          <w:tcPr>
            <w:tcW w:w="15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2,293,742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25, 2015 – May 22, 2015</w:t>
            </w:r>
            <w:r>
              <w:rPr>
                <w:rFonts w:ascii="Times New Roman" w:cs="Times New Roman" w:eastAsia="Times New Roman" w:hAnsi="Times New Roman"/>
                <w:sz w:val="15"/>
                <w:szCs w:val="15"/>
                <w:color w:val="auto"/>
              </w:rPr>
              <w:t>(2)</w:t>
            </w:r>
          </w:p>
        </w:tc>
        <w:tc>
          <w:tcPr>
            <w:tcW w:w="9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42,283</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42,283</w:t>
            </w:r>
          </w:p>
        </w:tc>
        <w:tc>
          <w:tcPr>
            <w:tcW w:w="156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2,251,459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23, 2015 – June 19, 2015</w:t>
            </w:r>
          </w:p>
        </w:tc>
        <w:tc>
          <w:tcPr>
            <w:tcW w:w="9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rPr>
              <w:t>165,910</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260" w:type="dxa"/>
            <w:vAlign w:val="bottom"/>
          </w:tcPr>
          <w:p>
            <w:pPr>
              <w:spacing w:after="0"/>
              <w:rPr>
                <w:sz w:val="18"/>
                <w:szCs w:val="18"/>
                <w:color w:val="auto"/>
              </w:rPr>
            </w:pPr>
          </w:p>
        </w:tc>
        <w:tc>
          <w:tcPr>
            <w:tcW w:w="11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8"/>
                <w:szCs w:val="18"/>
                <w:color w:val="auto"/>
              </w:rPr>
              <w:t>165,910</w:t>
            </w:r>
          </w:p>
        </w:tc>
        <w:tc>
          <w:tcPr>
            <w:tcW w:w="15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2,085,549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20" w:type="dxa"/>
            <w:vAlign w:val="bottom"/>
          </w:tcPr>
          <w:p>
            <w:pPr>
              <w:spacing w:after="0"/>
              <w:rPr>
                <w:sz w:val="6"/>
                <w:szCs w:val="6"/>
                <w:color w:val="auto"/>
              </w:rPr>
            </w:pPr>
          </w:p>
        </w:tc>
        <w:tc>
          <w:tcPr>
            <w:tcW w:w="5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212,193</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84.06</w:t>
            </w:r>
          </w:p>
        </w:tc>
        <w:tc>
          <w:tcPr>
            <w:tcW w:w="2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212,193</w:t>
            </w:r>
          </w:p>
        </w:tc>
        <w:tc>
          <w:tcPr>
            <w:tcW w:w="156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2,085,549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890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32" w:lineRule="exact"/>
        <w:rPr>
          <w:sz w:val="20"/>
          <w:szCs w:val="20"/>
          <w:color w:val="auto"/>
        </w:rPr>
      </w:pPr>
    </w:p>
    <w:p>
      <w:pPr>
        <w:jc w:val="both"/>
        <w:ind w:left="460" w:right="140" w:hanging="452"/>
        <w:spacing w:after="0" w:line="266" w:lineRule="auto"/>
        <w:tabs>
          <w:tab w:leader="none" w:pos="4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On October 14, 2014, our Board of Directors approved the repurchase of up to an additional 3,400,000 shares of our common stock under our existing share repurchase program and extended the termination date of the program to March 26, 2016. Prior to that authorization, our Board of Directors had authorized the repurchase of up to 3,500,000 shares of our common stock prior to March 28, 2015 under the share repurchase program.</w:t>
      </w:r>
    </w:p>
    <w:p>
      <w:pPr>
        <w:ind w:left="460" w:right="20" w:hanging="452"/>
        <w:spacing w:after="0" w:line="256" w:lineRule="auto"/>
        <w:tabs>
          <w:tab w:leader="none" w:pos="4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 March 2015, pursuant to our existing share repurchase program, we entered into an accelerated share repurchase agreement (“ASR”) with a financial institution to repurchase shares of our common stock. Under the agreement, we paid $30.0 million and received an initial delivery of 327,782 shares of common stock on March 20, 2015. On May 21, 2015, we received delivery of 42,283 shares of common stock, which comprised all additional shares to be delivered pursuant to the ASR. Because we accounted for the ASR as two separate transactions, a purchase of treasury stock and a forward contract indexed to our common stock, we recorded $27.1 million as the purchase price for the 327,782 shares received on March 20, 2015 and $2.9 million as the purchase price for the 42,283 shares received on May 21, 2015.</w:t>
      </w:r>
    </w:p>
    <w:p>
      <w:pPr>
        <w:spacing w:after="0" w:line="3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right="80" w:firstLine="913"/>
        <w:spacing w:after="0" w:line="282" w:lineRule="auto"/>
        <w:rPr>
          <w:sz w:val="20"/>
          <w:szCs w:val="20"/>
          <w:color w:val="auto"/>
        </w:rPr>
      </w:pPr>
      <w:r>
        <w:rPr>
          <w:rFonts w:ascii="Times New Roman" w:cs="Times New Roman" w:eastAsia="Times New Roman" w:hAnsi="Times New Roman"/>
          <w:sz w:val="18"/>
          <w:szCs w:val="18"/>
          <w:color w:val="auto"/>
        </w:rPr>
        <w:t>Exhibits filed or furnished as a part of this Quarterly Report on Form 10-Q are listed on the Index to Exhibits on page E-1, which is incorporated by reference herein.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MARRIOTT VACATIONS WORLDWIDE CORPORATION</w:t>
      </w:r>
    </w:p>
    <w:p>
      <w:pPr>
        <w:spacing w:after="0" w:line="225"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July 23, 2015</w:t>
      </w:r>
      <w:r>
        <w:rPr>
          <w:sz w:val="20"/>
          <w:szCs w:val="20"/>
          <w:color w:val="auto"/>
        </w:rPr>
        <w:tab/>
      </w:r>
      <w:r>
        <w:rPr>
          <w:rFonts w:ascii="Times New Roman" w:cs="Times New Roman" w:eastAsia="Times New Roman" w:hAnsi="Times New Roman"/>
          <w:sz w:val="17"/>
          <w:szCs w:val="17"/>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17145</wp:posOffset>
            </wp:positionV>
            <wp:extent cx="34734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Stephen P. Weisz</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17145</wp:posOffset>
            </wp:positionV>
            <wp:extent cx="34734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John E. Geller, Jr.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00"/>
          </w:cols>
          <w:pgMar w:left="24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INDEX TO EXHIBITS</w:t>
      </w:r>
    </w:p>
    <w:p>
      <w:pPr>
        <w:sectPr>
          <w:pgSz w:w="11900" w:h="16838" w:orient="portrait"/>
          <w:cols w:equalWidth="0" w:num="1">
            <w:col w:w="11320"/>
          </w:cols>
          <w:pgMar w:left="240" w:top="455" w:right="339" w:bottom="1440" w:gutter="0" w:footer="0" w:header="0"/>
        </w:sectPr>
      </w:pPr>
    </w:p>
    <w:p>
      <w:pPr>
        <w:spacing w:after="0" w:line="261"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800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66465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9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Restated Certificate of Incorporation of Marriott Vacations Worldwide Corporation, incorporated by reference to Exhibit 3.1 of our Current Report on Form 8-K filed on November 22, 2011.</w:t>
      </w:r>
    </w:p>
    <w:p>
      <w:pPr>
        <w:spacing w:after="0" w:line="54" w:lineRule="exact"/>
        <w:rPr>
          <w:sz w:val="20"/>
          <w:szCs w:val="20"/>
          <w:color w:val="auto"/>
        </w:rPr>
      </w:pPr>
    </w:p>
    <w:p>
      <w:pPr>
        <w:sectPr>
          <w:pgSz w:w="11900" w:h="16838" w:orient="portrait"/>
          <w:cols w:equalWidth="0" w:num="2">
            <w:col w:w="680" w:space="280"/>
            <w:col w:w="10360"/>
          </w:cols>
          <w:pgMar w:left="240" w:top="455" w:right="339" w:bottom="1440" w:gutter="0" w:footer="0" w:header="0"/>
          <w:type w:val="continuous"/>
        </w:sectPr>
      </w:pPr>
    </w:p>
    <w:tbl>
      <w:tblPr>
        <w:tblLayout w:type="fixed"/>
        <w:tblInd w:w="80" w:type="dxa"/>
        <w:tblCellMar>
          <w:top w:w="0" w:type="dxa"/>
          <w:left w:w="0" w:type="dxa"/>
          <w:bottom w:w="0" w:type="dxa"/>
          <w:right w:w="0" w:type="dxa"/>
        </w:tblCellMar>
      </w:tblPr>
      <w:tr>
        <w:trPr>
          <w:trHeight w:val="216"/>
        </w:trPr>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0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Restated Bylaws of Marriott Vacations Worldwide Corporation, incorporated by reference to Exhibit 3.2 of our Current Report on Form 8-K</w:t>
            </w:r>
          </w:p>
        </w:tc>
      </w:tr>
      <w:tr>
        <w:trPr>
          <w:trHeight w:val="234"/>
        </w:trPr>
        <w:tc>
          <w:tcPr>
            <w:tcW w:w="780" w:type="dxa"/>
            <w:vAlign w:val="bottom"/>
          </w:tcPr>
          <w:p>
            <w:pPr>
              <w:spacing w:after="0"/>
              <w:rPr>
                <w:sz w:val="20"/>
                <w:szCs w:val="20"/>
                <w:color w:val="auto"/>
              </w:rPr>
            </w:pPr>
          </w:p>
        </w:tc>
        <w:tc>
          <w:tcPr>
            <w:tcW w:w="10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on November 22, 2011.</w:t>
            </w:r>
          </w:p>
        </w:tc>
      </w:tr>
      <w:tr>
        <w:trPr>
          <w:trHeight w:val="306"/>
        </w:trPr>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10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Marriott Vacations Worldwide Corporation Employee Stock Purchase Plan, incorporated by reference to Exhibit 10.1 of our Current Report on</w:t>
            </w:r>
          </w:p>
        </w:tc>
      </w:tr>
      <w:tr>
        <w:trPr>
          <w:trHeight w:val="234"/>
        </w:trPr>
        <w:tc>
          <w:tcPr>
            <w:tcW w:w="780" w:type="dxa"/>
            <w:vAlign w:val="bottom"/>
          </w:tcPr>
          <w:p>
            <w:pPr>
              <w:spacing w:after="0"/>
              <w:rPr>
                <w:sz w:val="20"/>
                <w:szCs w:val="20"/>
                <w:color w:val="auto"/>
              </w:rPr>
            </w:pPr>
          </w:p>
        </w:tc>
        <w:tc>
          <w:tcPr>
            <w:tcW w:w="10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8-K filed on June 11, 2015.</w:t>
            </w:r>
          </w:p>
        </w:tc>
      </w:tr>
      <w:tr>
        <w:trPr>
          <w:trHeight w:val="306"/>
        </w:trPr>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w:t>
            </w:r>
          </w:p>
        </w:tc>
        <w:tc>
          <w:tcPr>
            <w:tcW w:w="10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Indenture Supplement, dated June 24, 2015, by and among Marriott Vacations Worldwide Owner Trust 2011-1, as issuer, Marriott Ownership</w:t>
            </w:r>
          </w:p>
        </w:tc>
      </w:tr>
      <w:tr>
        <w:trPr>
          <w:trHeight w:val="216"/>
        </w:trPr>
        <w:tc>
          <w:tcPr>
            <w:tcW w:w="780" w:type="dxa"/>
            <w:vAlign w:val="bottom"/>
          </w:tcPr>
          <w:p>
            <w:pPr>
              <w:spacing w:after="0"/>
              <w:rPr>
                <w:sz w:val="18"/>
                <w:szCs w:val="18"/>
                <w:color w:val="auto"/>
              </w:rPr>
            </w:pPr>
          </w:p>
        </w:tc>
        <w:tc>
          <w:tcPr>
            <w:tcW w:w="10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Resorts, Inc., as servicer, Wells Fargo Bank, National Association, as indenture trustee and as back-up servicer, Deutsche Bank AG, New York</w:t>
            </w:r>
          </w:p>
        </w:tc>
      </w:tr>
      <w:tr>
        <w:trPr>
          <w:trHeight w:val="216"/>
        </w:trPr>
        <w:tc>
          <w:tcPr>
            <w:tcW w:w="780" w:type="dxa"/>
            <w:vAlign w:val="bottom"/>
          </w:tcPr>
          <w:p>
            <w:pPr>
              <w:spacing w:after="0"/>
              <w:rPr>
                <w:sz w:val="18"/>
                <w:szCs w:val="18"/>
                <w:color w:val="auto"/>
              </w:rPr>
            </w:pPr>
          </w:p>
        </w:tc>
        <w:tc>
          <w:tcPr>
            <w:tcW w:w="10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Branch, as administrative agent, and the Conduits, Alternate Purchasers, Funding Agents and Non-Conduit Committed Purchasers signatory</w:t>
            </w:r>
          </w:p>
        </w:tc>
      </w:tr>
      <w:tr>
        <w:trPr>
          <w:trHeight w:val="234"/>
        </w:trPr>
        <w:tc>
          <w:tcPr>
            <w:tcW w:w="780" w:type="dxa"/>
            <w:vAlign w:val="bottom"/>
          </w:tcPr>
          <w:p>
            <w:pPr>
              <w:spacing w:after="0"/>
              <w:rPr>
                <w:sz w:val="20"/>
                <w:szCs w:val="20"/>
                <w:color w:val="auto"/>
              </w:rPr>
            </w:pPr>
          </w:p>
        </w:tc>
        <w:tc>
          <w:tcPr>
            <w:tcW w:w="10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thereto.</w:t>
            </w:r>
          </w:p>
        </w:tc>
      </w:tr>
      <w:tr>
        <w:trPr>
          <w:trHeight w:val="306"/>
        </w:trPr>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10.3</w:t>
            </w:r>
          </w:p>
        </w:tc>
        <w:tc>
          <w:tcPr>
            <w:tcW w:w="10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First Amendment, dated as of June 26, 2015, to the Second Amended and Restated Credit Agreement, dated as of September 10, 2014, among</w:t>
            </w:r>
          </w:p>
        </w:tc>
      </w:tr>
      <w:tr>
        <w:trPr>
          <w:trHeight w:val="216"/>
        </w:trPr>
        <w:tc>
          <w:tcPr>
            <w:tcW w:w="780" w:type="dxa"/>
            <w:vAlign w:val="bottom"/>
          </w:tcPr>
          <w:p>
            <w:pPr>
              <w:spacing w:after="0"/>
              <w:rPr>
                <w:sz w:val="18"/>
                <w:szCs w:val="18"/>
                <w:color w:val="auto"/>
              </w:rPr>
            </w:pPr>
          </w:p>
        </w:tc>
        <w:tc>
          <w:tcPr>
            <w:tcW w:w="104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Marriott Vacations Worldwide Corporation, Marriott Ownership Resorts, Inc., JPMorgan Chase Bank, N.A., as administrative agent, the several</w:t>
            </w:r>
          </w:p>
        </w:tc>
      </w:tr>
      <w:tr>
        <w:trPr>
          <w:trHeight w:val="216"/>
        </w:trPr>
        <w:tc>
          <w:tcPr>
            <w:tcW w:w="780" w:type="dxa"/>
            <w:vAlign w:val="bottom"/>
          </w:tcPr>
          <w:p>
            <w:pPr>
              <w:spacing w:after="0"/>
              <w:rPr>
                <w:sz w:val="18"/>
                <w:szCs w:val="18"/>
                <w:color w:val="auto"/>
              </w:rPr>
            </w:pPr>
          </w:p>
        </w:tc>
        <w:tc>
          <w:tcPr>
            <w:tcW w:w="10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banks and other financial institutions or entities from time to time party thereto, Bank of America, N.A. and Deutsche Bank Securities Inc., as</w:t>
            </w:r>
          </w:p>
        </w:tc>
      </w:tr>
      <w:tr>
        <w:trPr>
          <w:trHeight w:val="234"/>
        </w:trPr>
        <w:tc>
          <w:tcPr>
            <w:tcW w:w="780" w:type="dxa"/>
            <w:vAlign w:val="bottom"/>
          </w:tcPr>
          <w:p>
            <w:pPr>
              <w:spacing w:after="0"/>
              <w:rPr>
                <w:sz w:val="20"/>
                <w:szCs w:val="20"/>
                <w:color w:val="auto"/>
              </w:rPr>
            </w:pPr>
          </w:p>
        </w:tc>
        <w:tc>
          <w:tcPr>
            <w:tcW w:w="10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co-syndication agents, Bank of America, N.A. and Deutsche Bank Securities Inc. as co-documentation agents.</w:t>
            </w:r>
          </w:p>
        </w:tc>
      </w:tr>
      <w:tr>
        <w:trPr>
          <w:trHeight w:val="324"/>
        </w:trPr>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31.1</w:t>
            </w:r>
          </w:p>
        </w:tc>
        <w:tc>
          <w:tcPr>
            <w:tcW w:w="10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of the Securities Exchange Act of 1934.</w:t>
            </w:r>
          </w:p>
        </w:tc>
      </w:tr>
      <w:tr>
        <w:trPr>
          <w:trHeight w:val="324"/>
        </w:trPr>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31.2</w:t>
            </w:r>
          </w:p>
        </w:tc>
        <w:tc>
          <w:tcPr>
            <w:tcW w:w="10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of the Securities Exchange Act of 1934.</w:t>
            </w:r>
          </w:p>
        </w:tc>
      </w:tr>
      <w:tr>
        <w:trPr>
          <w:trHeight w:val="324"/>
        </w:trPr>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32.1</w:t>
            </w:r>
          </w:p>
        </w:tc>
        <w:tc>
          <w:tcPr>
            <w:tcW w:w="10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13a-14(b) and Section 906 of the Sarbanes-Oxley Act of 2002.</w:t>
            </w:r>
          </w:p>
        </w:tc>
      </w:tr>
      <w:tr>
        <w:trPr>
          <w:trHeight w:val="324"/>
        </w:trPr>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32.2</w:t>
            </w:r>
          </w:p>
        </w:tc>
        <w:tc>
          <w:tcPr>
            <w:tcW w:w="10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13a-14(b) and Section 906 of the Sarbanes-Oxley Act of 2002.</w:t>
            </w:r>
          </w:p>
        </w:tc>
      </w:tr>
      <w:tr>
        <w:trPr>
          <w:trHeight w:val="324"/>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101.INS</w:t>
            </w:r>
          </w:p>
        </w:tc>
        <w:tc>
          <w:tcPr>
            <w:tcW w:w="10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101.SCH</w:t>
            </w:r>
          </w:p>
        </w:tc>
        <w:tc>
          <w:tcPr>
            <w:tcW w:w="10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101.CAL</w:t>
            </w:r>
          </w:p>
        </w:tc>
        <w:tc>
          <w:tcPr>
            <w:tcW w:w="10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324"/>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101.DEF</w:t>
            </w:r>
          </w:p>
        </w:tc>
        <w:tc>
          <w:tcPr>
            <w:tcW w:w="10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101.LAB</w:t>
            </w:r>
          </w:p>
        </w:tc>
        <w:tc>
          <w:tcPr>
            <w:tcW w:w="10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324"/>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101.PRE</w:t>
            </w:r>
          </w:p>
        </w:tc>
        <w:tc>
          <w:tcPr>
            <w:tcW w:w="10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bl>
    <w:p>
      <w:pPr>
        <w:spacing w:after="0" w:line="198"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have attached the following documents formatted in XBRL (Extensible Business Reporting Language) as Exhibit 101 to this report: (i) the Interim Consolidated Statements of Income for the twelve and twenty-four weeks ended June 19, 2015 and June 20, 2014, respectively; (ii) the Interim Consolidated Statements of Comprehensive Income for the twelve and twenty-four weeks ended June 19, 2015 and June 20, 2014, respectively; (iii) the Interim Consolidated Balance Sheets at June 19, 2015 and January 2, 2015; and (iv) the Interim Consolidated Statements of Cash Flows for the twenty-four weeks ended June 19, 2015 and June 20, 2014, respectively.</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320"/>
          </w:cols>
          <w:pgMar w:left="240" w:top="455" w:right="339" w:bottom="1440" w:gutter="0" w:footer="0" w:header="0"/>
          <w:type w:val="continuous"/>
        </w:sectPr>
      </w:pPr>
    </w:p>
    <w:bookmarkStart w:id="62" w:name="page63"/>
    <w:bookmarkEnd w:id="62"/>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INDENTURE SUPPLEMENT</w:t>
      </w:r>
    </w:p>
    <w:p>
      <w:pPr>
        <w:spacing w:after="0" w:line="210" w:lineRule="exact"/>
        <w:rPr>
          <w:sz w:val="20"/>
          <w:szCs w:val="20"/>
          <w:color w:val="auto"/>
        </w:rPr>
      </w:pPr>
    </w:p>
    <w:p>
      <w:pPr>
        <w:jc w:val="both"/>
        <w:ind w:firstLine="571"/>
        <w:spacing w:after="0" w:line="238" w:lineRule="auto"/>
        <w:rPr>
          <w:sz w:val="20"/>
          <w:szCs w:val="20"/>
          <w:color w:val="auto"/>
        </w:rPr>
      </w:pPr>
      <w:r>
        <w:rPr>
          <w:rFonts w:ascii="Times New Roman" w:cs="Times New Roman" w:eastAsia="Times New Roman" w:hAnsi="Times New Roman"/>
          <w:sz w:val="22"/>
          <w:szCs w:val="22"/>
          <w:color w:val="auto"/>
        </w:rPr>
        <w:t>This INDENTURE SUPPLEMENT, dated June 24, 2015 (this “</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 by and among Marriott Vacations Worldwide Owner Trust 2011-1, as issuer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Marriott Ownership Resorts, Inc. (“</w:t>
      </w:r>
      <w:r>
        <w:rPr>
          <w:rFonts w:ascii="Times New Roman" w:cs="Times New Roman" w:eastAsia="Times New Roman" w:hAnsi="Times New Roman"/>
          <w:sz w:val="22"/>
          <w:szCs w:val="22"/>
          <w:u w:val="single" w:color="auto"/>
          <w:color w:val="auto"/>
        </w:rPr>
        <w:t>MORI</w:t>
      </w:r>
      <w:r>
        <w:rPr>
          <w:rFonts w:ascii="Times New Roman" w:cs="Times New Roman" w:eastAsia="Times New Roman" w:hAnsi="Times New Roman"/>
          <w:sz w:val="22"/>
          <w:szCs w:val="22"/>
          <w:color w:val="auto"/>
        </w:rPr>
        <w:t>”), as servicer (the “</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Wells Fargo Bank, National Association, as indenture trustee (the “</w:t>
      </w:r>
      <w:r>
        <w:rPr>
          <w:rFonts w:ascii="Times New Roman" w:cs="Times New Roman" w:eastAsia="Times New Roman" w:hAnsi="Times New Roman"/>
          <w:sz w:val="22"/>
          <w:szCs w:val="22"/>
          <w:u w:val="single" w:color="auto"/>
          <w:color w:val="auto"/>
        </w:rPr>
        <w:t>Indenture Trustee</w:t>
      </w:r>
      <w:r>
        <w:rPr>
          <w:rFonts w:ascii="Times New Roman" w:cs="Times New Roman" w:eastAsia="Times New Roman" w:hAnsi="Times New Roman"/>
          <w:sz w:val="22"/>
          <w:szCs w:val="22"/>
          <w:color w:val="auto"/>
        </w:rPr>
        <w:t>”) and as back-up servicer (the “</w:t>
      </w:r>
      <w:r>
        <w:rPr>
          <w:rFonts w:ascii="Times New Roman" w:cs="Times New Roman" w:eastAsia="Times New Roman" w:hAnsi="Times New Roman"/>
          <w:sz w:val="22"/>
          <w:szCs w:val="22"/>
          <w:u w:val="single" w:color="auto"/>
          <w:color w:val="auto"/>
        </w:rPr>
        <w:t>Back-Up Servicer</w:t>
      </w:r>
      <w:r>
        <w:rPr>
          <w:rFonts w:ascii="Times New Roman" w:cs="Times New Roman" w:eastAsia="Times New Roman" w:hAnsi="Times New Roman"/>
          <w:sz w:val="22"/>
          <w:szCs w:val="22"/>
          <w:color w:val="auto"/>
        </w:rPr>
        <w:t>”), Deutsche Bank AG, New York Branch, as administrative agent, and the Conduits, Alternate Purchasers, Funding Agents and Non-Conduit Committed Purchasers signatory hereto (collectively, the “</w:t>
      </w:r>
      <w:r>
        <w:rPr>
          <w:rFonts w:ascii="Times New Roman" w:cs="Times New Roman" w:eastAsia="Times New Roman" w:hAnsi="Times New Roman"/>
          <w:sz w:val="22"/>
          <w:szCs w:val="22"/>
          <w:u w:val="single" w:color="auto"/>
          <w:color w:val="auto"/>
        </w:rPr>
        <w:t>Transaction Parties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right="20" w:firstLine="571"/>
        <w:spacing w:after="0" w:line="244" w:lineRule="auto"/>
        <w:rPr>
          <w:sz w:val="20"/>
          <w:szCs w:val="20"/>
          <w:color w:val="auto"/>
        </w:rPr>
      </w:pPr>
      <w:r>
        <w:rPr>
          <w:rFonts w:ascii="Times New Roman" w:cs="Times New Roman" w:eastAsia="Times New Roman" w:hAnsi="Times New Roman"/>
          <w:sz w:val="22"/>
          <w:szCs w:val="22"/>
          <w:color w:val="auto"/>
        </w:rPr>
        <w:t>WHEREAS, the Transaction Parties desire to amend the Third Amended and Restated Indenture and Servicing Agreement, dated as of September 1, 2014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by and among the Issuer, the Servicer, the Indenture, Trustee and the Back-Up Servicer, in the manner set forth herein.</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WHEREAS, the Indenture may be amended by the parties thereto with the consent of the Majority Facility Investors;</w:t>
      </w:r>
    </w:p>
    <w:p>
      <w:pPr>
        <w:spacing w:after="0" w:line="206" w:lineRule="exact"/>
        <w:rPr>
          <w:sz w:val="20"/>
          <w:szCs w:val="20"/>
          <w:color w:val="auto"/>
        </w:rPr>
      </w:pPr>
    </w:p>
    <w:p>
      <w:pPr>
        <w:jc w:val="both"/>
        <w:ind w:firstLine="571"/>
        <w:spacing w:after="0" w:line="258" w:lineRule="auto"/>
        <w:rPr>
          <w:sz w:val="20"/>
          <w:szCs w:val="20"/>
          <w:color w:val="auto"/>
        </w:rPr>
      </w:pPr>
      <w:r>
        <w:rPr>
          <w:rFonts w:ascii="Times New Roman" w:cs="Times New Roman" w:eastAsia="Times New Roman" w:hAnsi="Times New Roman"/>
          <w:sz w:val="22"/>
          <w:szCs w:val="22"/>
          <w:color w:val="auto"/>
        </w:rPr>
        <w:t>WHEREAS, the undersigned Conduits, Alternate Purchasers, Funding Agents and Non-Conduit Committed Purchasers constitute 100% of the Conduits, Alternate Purchasers, Funding Agents and Non-Conduit Committed Purchasers; and</w:t>
      </w:r>
    </w:p>
    <w:p>
      <w:pPr>
        <w:spacing w:after="0" w:line="158" w:lineRule="exact"/>
        <w:rPr>
          <w:sz w:val="20"/>
          <w:szCs w:val="20"/>
          <w:color w:val="auto"/>
        </w:rPr>
      </w:pPr>
    </w:p>
    <w:p>
      <w:pPr>
        <w:jc w:val="both"/>
        <w:ind w:firstLine="571"/>
        <w:spacing w:after="0" w:line="258" w:lineRule="auto"/>
        <w:rPr>
          <w:sz w:val="20"/>
          <w:szCs w:val="20"/>
          <w:color w:val="auto"/>
        </w:rPr>
      </w:pPr>
      <w:r>
        <w:rPr>
          <w:rFonts w:ascii="Times New Roman" w:cs="Times New Roman" w:eastAsia="Times New Roman" w:hAnsi="Times New Roman"/>
          <w:sz w:val="22"/>
          <w:szCs w:val="22"/>
          <w:color w:val="auto"/>
        </w:rPr>
        <w:t>WHEREAS, terms used herein but not otherwise defined shall have the meanings set forth in the Third Amended and Restated Standard Definitions attached as Annex A to the Indenture.</w:t>
      </w:r>
    </w:p>
    <w:p>
      <w:pPr>
        <w:spacing w:after="0" w:line="158" w:lineRule="exact"/>
        <w:rPr>
          <w:sz w:val="20"/>
          <w:szCs w:val="20"/>
          <w:color w:val="auto"/>
        </w:rPr>
      </w:pPr>
    </w:p>
    <w:p>
      <w:pPr>
        <w:jc w:val="both"/>
        <w:ind w:firstLine="571"/>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promises hereinafter set forth, and for other good and adequate consideration, the receipt and sufficiency of which are hereby acknowledged, the parties hereto hereby agree as follows:</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 xml:space="preserve">Section 1.01.  </w:t>
      </w:r>
      <w:r>
        <w:rPr>
          <w:rFonts w:ascii="Times New Roman" w:cs="Times New Roman" w:eastAsia="Times New Roman" w:hAnsi="Times New Roman"/>
          <w:sz w:val="22"/>
          <w:szCs w:val="22"/>
          <w:b w:val="1"/>
          <w:bCs w:val="1"/>
          <w:i w:val="1"/>
          <w:iCs w:val="1"/>
          <w:color w:val="auto"/>
        </w:rPr>
        <w:t>Supplement to the Indenture</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Section 6.03 of the Indenture shall be amended by adding the following clause (f) thereto:</w:t>
      </w:r>
    </w:p>
    <w:p>
      <w:pPr>
        <w:spacing w:after="0" w:line="206" w:lineRule="exact"/>
        <w:rPr>
          <w:sz w:val="20"/>
          <w:szCs w:val="20"/>
          <w:color w:val="auto"/>
        </w:rPr>
      </w:pPr>
    </w:p>
    <w:p>
      <w:pPr>
        <w:jc w:val="both"/>
        <w:ind w:firstLine="571"/>
        <w:spacing w:after="0" w:line="239" w:lineRule="auto"/>
        <w:rPr>
          <w:sz w:val="20"/>
          <w:szCs w:val="20"/>
          <w:color w:val="auto"/>
        </w:rPr>
      </w:pPr>
      <w:r>
        <w:rPr>
          <w:rFonts w:ascii="Times New Roman" w:cs="Times New Roman" w:eastAsia="Times New Roman" w:hAnsi="Times New Roman"/>
          <w:sz w:val="22"/>
          <w:szCs w:val="22"/>
          <w:color w:val="auto"/>
        </w:rPr>
        <w:t>“(f) Notwithstanding anything to the contrary set forth in this Indenture, the Indenture Trustee shall not sell or otherwise liquidate the Trust Estate following an Event of Default without the consent of Holders of 100% of the Notes which are Outstanding if the proceeds of such sale or liquidation would be less than all amounts due and owing under the Notes or otherwise payable to Noteholders under the Facility Documents.”</w:t>
      </w:r>
    </w:p>
    <w:p>
      <w:pPr>
        <w:sectPr>
          <w:pgSz w:w="11900" w:h="16838" w:orient="portrait"/>
          <w:cols w:equalWidth="0" w:num="1">
            <w:col w:w="11420"/>
          </w:cols>
          <w:pgMar w:left="240" w:top="108" w:right="239" w:bottom="1440" w:gutter="0" w:footer="0" w:header="0"/>
        </w:sectPr>
      </w:pPr>
    </w:p>
    <w:bookmarkStart w:id="63" w:name="page64"/>
    <w:bookmarkEnd w:id="63"/>
    <w:p>
      <w:pPr>
        <w:ind w:left="5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2.01.  </w:t>
      </w:r>
      <w:r>
        <w:rPr>
          <w:rFonts w:ascii="Times New Roman" w:cs="Times New Roman" w:eastAsia="Times New Roman" w:hAnsi="Times New Roman"/>
          <w:sz w:val="22"/>
          <w:szCs w:val="22"/>
          <w:b w:val="1"/>
          <w:bCs w:val="1"/>
          <w:i w:val="1"/>
          <w:iCs w:val="1"/>
          <w:color w:val="auto"/>
        </w:rPr>
        <w:t>Representations and Warranties</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Each of the Issuer and MORI represents and warrants to each of the other Transaction Parties that:</w:t>
      </w:r>
    </w:p>
    <w:p>
      <w:pPr>
        <w:spacing w:after="0" w:line="233" w:lineRule="exact"/>
        <w:rPr>
          <w:sz w:val="20"/>
          <w:szCs w:val="20"/>
          <w:color w:val="auto"/>
        </w:rPr>
      </w:pPr>
    </w:p>
    <w:p>
      <w:pPr>
        <w:ind w:left="1140" w:hanging="565"/>
        <w:spacing w:after="0"/>
        <w:tabs>
          <w:tab w:leader="none" w:pos="11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duly organized, validly existing and is in good standing under the laws of the jurisdiction of its organization;</w:t>
      </w:r>
    </w:p>
    <w:p>
      <w:pPr>
        <w:spacing w:after="0" w:line="233" w:lineRule="exact"/>
        <w:rPr>
          <w:rFonts w:ascii="Times New Roman" w:cs="Times New Roman" w:eastAsia="Times New Roman" w:hAnsi="Times New Roman"/>
          <w:sz w:val="22"/>
          <w:szCs w:val="22"/>
          <w:color w:val="auto"/>
        </w:rPr>
      </w:pPr>
    </w:p>
    <w:p>
      <w:pPr>
        <w:ind w:left="1140" w:hanging="565"/>
        <w:spacing w:after="0"/>
        <w:tabs>
          <w:tab w:leader="none" w:pos="11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it of this Supplement have been duly authorized; and</w:t>
      </w:r>
    </w:p>
    <w:p>
      <w:pPr>
        <w:spacing w:after="0" w:line="233" w:lineRule="exact"/>
        <w:rPr>
          <w:rFonts w:ascii="Times New Roman" w:cs="Times New Roman" w:eastAsia="Times New Roman" w:hAnsi="Times New Roman"/>
          <w:sz w:val="22"/>
          <w:szCs w:val="22"/>
          <w:color w:val="auto"/>
        </w:rPr>
      </w:pPr>
    </w:p>
    <w:p>
      <w:pPr>
        <w:jc w:val="both"/>
        <w:ind w:left="1140" w:hanging="565"/>
        <w:spacing w:after="0" w:line="244" w:lineRule="auto"/>
        <w:tabs>
          <w:tab w:leader="none" w:pos="11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Supplement is binding upon it and is legally enforceable against it in accordance with its terms, except as enforceability may be limited by applicable bankruptcy, insolvency, or similar laws affecting the enforcement of creditors’ rights generally or equitable principles relating to enforceability.</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 xml:space="preserve">Section 2.02.  </w:t>
      </w:r>
      <w:r>
        <w:rPr>
          <w:rFonts w:ascii="Times New Roman" w:cs="Times New Roman" w:eastAsia="Times New Roman" w:hAnsi="Times New Roman"/>
          <w:sz w:val="22"/>
          <w:szCs w:val="22"/>
          <w:b w:val="1"/>
          <w:bCs w:val="1"/>
          <w:i w:val="1"/>
          <w:iCs w:val="1"/>
          <w:color w:val="auto"/>
        </w:rPr>
        <w:t>References in all Transaction Documents.</w:t>
      </w:r>
    </w:p>
    <w:p>
      <w:pPr>
        <w:spacing w:after="0" w:line="212" w:lineRule="exact"/>
        <w:rPr>
          <w:sz w:val="20"/>
          <w:szCs w:val="20"/>
          <w:color w:val="auto"/>
        </w:rPr>
      </w:pPr>
    </w:p>
    <w:p>
      <w:pPr>
        <w:jc w:val="both"/>
        <w:ind w:firstLine="571"/>
        <w:spacing w:after="0" w:line="258" w:lineRule="auto"/>
        <w:rPr>
          <w:sz w:val="20"/>
          <w:szCs w:val="20"/>
          <w:color w:val="auto"/>
        </w:rPr>
      </w:pPr>
      <w:r>
        <w:rPr>
          <w:rFonts w:ascii="Times New Roman" w:cs="Times New Roman" w:eastAsia="Times New Roman" w:hAnsi="Times New Roman"/>
          <w:sz w:val="22"/>
          <w:szCs w:val="22"/>
          <w:color w:val="auto"/>
        </w:rPr>
        <w:t>To the extent any Transaction Document contains a provision that conflicts with the intent of this Supplement, the parties agree that the provisions herein shall govern.</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 xml:space="preserve">Section 2.03.  </w:t>
      </w:r>
      <w:r>
        <w:rPr>
          <w:rFonts w:ascii="Times New Roman" w:cs="Times New Roman" w:eastAsia="Times New Roman" w:hAnsi="Times New Roman"/>
          <w:sz w:val="22"/>
          <w:szCs w:val="22"/>
          <w:b w:val="1"/>
          <w:bCs w:val="1"/>
          <w:i w:val="1"/>
          <w:iCs w:val="1"/>
          <w:color w:val="auto"/>
        </w:rPr>
        <w:t>Counterparts</w:t>
      </w:r>
      <w:r>
        <w:rPr>
          <w:rFonts w:ascii="Times New Roman" w:cs="Times New Roman" w:eastAsia="Times New Roman" w:hAnsi="Times New Roman"/>
          <w:sz w:val="22"/>
          <w:szCs w:val="22"/>
          <w:b w:val="1"/>
          <w:bCs w:val="1"/>
          <w:color w:val="auto"/>
        </w:rPr>
        <w:t>.</w:t>
      </w:r>
    </w:p>
    <w:p>
      <w:pPr>
        <w:spacing w:after="0" w:line="212" w:lineRule="exact"/>
        <w:rPr>
          <w:sz w:val="20"/>
          <w:szCs w:val="20"/>
          <w:color w:val="auto"/>
        </w:rPr>
      </w:pPr>
    </w:p>
    <w:p>
      <w:pPr>
        <w:jc w:val="both"/>
        <w:ind w:right="20" w:firstLine="571"/>
        <w:spacing w:after="0" w:line="258" w:lineRule="auto"/>
        <w:rPr>
          <w:sz w:val="20"/>
          <w:szCs w:val="20"/>
          <w:color w:val="auto"/>
        </w:rPr>
      </w:pPr>
      <w:r>
        <w:rPr>
          <w:rFonts w:ascii="Times New Roman" w:cs="Times New Roman" w:eastAsia="Times New Roman" w:hAnsi="Times New Roman"/>
          <w:sz w:val="22"/>
          <w:szCs w:val="22"/>
          <w:color w:val="auto"/>
        </w:rPr>
        <w:t>This Supplement may be executed (by facsimile or otherwise) in any number of counterparts, each of which counterparts shall be deemed to be an original, and such counterparts shall constitute but one and the same instrument.</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 xml:space="preserve">Section 2.04.  </w:t>
      </w:r>
      <w:r>
        <w:rPr>
          <w:rFonts w:ascii="Times New Roman" w:cs="Times New Roman" w:eastAsia="Times New Roman" w:hAnsi="Times New Roman"/>
          <w:sz w:val="22"/>
          <w:szCs w:val="22"/>
          <w:b w:val="1"/>
          <w:bCs w:val="1"/>
          <w:i w:val="1"/>
          <w:iCs w:val="1"/>
          <w:color w:val="auto"/>
        </w:rPr>
        <w:t>Governing Law.</w:t>
      </w:r>
    </w:p>
    <w:p>
      <w:pPr>
        <w:spacing w:after="0" w:line="212" w:lineRule="exact"/>
        <w:rPr>
          <w:sz w:val="20"/>
          <w:szCs w:val="20"/>
          <w:color w:val="auto"/>
        </w:rPr>
      </w:pPr>
    </w:p>
    <w:p>
      <w:pPr>
        <w:jc w:val="both"/>
        <w:ind w:firstLine="571"/>
        <w:spacing w:after="0" w:line="239" w:lineRule="auto"/>
        <w:rPr>
          <w:sz w:val="20"/>
          <w:szCs w:val="20"/>
          <w:color w:val="auto"/>
        </w:rPr>
      </w:pPr>
      <w:r>
        <w:rPr>
          <w:rFonts w:ascii="Times New Roman" w:cs="Times New Roman" w:eastAsia="Times New Roman" w:hAnsi="Times New Roman"/>
          <w:sz w:val="22"/>
          <w:szCs w:val="22"/>
          <w:color w:val="auto"/>
        </w:rPr>
        <w:t>THIS SUPPLEMENT SHALL BE CONSTRUED IN ACCORDANCE WITH AND GOVERNED BY THE SUBSTANTIVE LAWS OF THE STATE OF NEW YORK APPLICABLE TO AGREEMENTS MADE AND TO BE PERFORMED IN THE STATE OF NEW YORK AND THE OBLIGATIONS, RIGHTS AND REMEDIES OF THE TRANSACTION PARTIES SHALL BE DETERMINED IN ACCORDANCE WITH SUCH LAWS.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 xml:space="preserve">Section 2.05.  </w:t>
      </w:r>
      <w:r>
        <w:rPr>
          <w:rFonts w:ascii="Times New Roman" w:cs="Times New Roman" w:eastAsia="Times New Roman" w:hAnsi="Times New Roman"/>
          <w:sz w:val="22"/>
          <w:szCs w:val="22"/>
          <w:b w:val="1"/>
          <w:bCs w:val="1"/>
          <w:i w:val="1"/>
          <w:iCs w:val="1"/>
          <w:color w:val="auto"/>
        </w:rPr>
        <w:t>Severability of Provisions.</w:t>
      </w:r>
    </w:p>
    <w:p>
      <w:pPr>
        <w:spacing w:after="0" w:line="212" w:lineRule="exact"/>
        <w:rPr>
          <w:sz w:val="20"/>
          <w:szCs w:val="20"/>
          <w:color w:val="auto"/>
        </w:rPr>
      </w:pPr>
    </w:p>
    <w:p>
      <w:pPr>
        <w:jc w:val="both"/>
        <w:ind w:firstLine="571"/>
        <w:spacing w:after="0" w:line="239" w:lineRule="auto"/>
        <w:rPr>
          <w:sz w:val="20"/>
          <w:szCs w:val="20"/>
          <w:color w:val="auto"/>
        </w:rPr>
      </w:pPr>
      <w:r>
        <w:rPr>
          <w:rFonts w:ascii="Times New Roman" w:cs="Times New Roman" w:eastAsia="Times New Roman" w:hAnsi="Times New Roman"/>
          <w:sz w:val="22"/>
          <w:szCs w:val="22"/>
          <w:color w:val="auto"/>
        </w:rPr>
        <w:t>If any one or more of the covenants, agreements, provisions or terms of this Supplement shall be for any reason whatsoever held invalid, then such covenants, agreements, provisions or terms shall be deemed severable from the remaining covenants, agreements, provisions or terms of this Supplement and shall in no way affect the validity or enforceability of the other provisions of this Supplement.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 xml:space="preserve">Section 2.06.  </w:t>
      </w:r>
      <w:r>
        <w:rPr>
          <w:rFonts w:ascii="Times New Roman" w:cs="Times New Roman" w:eastAsia="Times New Roman" w:hAnsi="Times New Roman"/>
          <w:sz w:val="22"/>
          <w:szCs w:val="22"/>
          <w:b w:val="1"/>
          <w:bCs w:val="1"/>
          <w:i w:val="1"/>
          <w:iCs w:val="1"/>
          <w:color w:val="auto"/>
        </w:rPr>
        <w:t>Continuing Effect.</w:t>
      </w:r>
    </w:p>
    <w:p>
      <w:pPr>
        <w:spacing w:after="0" w:line="212" w:lineRule="exact"/>
        <w:rPr>
          <w:sz w:val="20"/>
          <w:szCs w:val="20"/>
          <w:color w:val="auto"/>
        </w:rPr>
      </w:pPr>
    </w:p>
    <w:p>
      <w:pPr>
        <w:jc w:val="both"/>
        <w:ind w:firstLine="571"/>
        <w:spacing w:after="0" w:line="258" w:lineRule="auto"/>
        <w:rPr>
          <w:sz w:val="20"/>
          <w:szCs w:val="20"/>
          <w:color w:val="auto"/>
        </w:rPr>
      </w:pPr>
      <w:r>
        <w:rPr>
          <w:rFonts w:ascii="Times New Roman" w:cs="Times New Roman" w:eastAsia="Times New Roman" w:hAnsi="Times New Roman"/>
          <w:sz w:val="22"/>
          <w:szCs w:val="22"/>
          <w:color w:val="auto"/>
        </w:rPr>
        <w:t>Except as expressly amended hereby, each Transaction Document shall continue in full force and effect in accordance with the provisions thereof and each Transaction Document is in all respects hereby ratified, confirmed and preserved.</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55" w:right="239" w:bottom="1440" w:gutter="0" w:footer="0" w:header="0"/>
        </w:sectPr>
      </w:pPr>
    </w:p>
    <w:bookmarkStart w:id="64" w:name="page65"/>
    <w:bookmarkEnd w:id="64"/>
    <w:p>
      <w:pPr>
        <w:ind w:left="5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2.07.  </w:t>
      </w:r>
      <w:r>
        <w:rPr>
          <w:rFonts w:ascii="Times New Roman" w:cs="Times New Roman" w:eastAsia="Times New Roman" w:hAnsi="Times New Roman"/>
          <w:sz w:val="22"/>
          <w:szCs w:val="22"/>
          <w:b w:val="1"/>
          <w:bCs w:val="1"/>
          <w:i w:val="1"/>
          <w:iCs w:val="1"/>
          <w:color w:val="auto"/>
        </w:rPr>
        <w:t>Successors and Assigns.</w:t>
      </w:r>
    </w:p>
    <w:p>
      <w:pPr>
        <w:spacing w:after="0" w:line="212" w:lineRule="exact"/>
        <w:rPr>
          <w:sz w:val="20"/>
          <w:szCs w:val="20"/>
          <w:color w:val="auto"/>
        </w:rPr>
      </w:pPr>
    </w:p>
    <w:p>
      <w:pPr>
        <w:ind w:right="20" w:firstLine="571"/>
        <w:spacing w:after="0" w:line="258" w:lineRule="auto"/>
        <w:rPr>
          <w:sz w:val="20"/>
          <w:szCs w:val="20"/>
          <w:color w:val="auto"/>
        </w:rPr>
      </w:pPr>
      <w:r>
        <w:rPr>
          <w:rFonts w:ascii="Times New Roman" w:cs="Times New Roman" w:eastAsia="Times New Roman" w:hAnsi="Times New Roman"/>
          <w:sz w:val="22"/>
          <w:szCs w:val="22"/>
          <w:color w:val="auto"/>
        </w:rPr>
        <w:t>This Supplement shall be binding upon and inure to the benefit of the Transaction Parties and their respective successors and permitted assigns.</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 xml:space="preserve">Section 2.08  </w:t>
      </w:r>
      <w:r>
        <w:rPr>
          <w:rFonts w:ascii="Times New Roman" w:cs="Times New Roman" w:eastAsia="Times New Roman" w:hAnsi="Times New Roman"/>
          <w:sz w:val="22"/>
          <w:szCs w:val="22"/>
          <w:b w:val="1"/>
          <w:bCs w:val="1"/>
          <w:i w:val="1"/>
          <w:iCs w:val="1"/>
          <w:color w:val="auto"/>
        </w:rPr>
        <w:t>No Bankruptcy Petition.</w:t>
      </w:r>
    </w:p>
    <w:p>
      <w:pPr>
        <w:spacing w:after="0" w:line="212" w:lineRule="exact"/>
        <w:rPr>
          <w:sz w:val="20"/>
          <w:szCs w:val="20"/>
          <w:color w:val="auto"/>
        </w:rPr>
      </w:pPr>
    </w:p>
    <w:p>
      <w:pPr>
        <w:jc w:val="both"/>
        <w:ind w:firstLine="579"/>
        <w:spacing w:after="0" w:line="251" w:lineRule="auto"/>
        <w:tabs>
          <w:tab w:leader="none" w:pos="1205"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hereto hereby covenants and agrees that, prior to the date which is one year and one day after the payment in full of all outstanding Related Commercial Paper or other indebtedness of a Conduit, it will not institute against, or join any other Person in instituting against a Conduit any bankruptcy, reorganization, arrangement, insolvency or liquidation proceedings or other similar proceeding under the laws of the United States or any state of the United States or any other jurisdiction with authority over such Conduit. The provisions of this Section 2.08(a) shall survive the termination of this Agreement.</w:t>
      </w:r>
    </w:p>
    <w:p>
      <w:pPr>
        <w:spacing w:after="0" w:line="168" w:lineRule="exact"/>
        <w:rPr>
          <w:rFonts w:ascii="Times New Roman" w:cs="Times New Roman" w:eastAsia="Times New Roman" w:hAnsi="Times New Roman"/>
          <w:sz w:val="21"/>
          <w:szCs w:val="21"/>
          <w:color w:val="auto"/>
        </w:rPr>
      </w:pPr>
    </w:p>
    <w:p>
      <w:pPr>
        <w:jc w:val="both"/>
        <w:ind w:firstLine="579"/>
        <w:spacing w:after="0" w:line="238" w:lineRule="auto"/>
        <w:tabs>
          <w:tab w:leader="none" w:pos="121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covenants and agrees that, prior to the date which is one year and one day after the payment in full of all Notes and Exchange Notes, it will not institute against, or join any other Person in instituting against the Issuer or the Seller any bankruptcy, reorganization, arrangement, insolvency or liquidation proceedings or other similar proceeding under the laws of the United States or any state of the United States. The provisions of this Section 2.08(b) shall survive the termination of this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55" w:right="239" w:bottom="1440" w:gutter="0" w:footer="0" w:header="0"/>
        </w:sectPr>
      </w:pPr>
    </w:p>
    <w:bookmarkStart w:id="65" w:name="page66"/>
    <w:bookmarkEnd w:id="65"/>
    <w:p>
      <w:pPr>
        <w:ind w:right="420" w:firstLine="571"/>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below have caused this Amendment to be duly executed by their respective duly authorized officers of the day and year first above written.</w:t>
      </w:r>
    </w:p>
    <w:p>
      <w:pPr>
        <w:spacing w:after="0" w:line="200" w:lineRule="exact"/>
        <w:rPr>
          <w:sz w:val="20"/>
          <w:szCs w:val="20"/>
          <w:color w:val="auto"/>
        </w:rPr>
      </w:pPr>
    </w:p>
    <w:p>
      <w:pPr>
        <w:spacing w:after="0" w:line="2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MARRIOTT VACATIONS WORLDWIDE</w:t>
      </w:r>
    </w:p>
    <w:p>
      <w:pPr>
        <w:spacing w:after="0" w:line="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OWNER TRUST 2011-1, as Issuer</w:t>
      </w:r>
    </w:p>
    <w:p>
      <w:pPr>
        <w:spacing w:after="0" w:line="182" w:lineRule="exact"/>
        <w:rPr>
          <w:sz w:val="20"/>
          <w:szCs w:val="20"/>
          <w:color w:val="auto"/>
        </w:rPr>
      </w:pPr>
    </w:p>
    <w:p>
      <w:pPr>
        <w:ind w:left="5720"/>
        <w:spacing w:after="0"/>
        <w:tabs>
          <w:tab w:leader="none" w:pos="6300" w:val="left"/>
        </w:tabs>
        <w:rPr>
          <w:sz w:val="20"/>
          <w:szCs w:val="20"/>
          <w:color w:val="auto"/>
        </w:rPr>
      </w:pPr>
      <w:r>
        <w:rPr>
          <w:rFonts w:ascii="Times New Roman" w:cs="Times New Roman" w:eastAsia="Times New Roman" w:hAnsi="Times New Roman"/>
          <w:sz w:val="21"/>
          <w:szCs w:val="21"/>
          <w:color w:val="auto"/>
        </w:rPr>
        <w:t>By:</w:t>
        <w:tab/>
        <w:t>Wilmington Trust, National Association, not individually,</w:t>
      </w:r>
    </w:p>
    <w:p>
      <w:pPr>
        <w:spacing w:after="0" w:line="2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2"/>
          <w:szCs w:val="22"/>
          <w:color w:val="auto"/>
        </w:rPr>
        <w:t>but solely in its capacity as Owner Trustee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320"/>
        <w:spacing w:after="0"/>
        <w:tabs>
          <w:tab w:leader="none" w:pos="6840" w:val="left"/>
        </w:tabs>
        <w:rPr>
          <w:sz w:val="20"/>
          <w:szCs w:val="20"/>
          <w:color w:val="auto"/>
        </w:rPr>
      </w:pPr>
      <w:r>
        <w:rPr>
          <w:rFonts w:ascii="Times New Roman" w:cs="Times New Roman" w:eastAsia="Times New Roman" w:hAnsi="Times New Roman"/>
          <w:sz w:val="22"/>
          <w:szCs w:val="22"/>
          <w:color w:val="auto"/>
        </w:rPr>
        <w:t>By:</w:t>
        <w:tab/>
        <w:t>/s/ Rachel L.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28898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Name: Rachel L. Simpson</w:t>
      </w:r>
    </w:p>
    <w:p>
      <w:pPr>
        <w:spacing w:after="0" w:line="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Title:  Assistant Vice President</w:t>
      </w:r>
    </w:p>
    <w:p>
      <w:pPr>
        <w:spacing w:after="0" w:line="18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c/o Wilmington Trust, National Association</w:t>
      </w:r>
    </w:p>
    <w:p>
      <w:pPr>
        <w:ind w:left="5720"/>
        <w:spacing w:after="0" w:line="230" w:lineRule="auto"/>
        <w:rPr>
          <w:sz w:val="20"/>
          <w:szCs w:val="20"/>
          <w:color w:val="auto"/>
        </w:rPr>
      </w:pPr>
      <w:r>
        <w:rPr>
          <w:rFonts w:ascii="Times New Roman" w:cs="Times New Roman" w:eastAsia="Times New Roman" w:hAnsi="Times New Roman"/>
          <w:sz w:val="22"/>
          <w:szCs w:val="22"/>
          <w:color w:val="auto"/>
        </w:rPr>
        <w:t>1100 North Market Street</w:t>
      </w:r>
    </w:p>
    <w:p>
      <w:pPr>
        <w:spacing w:after="0" w:line="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Wilmington, Delaware 19801</w:t>
      </w:r>
    </w:p>
    <w:p>
      <w:pPr>
        <w:spacing w:after="0" w:line="18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Attention: Rachel L. Simpson</w:t>
      </w:r>
    </w:p>
    <w:p>
      <w:pPr>
        <w:spacing w:after="0" w:line="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Telephone Number: (302) 636-6128</w:t>
      </w:r>
    </w:p>
    <w:p>
      <w:pPr>
        <w:ind w:left="5720"/>
        <w:spacing w:after="0"/>
        <w:rPr>
          <w:sz w:val="20"/>
          <w:szCs w:val="20"/>
          <w:color w:val="auto"/>
        </w:rPr>
      </w:pPr>
      <w:r>
        <w:rPr>
          <w:rFonts w:ascii="Times New Roman" w:cs="Times New Roman" w:eastAsia="Times New Roman" w:hAnsi="Times New Roman"/>
          <w:sz w:val="22"/>
          <w:szCs w:val="22"/>
          <w:color w:val="auto"/>
        </w:rPr>
        <w:t>Facsimile Number: (302) 636-4140</w:t>
      </w:r>
    </w:p>
    <w:p>
      <w:pPr>
        <w:spacing w:after="0" w:line="39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MARRIOTT OWNERSHIP RESORTS, INC., as Servicer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720"/>
        <w:spacing w:after="0"/>
        <w:tabs>
          <w:tab w:leader="none" w:pos="6300" w:val="left"/>
        </w:tabs>
        <w:rPr>
          <w:sz w:val="20"/>
          <w:szCs w:val="20"/>
          <w:color w:val="auto"/>
        </w:rPr>
      </w:pPr>
      <w:r>
        <w:rPr>
          <w:rFonts w:ascii="Times New Roman" w:cs="Times New Roman" w:eastAsia="Times New Roman" w:hAnsi="Times New Roman"/>
          <w:sz w:val="22"/>
          <w:szCs w:val="22"/>
          <w:color w:val="auto"/>
        </w:rPr>
        <w:t>By:</w:t>
        <w:tab/>
        <w:t>/s/ Joseph J.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11430</wp:posOffset>
            </wp:positionV>
            <wp:extent cx="32416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1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2"/>
          <w:szCs w:val="22"/>
          <w:color w:val="auto"/>
        </w:rPr>
        <w:t>Name: Joseph J. Bramuchi</w:t>
      </w:r>
    </w:p>
    <w:p>
      <w:pPr>
        <w:spacing w:after="0" w:line="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18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6649 Westwood Boulevard</w:t>
      </w:r>
    </w:p>
    <w:p>
      <w:pPr>
        <w:ind w:left="5720"/>
        <w:spacing w:after="0"/>
        <w:rPr>
          <w:sz w:val="20"/>
          <w:szCs w:val="20"/>
          <w:color w:val="auto"/>
        </w:rPr>
      </w:pPr>
      <w:r>
        <w:rPr>
          <w:rFonts w:ascii="Times New Roman" w:cs="Times New Roman" w:eastAsia="Times New Roman" w:hAnsi="Times New Roman"/>
          <w:sz w:val="22"/>
          <w:szCs w:val="22"/>
          <w:color w:val="auto"/>
        </w:rPr>
        <w:t>Orlando, Florida 32821</w:t>
      </w:r>
    </w:p>
    <w:p>
      <w:pPr>
        <w:spacing w:after="0" w:line="18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Telephone: (407) 206-6000</w:t>
      </w:r>
    </w:p>
    <w:p>
      <w:pPr>
        <w:ind w:left="5720"/>
        <w:spacing w:after="0"/>
        <w:rPr>
          <w:sz w:val="20"/>
          <w:szCs w:val="20"/>
          <w:color w:val="auto"/>
        </w:rPr>
      </w:pPr>
      <w:r>
        <w:rPr>
          <w:rFonts w:ascii="Times New Roman" w:cs="Times New Roman" w:eastAsia="Times New Roman" w:hAnsi="Times New Roman"/>
          <w:sz w:val="22"/>
          <w:szCs w:val="22"/>
          <w:color w:val="auto"/>
        </w:rPr>
        <w:t>Facsimile: (407) 513-6680</w:t>
      </w:r>
    </w:p>
    <w:p>
      <w:pPr>
        <w:sectPr>
          <w:pgSz w:w="11900" w:h="16838" w:orient="portrait"/>
          <w:cols w:equalWidth="0" w:num="1">
            <w:col w:w="11300"/>
          </w:cols>
          <w:pgMar w:left="240" w:top="261" w:right="359" w:bottom="1440" w:gutter="0" w:footer="0" w:header="0"/>
        </w:sectPr>
      </w:pPr>
    </w:p>
    <w:bookmarkStart w:id="66" w:name="page67"/>
    <w:bookmarkEnd w:id="66"/>
    <w:p>
      <w:pPr>
        <w:ind w:left="452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WELLS FARGO BANK, NATIONAL ASSOCIATION, as Indenture Trustee and Back-Up Servicer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Jennifer C. Westberg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Jennifer C. Westberg</w:t>
      </w:r>
    </w:p>
    <w:p>
      <w:pPr>
        <w:spacing w:after="0" w:line="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18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0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Wells Fargo Bank, National Association</w:t>
      </w:r>
    </w:p>
    <w:p>
      <w:pPr>
        <w:spacing w:after="0" w:line="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MAC N9311-161</w:t>
      </w:r>
    </w:p>
    <w:p>
      <w:pPr>
        <w:ind w:left="4520"/>
        <w:spacing w:after="0" w:line="230" w:lineRule="auto"/>
        <w:rPr>
          <w:sz w:val="20"/>
          <w:szCs w:val="20"/>
          <w:color w:val="auto"/>
        </w:rPr>
      </w:pPr>
      <w:r>
        <w:rPr>
          <w:rFonts w:ascii="Times New Roman" w:cs="Times New Roman" w:eastAsia="Times New Roman" w:hAnsi="Times New Roman"/>
          <w:sz w:val="22"/>
          <w:szCs w:val="22"/>
          <w:color w:val="auto"/>
        </w:rPr>
        <w:t>Sixth Street &amp; Marquette Avenue</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Minneapolis, Minnesota 55479</w:t>
      </w:r>
    </w:p>
    <w:p>
      <w:pPr>
        <w:spacing w:after="0" w:line="398" w:lineRule="exact"/>
        <w:rPr>
          <w:sz w:val="20"/>
          <w:szCs w:val="20"/>
          <w:color w:val="auto"/>
        </w:rPr>
      </w:pPr>
    </w:p>
    <w:p>
      <w:pPr>
        <w:ind w:left="4520"/>
        <w:spacing w:after="0"/>
        <w:tabs>
          <w:tab w:leader="none" w:pos="586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Corporate Trust</w:t>
      </w:r>
    </w:p>
    <w:p>
      <w:pPr>
        <w:spacing w:after="0" w:line="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Services/Asset-Backed Administration</w:t>
      </w:r>
    </w:p>
    <w:p>
      <w:pPr>
        <w:ind w:left="4520"/>
        <w:spacing w:after="0"/>
        <w:tabs>
          <w:tab w:leader="none" w:pos="6480" w:val="left"/>
        </w:tabs>
        <w:rPr>
          <w:sz w:val="20"/>
          <w:szCs w:val="20"/>
          <w:color w:val="auto"/>
        </w:rPr>
      </w:pPr>
      <w:r>
        <w:rPr>
          <w:rFonts w:ascii="Times New Roman" w:cs="Times New Roman" w:eastAsia="Times New Roman" w:hAnsi="Times New Roman"/>
          <w:sz w:val="22"/>
          <w:szCs w:val="22"/>
          <w:color w:val="auto"/>
        </w:rPr>
        <w:t>Facsimile Number:</w:t>
      </w:r>
      <w:r>
        <w:rPr>
          <w:sz w:val="20"/>
          <w:szCs w:val="20"/>
          <w:color w:val="auto"/>
        </w:rPr>
        <w:tab/>
      </w:r>
      <w:r>
        <w:rPr>
          <w:rFonts w:ascii="Times New Roman" w:cs="Times New Roman" w:eastAsia="Times New Roman" w:hAnsi="Times New Roman"/>
          <w:sz w:val="21"/>
          <w:szCs w:val="21"/>
          <w:color w:val="auto"/>
        </w:rPr>
        <w:t>(612) 667-3539</w:t>
      </w:r>
    </w:p>
    <w:p>
      <w:pPr>
        <w:spacing w:after="0" w:line="1" w:lineRule="exact"/>
        <w:rPr>
          <w:sz w:val="20"/>
          <w:szCs w:val="20"/>
          <w:color w:val="auto"/>
        </w:rPr>
      </w:pPr>
    </w:p>
    <w:p>
      <w:pPr>
        <w:ind w:left="4520"/>
        <w:spacing w:after="0"/>
        <w:tabs>
          <w:tab w:leader="none" w:pos="6500" w:val="left"/>
        </w:tabs>
        <w:rPr>
          <w:sz w:val="20"/>
          <w:szCs w:val="20"/>
          <w:color w:val="auto"/>
        </w:rPr>
      </w:pPr>
      <w:r>
        <w:rPr>
          <w:rFonts w:ascii="Times New Roman" w:cs="Times New Roman" w:eastAsia="Times New Roman" w:hAnsi="Times New Roman"/>
          <w:sz w:val="22"/>
          <w:szCs w:val="22"/>
          <w:color w:val="auto"/>
        </w:rPr>
        <w:t>Telephone Number:</w:t>
      </w:r>
      <w:r>
        <w:rPr>
          <w:sz w:val="20"/>
          <w:szCs w:val="20"/>
          <w:color w:val="auto"/>
        </w:rPr>
        <w:tab/>
      </w:r>
      <w:r>
        <w:rPr>
          <w:rFonts w:ascii="Times New Roman" w:cs="Times New Roman" w:eastAsia="Times New Roman" w:hAnsi="Times New Roman"/>
          <w:sz w:val="21"/>
          <w:szCs w:val="21"/>
          <w:color w:val="auto"/>
        </w:rPr>
        <w:t>(612) 667-8058</w:t>
      </w:r>
    </w:p>
    <w:p>
      <w:pPr>
        <w:sectPr>
          <w:pgSz w:w="11900" w:h="16838" w:orient="portrait"/>
          <w:cols w:equalWidth="0" w:num="1">
            <w:col w:w="9640"/>
          </w:cols>
          <w:pgMar w:left="1440" w:top="261" w:right="819" w:bottom="1440" w:gutter="0" w:footer="0" w:header="0"/>
        </w:sectPr>
      </w:pPr>
    </w:p>
    <w:bookmarkStart w:id="67" w:name="page68"/>
    <w:bookmarkEnd w:id="67"/>
    <w:p>
      <w:pPr>
        <w:ind w:left="4520"/>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NEW YORK BRANCH,</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398"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Daniel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Daniel Gerber</w:t>
      </w:r>
    </w:p>
    <w:p>
      <w:pPr>
        <w:spacing w:after="0" w:line="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Title:  Director</w:t>
      </w:r>
    </w:p>
    <w:p>
      <w:pPr>
        <w:spacing w:after="0" w:line="398"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Robert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Robert Sheldon</w:t>
      </w:r>
    </w:p>
    <w:p>
      <w:pPr>
        <w:spacing w:after="0" w:line="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18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60 Wall Street</w:t>
      </w:r>
    </w:p>
    <w:p>
      <w:pPr>
        <w:ind w:left="4520"/>
        <w:spacing w:after="0"/>
        <w:rPr>
          <w:sz w:val="20"/>
          <w:szCs w:val="20"/>
          <w:color w:val="auto"/>
        </w:rPr>
      </w:pPr>
      <w:r>
        <w:rPr>
          <w:rFonts w:ascii="Times New Roman" w:cs="Times New Roman" w:eastAsia="Times New Roman" w:hAnsi="Times New Roman"/>
          <w:sz w:val="22"/>
          <w:szCs w:val="22"/>
          <w:color w:val="auto"/>
        </w:rPr>
        <w:t>New York, New York 10005</w:t>
      </w:r>
    </w:p>
    <w:p>
      <w:pPr>
        <w:spacing w:after="0" w:line="3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Attention: Mary Conners</w:t>
      </w:r>
    </w:p>
    <w:p>
      <w:pPr>
        <w:spacing w:after="0" w:line="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Telephone: (212) 250-4731</w:t>
      </w:r>
    </w:p>
    <w:p>
      <w:pPr>
        <w:ind w:left="4520"/>
        <w:spacing w:after="0"/>
        <w:rPr>
          <w:sz w:val="20"/>
          <w:szCs w:val="20"/>
          <w:color w:val="auto"/>
        </w:rPr>
      </w:pPr>
      <w:r>
        <w:rPr>
          <w:rFonts w:ascii="Times New Roman" w:cs="Times New Roman" w:eastAsia="Times New Roman" w:hAnsi="Times New Roman"/>
          <w:sz w:val="22"/>
          <w:szCs w:val="22"/>
          <w:color w:val="auto"/>
        </w:rPr>
        <w:t>Facsimile: (212) 797-5300</w:t>
      </w:r>
    </w:p>
    <w:p>
      <w:pPr>
        <w:sectPr>
          <w:pgSz w:w="11900" w:h="16838" w:orient="portrait"/>
          <w:cols w:equalWidth="0" w:num="1">
            <w:col w:w="9019"/>
          </w:cols>
          <w:pgMar w:left="1440" w:top="261" w:right="1440" w:bottom="1440" w:gutter="0" w:footer="0" w:header="0"/>
        </w:sectPr>
      </w:pPr>
    </w:p>
    <w:bookmarkStart w:id="68" w:name="page69"/>
    <w:bookmarkEnd w:id="68"/>
    <w:p>
      <w:pPr>
        <w:ind w:left="45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MOUNTCLIFF FUNDING LLC</w:t>
      </w:r>
    </w:p>
    <w:p>
      <w:pPr>
        <w:spacing w:after="0" w:line="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as Conduit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Josh 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Josh Borg</w:t>
      </w:r>
    </w:p>
    <w:p>
      <w:pPr>
        <w:spacing w:after="0" w:line="2"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20 Gates Management LLC</w:t>
      </w:r>
    </w:p>
    <w:p>
      <w:pPr>
        <w:ind w:left="4520"/>
        <w:spacing w:after="0" w:line="230" w:lineRule="auto"/>
        <w:rPr>
          <w:sz w:val="20"/>
          <w:szCs w:val="20"/>
          <w:color w:val="auto"/>
        </w:rPr>
      </w:pPr>
      <w:r>
        <w:rPr>
          <w:rFonts w:ascii="Times New Roman" w:cs="Times New Roman" w:eastAsia="Times New Roman" w:hAnsi="Times New Roman"/>
          <w:sz w:val="22"/>
          <w:szCs w:val="22"/>
          <w:color w:val="auto"/>
        </w:rPr>
        <w:t>30 Irving Place, 2</w:t>
      </w:r>
      <w:r>
        <w:rPr>
          <w:rFonts w:ascii="Times New Roman" w:cs="Times New Roman" w:eastAsia="Times New Roman" w:hAnsi="Times New Roman"/>
          <w:sz w:val="18"/>
          <w:szCs w:val="18"/>
          <w:color w:val="auto"/>
        </w:rPr>
        <w:t>nd</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New York, NY 10003</w:t>
      </w:r>
    </w:p>
    <w:p>
      <w:pPr>
        <w:spacing w:after="0" w:line="18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Attention: Vidrik Frankfather</w:t>
      </w:r>
    </w:p>
    <w:p>
      <w:pPr>
        <w:spacing w:after="0" w:line="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Telephone: (212) 295-4146</w:t>
      </w:r>
    </w:p>
    <w:p>
      <w:pPr>
        <w:ind w:left="4520"/>
        <w:spacing w:after="0"/>
        <w:rPr>
          <w:sz w:val="20"/>
          <w:szCs w:val="20"/>
          <w:color w:val="auto"/>
        </w:rPr>
      </w:pPr>
      <w:r>
        <w:rPr>
          <w:rFonts w:ascii="Times New Roman" w:cs="Times New Roman" w:eastAsia="Times New Roman" w:hAnsi="Times New Roman"/>
          <w:sz w:val="22"/>
          <w:szCs w:val="22"/>
          <w:color w:val="auto"/>
        </w:rPr>
        <w:t>Facsimile: (212) 295-3785</w:t>
      </w:r>
    </w:p>
    <w:p>
      <w:pPr>
        <w:sectPr>
          <w:pgSz w:w="11900" w:h="16838" w:orient="portrait"/>
          <w:cols w:equalWidth="0" w:num="1">
            <w:col w:w="9019"/>
          </w:cols>
          <w:pgMar w:left="1440" w:top="261" w:right="1440" w:bottom="1440" w:gutter="0" w:footer="0" w:header="0"/>
        </w:sectPr>
      </w:pPr>
    </w:p>
    <w:bookmarkStart w:id="69" w:name="page70"/>
    <w:bookmarkEnd w:id="69"/>
    <w:p>
      <w:pPr>
        <w:ind w:left="452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SUISSE AG, CAYMAN ISLANDS BRANCH as Alternate Purchaser</w:t>
      </w:r>
    </w:p>
    <w:p>
      <w:pPr>
        <w:spacing w:after="0" w:line="158"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Patrick J.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Patrick J. Hart</w:t>
      </w:r>
    </w:p>
    <w:p>
      <w:pPr>
        <w:spacing w:after="0" w:line="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182"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Jason D. Muncy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Jason D. Muncy</w:t>
      </w:r>
    </w:p>
    <w:p>
      <w:pPr>
        <w:spacing w:after="0" w:line="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18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Eleven Madison Avenue</w:t>
      </w:r>
    </w:p>
    <w:p>
      <w:pPr>
        <w:ind w:left="452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18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Attention: Conduits and Credit Products Group</w:t>
      </w:r>
    </w:p>
    <w:p>
      <w:pPr>
        <w:spacing w:after="0" w:line="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Telephone: (212) 325-6688</w:t>
      </w:r>
    </w:p>
    <w:p>
      <w:pPr>
        <w:ind w:left="4520"/>
        <w:spacing w:after="0"/>
        <w:rPr>
          <w:sz w:val="20"/>
          <w:szCs w:val="20"/>
          <w:color w:val="auto"/>
        </w:rPr>
      </w:pPr>
      <w:r>
        <w:rPr>
          <w:rFonts w:ascii="Times New Roman" w:cs="Times New Roman" w:eastAsia="Times New Roman" w:hAnsi="Times New Roman"/>
          <w:sz w:val="22"/>
          <w:szCs w:val="22"/>
          <w:color w:val="auto"/>
        </w:rPr>
        <w:t>Facsimile: (212) 325-4599</w:t>
      </w:r>
    </w:p>
    <w:p>
      <w:pPr>
        <w:sectPr>
          <w:pgSz w:w="11900" w:h="16838" w:orient="portrait"/>
          <w:cols w:equalWidth="0" w:num="1">
            <w:col w:w="9420"/>
          </w:cols>
          <w:pgMar w:left="1440" w:top="261" w:right="1039" w:bottom="1440" w:gutter="0" w:footer="0" w:header="0"/>
        </w:sectPr>
      </w:pPr>
    </w:p>
    <w:bookmarkStart w:id="70" w:name="page71"/>
    <w:bookmarkEnd w:id="70"/>
    <w:p>
      <w:pPr>
        <w:ind w:left="4520"/>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SUISSE AG, NEW YORK BRANCH</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as Funding Agent</w:t>
      </w:r>
    </w:p>
    <w:p>
      <w:pPr>
        <w:spacing w:after="0" w:line="398"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Patrick J.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Patrick J. Hart</w:t>
      </w:r>
    </w:p>
    <w:p>
      <w:pPr>
        <w:spacing w:after="0" w:line="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182"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Jason Muncy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Jason Muncy</w:t>
      </w:r>
    </w:p>
    <w:p>
      <w:pPr>
        <w:spacing w:after="0" w:line="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18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Eleven Madison Avenue</w:t>
      </w:r>
    </w:p>
    <w:p>
      <w:pPr>
        <w:ind w:left="452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18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Attention: Conduits and Credit Products Group</w:t>
      </w:r>
    </w:p>
    <w:p>
      <w:pPr>
        <w:spacing w:after="0" w:line="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Telephone: (212) 325-6688</w:t>
      </w:r>
    </w:p>
    <w:p>
      <w:pPr>
        <w:ind w:left="4520"/>
        <w:spacing w:after="0"/>
        <w:rPr>
          <w:sz w:val="20"/>
          <w:szCs w:val="20"/>
          <w:color w:val="auto"/>
        </w:rPr>
      </w:pPr>
      <w:r>
        <w:rPr>
          <w:rFonts w:ascii="Times New Roman" w:cs="Times New Roman" w:eastAsia="Times New Roman" w:hAnsi="Times New Roman"/>
          <w:sz w:val="22"/>
          <w:szCs w:val="22"/>
          <w:color w:val="auto"/>
        </w:rPr>
        <w:t>Facsimile: (212) 325-4599</w:t>
      </w:r>
    </w:p>
    <w:p>
      <w:pPr>
        <w:sectPr>
          <w:pgSz w:w="11900" w:h="16838" w:orient="portrait"/>
          <w:cols w:equalWidth="0" w:num="1">
            <w:col w:w="9019"/>
          </w:cols>
          <w:pgMar w:left="1440" w:top="261" w:right="1440" w:bottom="1440" w:gutter="0" w:footer="0" w:header="0"/>
        </w:sectPr>
      </w:pPr>
    </w:p>
    <w:bookmarkStart w:id="71" w:name="page72"/>
    <w:bookmarkEnd w:id="71"/>
    <w:p>
      <w:pPr>
        <w:ind w:left="45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SUNTRUST BANK</w:t>
      </w:r>
    </w:p>
    <w:p>
      <w:pPr>
        <w:spacing w:after="0" w:line="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as Non-Conduit Committed Purchaser</w:t>
      </w:r>
    </w:p>
    <w:p>
      <w:pPr>
        <w:spacing w:after="0" w:line="182"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Michael Peden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Michael Peden</w:t>
      </w:r>
    </w:p>
    <w:p>
      <w:pPr>
        <w:spacing w:after="0" w:line="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18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3333 Peachtree Street NE</w:t>
      </w:r>
    </w:p>
    <w:p>
      <w:pPr>
        <w:ind w:left="4520"/>
        <w:spacing w:after="0" w:line="230"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Floor East</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Atlanta, Georgia 30326</w:t>
      </w:r>
    </w:p>
    <w:p>
      <w:pPr>
        <w:spacing w:after="0" w:line="18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Attention: Kayla Williams and David Morley</w:t>
      </w:r>
    </w:p>
    <w:p>
      <w:pPr>
        <w:spacing w:after="0" w:line="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Telephone: (404) 926-5475</w:t>
      </w:r>
    </w:p>
    <w:p>
      <w:pPr>
        <w:ind w:left="4520"/>
        <w:spacing w:after="0"/>
        <w:rPr>
          <w:sz w:val="20"/>
          <w:szCs w:val="20"/>
          <w:color w:val="auto"/>
        </w:rPr>
      </w:pPr>
      <w:r>
        <w:rPr>
          <w:rFonts w:ascii="Times New Roman" w:cs="Times New Roman" w:eastAsia="Times New Roman" w:hAnsi="Times New Roman"/>
          <w:sz w:val="22"/>
          <w:szCs w:val="22"/>
          <w:color w:val="auto"/>
        </w:rPr>
        <w:t>Facsimile: (404) 495-2171</w:t>
      </w:r>
    </w:p>
    <w:p>
      <w:pPr>
        <w:sectPr>
          <w:pgSz w:w="11900" w:h="16838" w:orient="portrait"/>
          <w:cols w:equalWidth="0" w:num="1">
            <w:col w:w="9019"/>
          </w:cols>
          <w:pgMar w:left="1440" w:top="261" w:right="1440" w:bottom="1440" w:gutter="0" w:footer="0" w:header="0"/>
        </w:sectPr>
      </w:pPr>
    </w:p>
    <w:bookmarkStart w:id="72" w:name="page73"/>
    <w:bookmarkEnd w:id="72"/>
    <w:p>
      <w:pPr>
        <w:ind w:left="4520"/>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DEUTSCHE BANK AG, NEW YORK BRANCH</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as Non-Conduit Committed Purchaser</w:t>
      </w:r>
    </w:p>
    <w:p>
      <w:pPr>
        <w:spacing w:after="0" w:line="182"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Daniel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Daniel Gerber</w:t>
      </w:r>
    </w:p>
    <w:p>
      <w:pPr>
        <w:spacing w:after="0" w:line="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Title:  Director</w:t>
      </w:r>
    </w:p>
    <w:p>
      <w:pPr>
        <w:spacing w:after="0" w:line="182"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Robert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Robert Sheldon</w:t>
      </w:r>
    </w:p>
    <w:p>
      <w:pPr>
        <w:spacing w:after="0" w:line="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60 Wall Street</w:t>
      </w:r>
    </w:p>
    <w:p>
      <w:pPr>
        <w:ind w:left="4520"/>
        <w:spacing w:after="0"/>
        <w:rPr>
          <w:sz w:val="20"/>
          <w:szCs w:val="20"/>
          <w:color w:val="auto"/>
        </w:rPr>
      </w:pPr>
      <w:r>
        <w:rPr>
          <w:rFonts w:ascii="Times New Roman" w:cs="Times New Roman" w:eastAsia="Times New Roman" w:hAnsi="Times New Roman"/>
          <w:sz w:val="22"/>
          <w:szCs w:val="22"/>
          <w:color w:val="auto"/>
        </w:rPr>
        <w:t>New York, New York 10005</w:t>
      </w:r>
    </w:p>
    <w:p>
      <w:pPr>
        <w:spacing w:after="0" w:line="3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Attention: Mary Conners</w:t>
      </w:r>
    </w:p>
    <w:p>
      <w:pPr>
        <w:spacing w:after="0" w:line="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Telephone: (212) 250-4731</w:t>
      </w:r>
    </w:p>
    <w:p>
      <w:pPr>
        <w:ind w:left="4520"/>
        <w:spacing w:after="0"/>
        <w:rPr>
          <w:sz w:val="20"/>
          <w:szCs w:val="20"/>
          <w:color w:val="auto"/>
        </w:rPr>
      </w:pPr>
      <w:r>
        <w:rPr>
          <w:rFonts w:ascii="Times New Roman" w:cs="Times New Roman" w:eastAsia="Times New Roman" w:hAnsi="Times New Roman"/>
          <w:sz w:val="22"/>
          <w:szCs w:val="22"/>
          <w:color w:val="auto"/>
        </w:rPr>
        <w:t>Facsimile: (212) 797-5300</w:t>
      </w:r>
    </w:p>
    <w:p>
      <w:pPr>
        <w:sectPr>
          <w:pgSz w:w="11900" w:h="16838" w:orient="portrait"/>
          <w:cols w:equalWidth="0" w:num="1">
            <w:col w:w="9019"/>
          </w:cols>
          <w:pgMar w:left="1440" w:top="261" w:right="1440" w:bottom="1440" w:gutter="0" w:footer="0" w:header="0"/>
        </w:sectPr>
      </w:pPr>
    </w:p>
    <w:bookmarkStart w:id="73" w:name="page74"/>
    <w:bookmarkEnd w:id="73"/>
    <w:p>
      <w:pPr>
        <w:ind w:left="45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w:t>
      </w:r>
    </w:p>
    <w:p>
      <w:pPr>
        <w:spacing w:after="0" w:line="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as Non-Conduit Committed Purchaser</w:t>
      </w:r>
    </w:p>
    <w:p>
      <w:pPr>
        <w:spacing w:after="0" w:line="182"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Robert R.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Robert R. Wood</w:t>
      </w:r>
    </w:p>
    <w:p>
      <w:pPr>
        <w:spacing w:after="0" w:line="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Title:  Director</w:t>
      </w:r>
    </w:p>
    <w:p>
      <w:pPr>
        <w:spacing w:after="0" w:line="18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Bank of America, National Association</w:t>
      </w:r>
    </w:p>
    <w:p>
      <w:pPr>
        <w:ind w:left="4520"/>
        <w:spacing w:after="0" w:line="230" w:lineRule="auto"/>
        <w:rPr>
          <w:sz w:val="20"/>
          <w:szCs w:val="20"/>
          <w:color w:val="auto"/>
        </w:rPr>
      </w:pPr>
      <w:r>
        <w:rPr>
          <w:rFonts w:ascii="Times New Roman" w:cs="Times New Roman" w:eastAsia="Times New Roman" w:hAnsi="Times New Roman"/>
          <w:sz w:val="22"/>
          <w:szCs w:val="22"/>
          <w:color w:val="auto"/>
        </w:rPr>
        <w:t>214 North Tryon Street, 15th Floor</w:t>
      </w:r>
    </w:p>
    <w:p>
      <w:pPr>
        <w:ind w:left="4520"/>
        <w:spacing w:after="0" w:line="231" w:lineRule="auto"/>
        <w:rPr>
          <w:sz w:val="20"/>
          <w:szCs w:val="20"/>
          <w:color w:val="auto"/>
        </w:rPr>
      </w:pPr>
      <w:r>
        <w:rPr>
          <w:rFonts w:ascii="Times New Roman" w:cs="Times New Roman" w:eastAsia="Times New Roman" w:hAnsi="Times New Roman"/>
          <w:sz w:val="22"/>
          <w:szCs w:val="22"/>
          <w:color w:val="auto"/>
        </w:rPr>
        <w:t>NC1-027-15-01</w:t>
      </w:r>
    </w:p>
    <w:p>
      <w:pPr>
        <w:ind w:left="4520"/>
        <w:spacing w:after="0" w:line="230" w:lineRule="auto"/>
        <w:rPr>
          <w:sz w:val="20"/>
          <w:szCs w:val="20"/>
          <w:color w:val="auto"/>
        </w:rPr>
      </w:pPr>
      <w:r>
        <w:rPr>
          <w:rFonts w:ascii="Times New Roman" w:cs="Times New Roman" w:eastAsia="Times New Roman" w:hAnsi="Times New Roman"/>
          <w:sz w:val="22"/>
          <w:szCs w:val="22"/>
          <w:color w:val="auto"/>
        </w:rPr>
        <w:t>Charlotte, North Carolina 28255</w:t>
      </w:r>
    </w:p>
    <w:p>
      <w:pPr>
        <w:spacing w:after="0" w:line="1" w:lineRule="exact"/>
        <w:rPr>
          <w:sz w:val="20"/>
          <w:szCs w:val="20"/>
          <w:color w:val="auto"/>
        </w:rPr>
      </w:pPr>
    </w:p>
    <w:p>
      <w:pPr>
        <w:ind w:left="4520"/>
        <w:spacing w:after="0" w:line="230" w:lineRule="auto"/>
        <w:rPr>
          <w:sz w:val="20"/>
          <w:szCs w:val="20"/>
          <w:color w:val="auto"/>
        </w:rPr>
      </w:pPr>
      <w:r>
        <w:rPr>
          <w:rFonts w:ascii="Times New Roman" w:cs="Times New Roman" w:eastAsia="Times New Roman" w:hAnsi="Times New Roman"/>
          <w:sz w:val="22"/>
          <w:szCs w:val="22"/>
          <w:color w:val="auto"/>
        </w:rPr>
        <w:t>Attention: Securitization Finance Group c/o Robert Wood / Christen Picoli</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Telephone: 980-388-5938 / 980-388-8138</w:t>
      </w:r>
    </w:p>
    <w:p>
      <w:pPr>
        <w:sectPr>
          <w:pgSz w:w="11900" w:h="16838" w:orient="portrait"/>
          <w:cols w:equalWidth="0" w:num="1">
            <w:col w:w="9640"/>
          </w:cols>
          <w:pgMar w:left="1440" w:top="261" w:right="819" w:bottom="1440" w:gutter="0" w:footer="0" w:header="0"/>
        </w:sectPr>
      </w:pPr>
    </w:p>
    <w:bookmarkStart w:id="74" w:name="page75"/>
    <w:bookmarkEnd w:id="74"/>
    <w:p>
      <w:pPr>
        <w:ind w:left="4520"/>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WELLS FARGO CAPITAL FINANCE, LLC</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as Non-Conduit Committed Purchaser</w:t>
      </w:r>
    </w:p>
    <w:p>
      <w:pPr>
        <w:spacing w:after="0" w:line="182"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Ajay Jagsi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Ajay Jagsi</w:t>
      </w:r>
    </w:p>
    <w:p>
      <w:pPr>
        <w:spacing w:after="0" w:line="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18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14241 Dallas Parkway, Suite 1300</w:t>
      </w:r>
    </w:p>
    <w:p>
      <w:pPr>
        <w:ind w:left="4520"/>
        <w:spacing w:after="0"/>
        <w:rPr>
          <w:sz w:val="20"/>
          <w:szCs w:val="20"/>
          <w:color w:val="auto"/>
        </w:rPr>
      </w:pPr>
      <w:r>
        <w:rPr>
          <w:rFonts w:ascii="Times New Roman" w:cs="Times New Roman" w:eastAsia="Times New Roman" w:hAnsi="Times New Roman"/>
          <w:sz w:val="22"/>
          <w:szCs w:val="22"/>
          <w:color w:val="auto"/>
        </w:rPr>
        <w:t>Dallas, Texas 75254</w:t>
      </w:r>
    </w:p>
    <w:p>
      <w:pPr>
        <w:spacing w:after="0" w:line="3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Attention: Ajay Jagsi</w:t>
      </w:r>
    </w:p>
    <w:p>
      <w:pPr>
        <w:spacing w:after="0" w:line="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Telephone: (972) 361-7220</w:t>
      </w:r>
    </w:p>
    <w:p>
      <w:pPr>
        <w:ind w:left="4520"/>
        <w:spacing w:after="0"/>
        <w:rPr>
          <w:sz w:val="20"/>
          <w:szCs w:val="20"/>
          <w:color w:val="auto"/>
        </w:rPr>
      </w:pPr>
      <w:r>
        <w:rPr>
          <w:rFonts w:ascii="Times New Roman" w:cs="Times New Roman" w:eastAsia="Times New Roman" w:hAnsi="Times New Roman"/>
          <w:sz w:val="22"/>
          <w:szCs w:val="22"/>
          <w:color w:val="auto"/>
        </w:rPr>
        <w:t>Facsimile: (866) 719-9124</w:t>
      </w:r>
    </w:p>
    <w:p>
      <w:pPr>
        <w:sectPr>
          <w:pgSz w:w="11900" w:h="16838" w:orient="portrait"/>
          <w:cols w:equalWidth="0" w:num="1">
            <w:col w:w="9019"/>
          </w:cols>
          <w:pgMar w:left="1440" w:top="261" w:right="1440"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FIRST AMENDMENT</w:t>
      </w:r>
    </w:p>
    <w:p>
      <w:pPr>
        <w:spacing w:after="0" w:line="21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FIRST AMENDMENT, dated as of June 26, 2015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to the Second Amended and Restated Credit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dated as of September 10, 2014 (as amended, supplemented or otherwise modified prior to the date hereof, the “</w:t>
      </w:r>
      <w:r>
        <w:rPr>
          <w:rFonts w:ascii="Times New Roman" w:cs="Times New Roman" w:eastAsia="Times New Roman" w:hAnsi="Times New Roman"/>
          <w:sz w:val="20"/>
          <w:szCs w:val="20"/>
          <w:u w:val="single" w:color="auto"/>
          <w:color w:val="auto"/>
        </w:rPr>
        <w:t>Credit</w:t>
      </w:r>
    </w:p>
    <w:p>
      <w:pPr>
        <w:spacing w:after="0"/>
        <w:rPr>
          <w:sz w:val="20"/>
          <w:szCs w:val="20"/>
          <w:color w:val="auto"/>
        </w:rPr>
      </w:pP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among Marriott Vacations Worldwide Corporation, a Delaware corporation (“</w:t>
      </w:r>
      <w:r>
        <w:rPr>
          <w:rFonts w:ascii="Times New Roman" w:cs="Times New Roman" w:eastAsia="Times New Roman" w:hAnsi="Times New Roman"/>
          <w:sz w:val="20"/>
          <w:szCs w:val="20"/>
          <w:u w:val="single" w:color="auto"/>
          <w:color w:val="auto"/>
        </w:rPr>
        <w:t>MVWC</w:t>
      </w:r>
      <w:r>
        <w:rPr>
          <w:rFonts w:ascii="Times New Roman" w:cs="Times New Roman" w:eastAsia="Times New Roman" w:hAnsi="Times New Roman"/>
          <w:sz w:val="20"/>
          <w:szCs w:val="20"/>
          <w:color w:val="auto"/>
        </w:rPr>
        <w:t>”), Marriott Ownership Resorts, Inc., a</w:t>
      </w:r>
    </w:p>
    <w:p>
      <w:pPr>
        <w:spacing w:after="0"/>
        <w:rPr>
          <w:sz w:val="20"/>
          <w:szCs w:val="20"/>
          <w:color w:val="auto"/>
        </w:rPr>
      </w:pPr>
      <w:r>
        <w:rPr>
          <w:rFonts w:ascii="Times New Roman" w:cs="Times New Roman" w:eastAsia="Times New Roman" w:hAnsi="Times New Roman"/>
          <w:sz w:val="20"/>
          <w:szCs w:val="20"/>
          <w:color w:val="auto"/>
        </w:rPr>
        <w:t>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several banks and other financial institutions or entities from time to time party thereto (the</w:t>
      </w: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Bank of America, N.A. and Deutsche Bank Securities Inc., as co-syndication agents, Bank of America, N.A. and Deutsche Bank</w:t>
      </w:r>
    </w:p>
    <w:p>
      <w:pPr>
        <w:spacing w:after="0"/>
        <w:rPr>
          <w:sz w:val="20"/>
          <w:szCs w:val="20"/>
          <w:color w:val="auto"/>
        </w:rPr>
      </w:pPr>
      <w:r>
        <w:rPr>
          <w:rFonts w:ascii="Times New Roman" w:cs="Times New Roman" w:eastAsia="Times New Roman" w:hAnsi="Times New Roman"/>
          <w:sz w:val="20"/>
          <w:szCs w:val="20"/>
          <w:color w:val="auto"/>
        </w:rPr>
        <w:t>Securities Inc. as co-documentation agents and JPMorgan Chase Bank, N.A., as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p>
    <w:p>
      <w:pPr>
        <w:spacing w:after="0" w:line="21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WHEREAS, MVWC, the Borrower, the Lenders and the Administrative Agent are parties to the Credit Agreement; and</w:t>
      </w:r>
    </w:p>
    <w:p>
      <w:pPr>
        <w:spacing w:after="0" w:line="216" w:lineRule="exact"/>
        <w:rPr>
          <w:sz w:val="20"/>
          <w:szCs w:val="20"/>
          <w:color w:val="auto"/>
        </w:rPr>
      </w:pPr>
    </w:p>
    <w:p>
      <w:pPr>
        <w:ind w:right="480" w:firstLine="1369"/>
        <w:spacing w:after="0" w:line="269" w:lineRule="auto"/>
        <w:rPr>
          <w:sz w:val="20"/>
          <w:szCs w:val="20"/>
          <w:color w:val="auto"/>
        </w:rPr>
      </w:pPr>
      <w:r>
        <w:rPr>
          <w:rFonts w:ascii="Times New Roman" w:cs="Times New Roman" w:eastAsia="Times New Roman" w:hAnsi="Times New Roman"/>
          <w:sz w:val="20"/>
          <w:szCs w:val="20"/>
          <w:color w:val="auto"/>
        </w:rPr>
        <w:t>WHEREAS, MVWC and the Borrower have requested that the Credit Agreement be amended as set forth herein and the Lenders and the Administrative Agent have agreed to enter into this Amendment.</w:t>
      </w:r>
    </w:p>
    <w:p>
      <w:pPr>
        <w:spacing w:after="0" w:line="16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NOW, THEREFORE, in consideration of the premises and mutual covenants contained herein, the parties hereto agree 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194" w:lineRule="exact"/>
        <w:rPr>
          <w:sz w:val="20"/>
          <w:szCs w:val="20"/>
          <w:color w:val="auto"/>
        </w:rPr>
      </w:pPr>
    </w:p>
    <w:p>
      <w:pPr>
        <w:ind w:right="120" w:firstLine="799"/>
        <w:spacing w:after="0" w:line="269"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Capitalized Terms</w:t>
      </w:r>
      <w:r>
        <w:rPr>
          <w:rFonts w:ascii="Times New Roman" w:cs="Times New Roman" w:eastAsia="Times New Roman" w:hAnsi="Times New Roman"/>
          <w:sz w:val="20"/>
          <w:szCs w:val="20"/>
          <w:color w:val="auto"/>
        </w:rPr>
        <w:t>. Capitalized terms used but not defined herein shall have the meanings assigned to such terms in the Credit Agreement.</w:t>
      </w:r>
    </w:p>
    <w:p>
      <w:pPr>
        <w:spacing w:after="0" w:line="160" w:lineRule="exact"/>
        <w:rPr>
          <w:sz w:val="20"/>
          <w:szCs w:val="20"/>
          <w:color w:val="auto"/>
        </w:rPr>
      </w:pPr>
    </w:p>
    <w:p>
      <w:pPr>
        <w:ind w:right="220" w:firstLine="799"/>
        <w:spacing w:after="0" w:line="249"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xml:space="preserve">. (a) The Credit Agreement is hereby amended as of the First Amendment Effective Date to delete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to add the double-underlined text (indicated textually in the same manner as the following example: </w:t>
      </w:r>
      <w:r>
        <w:rPr>
          <w:rFonts w:ascii="Times New Roman" w:cs="Times New Roman" w:eastAsia="Times New Roman" w:hAnsi="Times New Roman"/>
          <w:sz w:val="20"/>
          <w:szCs w:val="20"/>
          <w:u w:val="single" w:color="auto"/>
          <w:color w:val="0000FF"/>
        </w:rPr>
        <w:t>double-underlined text</w:t>
      </w:r>
      <w:r>
        <w:rPr>
          <w:rFonts w:ascii="Times New Roman" w:cs="Times New Roman" w:eastAsia="Times New Roman" w:hAnsi="Times New Roman"/>
          <w:sz w:val="20"/>
          <w:szCs w:val="20"/>
          <w:color w:val="auto"/>
        </w:rPr>
        <w:t xml:space="preserve">) as set forth in the pages of the Credit Agreement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w:t>
      </w:r>
    </w:p>
    <w:p>
      <w:pPr>
        <w:spacing w:after="0" w:line="180" w:lineRule="exact"/>
        <w:rPr>
          <w:sz w:val="20"/>
          <w:szCs w:val="20"/>
          <w:color w:val="auto"/>
        </w:rPr>
      </w:pPr>
    </w:p>
    <w:p>
      <w:pPr>
        <w:ind w:right="80" w:firstLine="1377"/>
        <w:spacing w:after="0" w:line="249" w:lineRule="auto"/>
        <w:tabs>
          <w:tab w:leader="none" w:pos="18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Agreement is further amended as of the First Amendment Effective Date by (i) deleting Schedule 1.1A in its entirety and replacing it with a new Schedule 1.1A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(ii) deleting Schedule 1.1C in its entirety and replacing it with a new Schedule 1.1C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hereto and (iii) deleting Schedule 4.21 in its entirety and replacing it with a new Schedule 4.21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hereto.</w:t>
      </w:r>
    </w:p>
    <w:p>
      <w:pPr>
        <w:spacing w:after="0" w:line="180" w:lineRule="exact"/>
        <w:rPr>
          <w:sz w:val="20"/>
          <w:szCs w:val="20"/>
          <w:color w:val="auto"/>
        </w:rPr>
      </w:pPr>
    </w:p>
    <w:p>
      <w:pPr>
        <w:ind w:right="800" w:firstLine="799"/>
        <w:spacing w:after="0" w:line="269"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Conditions to Effectiveness of Amendment</w:t>
      </w:r>
      <w:r>
        <w:rPr>
          <w:rFonts w:ascii="Times New Roman" w:cs="Times New Roman" w:eastAsia="Times New Roman" w:hAnsi="Times New Roman"/>
          <w:sz w:val="20"/>
          <w:szCs w:val="20"/>
          <w:color w:val="auto"/>
        </w:rPr>
        <w:t>. This Amendment shall become effective on the date on which the following conditions precedent have been satisfied or waived (the “</w:t>
      </w:r>
      <w:r>
        <w:rPr>
          <w:rFonts w:ascii="Times New Roman" w:cs="Times New Roman" w:eastAsia="Times New Roman" w:hAnsi="Times New Roman"/>
          <w:sz w:val="20"/>
          <w:szCs w:val="20"/>
          <w:u w:val="single" w:color="auto"/>
          <w:color w:val="auto"/>
        </w:rPr>
        <w:t>First Amendment Effective Date</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right="560" w:firstLine="1377"/>
        <w:spacing w:after="0" w:line="269" w:lineRule="auto"/>
        <w:tabs>
          <w:tab w:leader="none" w:pos="183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counterpart of this Amendment, executed and delivered by a duly authorized officer of each of (A) MWVC, (B) the Borrower, (C) the Lenders and (D) the Administrative Agent.</w:t>
      </w:r>
    </w:p>
    <w:p>
      <w:pPr>
        <w:spacing w:after="0" w:line="159" w:lineRule="exact"/>
        <w:rPr>
          <w:rFonts w:ascii="Times New Roman" w:cs="Times New Roman" w:eastAsia="Times New Roman" w:hAnsi="Times New Roman"/>
          <w:sz w:val="20"/>
          <w:szCs w:val="20"/>
          <w:color w:val="auto"/>
        </w:rPr>
      </w:pPr>
    </w:p>
    <w:p>
      <w:pPr>
        <w:ind w:right="40" w:firstLine="1377"/>
        <w:spacing w:after="0" w:line="247" w:lineRule="auto"/>
        <w:tabs>
          <w:tab w:leader="none" w:pos="184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this Amendment, each of the representations and warranties made by any Loan Party in or pursuant to the Loan Documents shall be true and correct in all material respects on and as of the First Amendment Effective Date (except to the extent such representations and warranties expressly relate to an earlier date, in which case such representations and warranties shall be true and correct in all material respects as of such earlier date), except that any representation and warranty that is qualified as to “materiality” or “Material Adverse Effect” shall be true and correct in all respects.</w:t>
      </w:r>
    </w:p>
    <w:p>
      <w:pPr>
        <w:sectPr>
          <w:pgSz w:w="11900" w:h="16838" w:orient="portrait"/>
          <w:cols w:equalWidth="0" w:num="1">
            <w:col w:w="11420"/>
          </w:cols>
          <w:pgMar w:left="240" w:top="114" w:right="239" w:bottom="1440" w:gutter="0" w:footer="0" w:header="0"/>
        </w:sectPr>
      </w:pPr>
    </w:p>
    <w:bookmarkStart w:id="76" w:name="page77"/>
    <w:bookmarkEnd w:id="76"/>
    <w:p>
      <w:pPr>
        <w:ind w:right="280" w:firstLine="1377"/>
        <w:spacing w:after="0" w:line="296" w:lineRule="auto"/>
        <w:tabs>
          <w:tab w:leader="none" w:pos="1836"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Default or Event of Default has occurred and is continuing on the First Amendment Effective Date or after giving effect to the amendments contemplated herein and the extensions of credit requested to be made on the First Amendment Effective Date.</w:t>
      </w:r>
    </w:p>
    <w:p>
      <w:pPr>
        <w:spacing w:after="0" w:line="136" w:lineRule="exact"/>
        <w:rPr>
          <w:rFonts w:ascii="Times New Roman" w:cs="Times New Roman" w:eastAsia="Times New Roman" w:hAnsi="Times New Roman"/>
          <w:sz w:val="19"/>
          <w:szCs w:val="19"/>
          <w:color w:val="auto"/>
        </w:rPr>
      </w:pPr>
    </w:p>
    <w:p>
      <w:pPr>
        <w:ind w:right="60" w:firstLine="1377"/>
        <w:spacing w:after="0" w:line="249" w:lineRule="auto"/>
        <w:tabs>
          <w:tab w:leader="none" w:pos="18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governmental and third party approvals necessary in connection with the transactions contemplated hereby and by the Credit Agreement shall have been obtained and be in full force and effect, and all applicable waiting periods shall have expired without any action being taken or, to the Borrower’s knowledge, threatened by any competent authority that would restrain, prevent or otherwise impose adverse conditions on the financing contemplated hereby.</w:t>
      </w:r>
    </w:p>
    <w:p>
      <w:pPr>
        <w:spacing w:after="0" w:line="180" w:lineRule="exact"/>
        <w:rPr>
          <w:rFonts w:ascii="Times New Roman" w:cs="Times New Roman" w:eastAsia="Times New Roman" w:hAnsi="Times New Roman"/>
          <w:sz w:val="20"/>
          <w:szCs w:val="20"/>
          <w:color w:val="auto"/>
        </w:rPr>
      </w:pPr>
    </w:p>
    <w:p>
      <w:pPr>
        <w:ind w:right="260" w:firstLine="1377"/>
        <w:spacing w:after="0" w:line="269" w:lineRule="auto"/>
        <w:tabs>
          <w:tab w:leader="none" w:pos="183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and the Administrative Agent shall have received all fees required to be paid, and all expenses for which invoices have been presented to the Borrower on or before the First Amendment Effective Date.</w:t>
      </w:r>
    </w:p>
    <w:p>
      <w:pPr>
        <w:spacing w:after="0" w:line="159" w:lineRule="exact"/>
        <w:rPr>
          <w:rFonts w:ascii="Times New Roman" w:cs="Times New Roman" w:eastAsia="Times New Roman" w:hAnsi="Times New Roman"/>
          <w:sz w:val="20"/>
          <w:szCs w:val="20"/>
          <w:color w:val="auto"/>
        </w:rPr>
      </w:pPr>
    </w:p>
    <w:p>
      <w:pPr>
        <w:ind w:right="300" w:firstLine="1377"/>
        <w:spacing w:after="0" w:line="254" w:lineRule="auto"/>
        <w:tabs>
          <w:tab w:leader="none" w:pos="1815"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the other Lenders shall have received, at least 5 days prior to the First Amendment Effective Date, all documentation and other information required by regulatory authorities under applicable “know your customer” and anti-money laundering rules and regulations, including the Patriot Act, previously requested of the Borrower by the Administrative Agent.</w:t>
      </w:r>
    </w:p>
    <w:p>
      <w:pPr>
        <w:spacing w:after="0" w:line="175" w:lineRule="exact"/>
        <w:rPr>
          <w:sz w:val="20"/>
          <w:szCs w:val="20"/>
          <w:color w:val="auto"/>
        </w:rPr>
      </w:pPr>
    </w:p>
    <w:p>
      <w:pPr>
        <w:ind w:right="40" w:firstLine="799"/>
        <w:spacing w:after="0" w:line="245"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Each of the Borrower and MVWC hereby represents and warrants that (a) each of the representations and warranties contained in Section 4 of the Credit Agreement are, after giving effect to this Amendment, true and correct in all material respects (and in all respects if qualified by materiality) as if made on and as of the First Amendment Effective Date (or to the extent such representations and warranties expressly relate to a specific earlier date, as of such earlier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each reference to the Credit Agreement therein shall be deemed to be a reference to the Credit Agreement after giving effect to this Amendment and (b) after giving effect to this Amendment, no Default or Event of Default has occurred and is continuing.</w:t>
      </w:r>
    </w:p>
    <w:p>
      <w:pPr>
        <w:spacing w:after="0" w:line="185" w:lineRule="exact"/>
        <w:rPr>
          <w:sz w:val="20"/>
          <w:szCs w:val="20"/>
          <w:color w:val="auto"/>
        </w:rPr>
      </w:pPr>
    </w:p>
    <w:p>
      <w:pPr>
        <w:ind w:firstLine="799"/>
        <w:spacing w:after="0" w:line="269"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Effects on Credit Documents</w:t>
      </w:r>
      <w:r>
        <w:rPr>
          <w:rFonts w:ascii="Times New Roman" w:cs="Times New Roman" w:eastAsia="Times New Roman" w:hAnsi="Times New Roman"/>
          <w:sz w:val="20"/>
          <w:szCs w:val="20"/>
          <w:color w:val="auto"/>
        </w:rPr>
        <w:t>. (a) Except as specifically amended herein, all Loan Documents shall continue to be in full force and effect and are hereby in all respects ratified and confirmed.</w:t>
      </w:r>
    </w:p>
    <w:p>
      <w:pPr>
        <w:spacing w:after="0" w:line="160" w:lineRule="exact"/>
        <w:rPr>
          <w:sz w:val="20"/>
          <w:szCs w:val="20"/>
          <w:color w:val="auto"/>
        </w:rPr>
      </w:pPr>
    </w:p>
    <w:p>
      <w:pPr>
        <w:ind w:right="420" w:firstLine="1377"/>
        <w:spacing w:after="0" w:line="254" w:lineRule="auto"/>
        <w:tabs>
          <w:tab w:leader="none" w:pos="184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effectiveness of this Amendment shall not operate as a waiver of any right, power or remedy of any Lender or the Administrative Agent under any of the Loan Documents, nor constitute a waiver of any provision of the Loan Documents.</w:t>
      </w:r>
    </w:p>
    <w:p>
      <w:pPr>
        <w:spacing w:after="0" w:line="175" w:lineRule="exact"/>
        <w:rPr>
          <w:sz w:val="20"/>
          <w:szCs w:val="20"/>
          <w:color w:val="auto"/>
        </w:rPr>
      </w:pPr>
    </w:p>
    <w:p>
      <w:pPr>
        <w:ind w:right="240" w:firstLine="799"/>
        <w:spacing w:after="0" w:line="249"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Borrower agrees to pay and reimburse the Administrative Agent for all of its reasonable out-of-pocket costs and expenses incurred in connection with the preparation and delivery of this Amendment, and any other documents prepared in connection herewith and the transactions contemplated hereby, including, without limitation, the reasonable fees and disbursements of legal counsel.</w:t>
      </w:r>
    </w:p>
    <w:p>
      <w:pPr>
        <w:spacing w:after="0" w:line="180" w:lineRule="exact"/>
        <w:rPr>
          <w:sz w:val="20"/>
          <w:szCs w:val="20"/>
          <w:color w:val="auto"/>
        </w:rPr>
      </w:pPr>
    </w:p>
    <w:p>
      <w:pPr>
        <w:ind w:firstLine="799"/>
        <w:spacing w:after="0" w:line="249"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GOVERNING LAW; WAIVER OF JURY TRIAL</w:t>
      </w:r>
      <w:r>
        <w:rPr>
          <w:rFonts w:ascii="Times New Roman" w:cs="Times New Roman" w:eastAsia="Times New Roman" w:hAnsi="Times New Roman"/>
          <w:sz w:val="20"/>
          <w:szCs w:val="20"/>
          <w:color w:val="auto"/>
        </w:rPr>
        <w:t>. THIS AMENDMENT AND THE RIGHTS AND OBLIGATIONS OF THE PARTIES HEREUNDER SHALL BE GOVERNED BY, AND CONSTRUED AND INTERPRETED IN ACCORDANCE WITH, THE LAW OF THE STATE OF NEW YORK. EACH PARTY HERETO HEREBY AGREES AS SET FORTH FURTHER IN SECTION 10.16 OF THE CREDIT AGREEMENT AS IF SUCH SECTION WERE SET FORTH IN FULL HEREIN.</w:t>
      </w:r>
    </w:p>
    <w:p>
      <w:pPr>
        <w:sectPr>
          <w:pgSz w:w="11900" w:h="16838" w:orient="portrait"/>
          <w:cols w:equalWidth="0" w:num="1">
            <w:col w:w="11420"/>
          </w:cols>
          <w:pgMar w:left="240" w:top="265" w:right="239" w:bottom="1440" w:gutter="0" w:footer="0" w:header="0"/>
        </w:sectPr>
      </w:pPr>
    </w:p>
    <w:bookmarkStart w:id="77" w:name="page78"/>
    <w:bookmarkEnd w:id="77"/>
    <w:p>
      <w:pPr>
        <w:ind w:right="60" w:firstLine="799"/>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 </w:t>
      </w:r>
      <w:r>
        <w:rPr>
          <w:rFonts w:ascii="Times New Roman" w:cs="Times New Roman" w:eastAsia="Times New Roman" w:hAnsi="Times New Roman"/>
          <w:sz w:val="20"/>
          <w:szCs w:val="20"/>
          <w:u w:val="single" w:color="auto"/>
          <w:color w:val="auto"/>
        </w:rPr>
        <w:t>Amendments; Execution in Counterparts</w:t>
      </w:r>
      <w:r>
        <w:rPr>
          <w:rFonts w:ascii="Times New Roman" w:cs="Times New Roman" w:eastAsia="Times New Roman" w:hAnsi="Times New Roman"/>
          <w:sz w:val="20"/>
          <w:szCs w:val="20"/>
          <w:color w:val="auto"/>
        </w:rPr>
        <w:t>. (a) This Amendment shall not constitute an amendment of any other provision of the Credit Agreement not referred to herein and shall not be construed as a waiver or consent to any further or future action on the part of the Loan Parties that would require a waiver or consent of the Lenders or the Administrative Agent. Except as expressly amended hereby, the provisions of the Credit Agreement are and shall remain in full force and effect.</w:t>
      </w:r>
    </w:p>
    <w:p>
      <w:pPr>
        <w:spacing w:after="0" w:line="180" w:lineRule="exact"/>
        <w:rPr>
          <w:sz w:val="20"/>
          <w:szCs w:val="20"/>
          <w:color w:val="auto"/>
        </w:rPr>
      </w:pPr>
    </w:p>
    <w:p>
      <w:pPr>
        <w:ind w:firstLine="1377"/>
        <w:spacing w:after="0" w:line="245" w:lineRule="auto"/>
        <w:tabs>
          <w:tab w:leader="none" w:pos="184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may not be amended nor may any provision hereof be waived except pursuant to a writing signed by the Borrower, MVWC, the Administrative Agent and the Required Lenders. This Amendment may be executed by one or more of the parties to this Amendment on any number of separate counterparts, and all of said counterparts taken together shall be deemed to constitute one and the same instrument. Delivery of an executed signature page of this Amendment by email or facsimile transmission shall be effective as delivery of a manually executed counterpart hereof. A set of the copies of this Amendment signed by all the parties shall be lodged with the Borrower and the Administrative Agent.</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ectPr>
          <w:pgSz w:w="11900" w:h="16838" w:orient="portrait"/>
          <w:cols w:equalWidth="0" w:num="1">
            <w:col w:w="11380"/>
          </w:cols>
          <w:pgMar w:left="240" w:top="265" w:right="279" w:bottom="1440" w:gutter="0" w:footer="0" w:header="0"/>
        </w:sectPr>
      </w:pPr>
    </w:p>
    <w:bookmarkStart w:id="78" w:name="page79"/>
    <w:bookmarkEnd w:id="78"/>
    <w:p>
      <w:pPr>
        <w:ind w:firstLine="456"/>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Amendment to be duly executed and delivered by their respective proper and duly authorized officers as of the day and year first above written.</w:t>
      </w:r>
    </w:p>
    <w:p>
      <w:pPr>
        <w:spacing w:after="0" w:line="200" w:lineRule="exact"/>
        <w:rPr>
          <w:sz w:val="20"/>
          <w:szCs w:val="20"/>
          <w:color w:val="auto"/>
        </w:rPr>
      </w:pPr>
    </w:p>
    <w:p>
      <w:pPr>
        <w:spacing w:after="0" w:line="23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MARRIOTT VACATIONS WORLDWIDE</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CORPORATION</w:t>
      </w:r>
    </w:p>
    <w:p>
      <w:pPr>
        <w:spacing w:after="0" w:line="200" w:lineRule="exact"/>
        <w:rPr>
          <w:sz w:val="20"/>
          <w:szCs w:val="20"/>
          <w:color w:val="auto"/>
        </w:rPr>
      </w:pPr>
    </w:p>
    <w:p>
      <w:pPr>
        <w:spacing w:after="0" w:line="223"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Joseph J.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13970</wp:posOffset>
            </wp:positionV>
            <wp:extent cx="33616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0"/>
          <w:szCs w:val="20"/>
          <w:color w:val="auto"/>
        </w:rPr>
        <w:t>Name: Joseph J. Bramuchi</w:t>
      </w:r>
    </w:p>
    <w:p>
      <w:pPr>
        <w:spacing w:after="0" w:line="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[Signature Page to First Amendment to Second Amended and Restated Credit Agreement]</w:t>
      </w:r>
    </w:p>
    <w:p>
      <w:pPr>
        <w:sectPr>
          <w:pgSz w:w="11900" w:h="16838" w:orient="portrait"/>
          <w:cols w:equalWidth="0" w:num="1">
            <w:col w:w="11200"/>
          </w:cols>
          <w:pgMar w:left="240" w:top="265" w:right="459" w:bottom="1440" w:gutter="0" w:footer="0" w:header="0"/>
        </w:sectPr>
      </w:pPr>
    </w:p>
    <w:bookmarkStart w:id="79" w:name="page80"/>
    <w:bookmarkEnd w:id="79"/>
    <w:p>
      <w:pPr>
        <w:jc w:val="right"/>
        <w:ind w:right="859"/>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MARRIOTT OWNERSHIP RESORTS, INC.</w:t>
      </w:r>
    </w:p>
    <w:p>
      <w:pPr>
        <w:spacing w:after="0" w:line="200" w:lineRule="exact"/>
        <w:rPr>
          <w:sz w:val="20"/>
          <w:szCs w:val="20"/>
          <w:color w:val="auto"/>
        </w:rPr>
      </w:pPr>
    </w:p>
    <w:p>
      <w:pPr>
        <w:spacing w:after="0" w:line="232"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Joseph J.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13970</wp:posOffset>
            </wp:positionV>
            <wp:extent cx="33616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Name: Joseph J. Bramuchi</w:t>
      </w:r>
    </w:p>
    <w:p>
      <w:pPr>
        <w:spacing w:after="0" w:line="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to Second Amended and Restated Credit Agreement]</w:t>
      </w:r>
    </w:p>
    <w:p>
      <w:pPr>
        <w:sectPr>
          <w:pgSz w:w="11900" w:h="16838" w:orient="portrait"/>
          <w:cols w:equalWidth="0" w:num="1">
            <w:col w:w="9019"/>
          </w:cols>
          <w:pgMar w:left="1440" w:top="265" w:right="1440" w:bottom="1440" w:gutter="0" w:footer="0" w:header="0"/>
        </w:sectPr>
      </w:pPr>
    </w:p>
    <w:bookmarkStart w:id="80" w:name="page81"/>
    <w:bookmarkEnd w:id="80"/>
    <w:p>
      <w:pPr>
        <w:ind w:left="486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JPMORGAN CHASE BANK, N.A., as Administrative Agent and a Lender</w:t>
      </w:r>
    </w:p>
    <w:p>
      <w:pPr>
        <w:spacing w:after="0" w:line="37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By: /s/ Nadeige Dang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3266440</wp:posOffset>
            </wp:positionH>
            <wp:positionV relativeFrom="paragraph">
              <wp:posOffset>-10795</wp:posOffset>
            </wp:positionV>
            <wp:extent cx="27266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726690" cy="8890"/>
                    </a:xfrm>
                    <a:prstGeom prst="rect">
                      <a:avLst/>
                    </a:prstGeom>
                    <a:noFill/>
                  </pic:spPr>
                </pic:pic>
              </a:graphicData>
            </a:graphic>
          </wp:anchor>
        </w:drawing>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Nadeig Dang</w:t>
      </w:r>
    </w:p>
    <w:p>
      <w:pPr>
        <w:ind w:left="52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[Signature Page to First Amendment to Second Amended and Restated Credit Agreement]</w:t>
      </w:r>
    </w:p>
    <w:p>
      <w:pPr>
        <w:sectPr>
          <w:pgSz w:w="11900" w:h="16838" w:orient="portrait"/>
          <w:cols w:equalWidth="0" w:num="1">
            <w:col w:w="10080"/>
          </w:cols>
          <w:pgMar w:left="1440" w:top="265" w:right="379" w:bottom="1440" w:gutter="0" w:footer="0" w:header="0"/>
        </w:sectPr>
      </w:pPr>
    </w:p>
    <w:bookmarkStart w:id="81" w:name="page82"/>
    <w:bookmarkEnd w:id="81"/>
    <w:p>
      <w:pPr>
        <w:jc w:val="right"/>
        <w:ind w:right="839"/>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 as a Lender</w:t>
      </w:r>
    </w:p>
    <w:p>
      <w:pPr>
        <w:spacing w:after="0" w:line="200" w:lineRule="exact"/>
        <w:rPr>
          <w:sz w:val="20"/>
          <w:szCs w:val="20"/>
          <w:color w:val="auto"/>
        </w:rPr>
      </w:pPr>
    </w:p>
    <w:p>
      <w:pPr>
        <w:spacing w:after="0" w:line="23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By: /s/ Suzanne E. Picket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3266440</wp:posOffset>
            </wp:positionH>
            <wp:positionV relativeFrom="paragraph">
              <wp:posOffset>-10795</wp:posOffset>
            </wp:positionV>
            <wp:extent cx="26638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63825" cy="8890"/>
                    </a:xfrm>
                    <a:prstGeom prst="rect">
                      <a:avLst/>
                    </a:prstGeom>
                    <a:noFill/>
                  </pic:spPr>
                </pic:pic>
              </a:graphicData>
            </a:graphic>
          </wp:anchor>
        </w:drawing>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Suzanne E. Pickett</w:t>
      </w:r>
    </w:p>
    <w:p>
      <w:pPr>
        <w:ind w:left="52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to Second Amended and Restated Credit Agreement]</w:t>
      </w:r>
    </w:p>
    <w:p>
      <w:pPr>
        <w:sectPr>
          <w:pgSz w:w="11900" w:h="16838" w:orient="portrait"/>
          <w:cols w:equalWidth="0" w:num="1">
            <w:col w:w="9019"/>
          </w:cols>
          <w:pgMar w:left="1440" w:top="265" w:right="1440" w:bottom="1440" w:gutter="0" w:footer="0" w:header="0"/>
        </w:sectPr>
      </w:pPr>
    </w:p>
    <w:bookmarkStart w:id="82" w:name="page83"/>
    <w:bookmarkEnd w:id="82"/>
    <w:p>
      <w:pPr>
        <w:ind w:left="486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NEW YORK BRANCH, as a</w:t>
      </w:r>
    </w:p>
    <w:p>
      <w:pPr>
        <w:spacing w:after="0" w:line="3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Lender</w:t>
      </w:r>
    </w:p>
    <w:p>
      <w:pPr>
        <w:spacing w:after="0" w:line="31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By: /s/ James Rolison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-10795</wp:posOffset>
            </wp:positionV>
            <wp:extent cx="25450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45080" cy="8890"/>
                    </a:xfrm>
                    <a:prstGeom prst="rect">
                      <a:avLst/>
                    </a:prstGeom>
                    <a:noFill/>
                  </pic:spPr>
                </pic:pic>
              </a:graphicData>
            </a:graphic>
          </wp:anchor>
        </w:drawing>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James Rolison</w:t>
      </w:r>
    </w:p>
    <w:p>
      <w:pPr>
        <w:ind w:left="52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30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By: /s/ J.T. Johnston Coe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3266440</wp:posOffset>
            </wp:positionH>
            <wp:positionV relativeFrom="paragraph">
              <wp:posOffset>-10795</wp:posOffset>
            </wp:positionV>
            <wp:extent cx="251841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18410" cy="8890"/>
                    </a:xfrm>
                    <a:prstGeom prst="rect">
                      <a:avLst/>
                    </a:prstGeom>
                    <a:noFill/>
                  </pic:spPr>
                </pic:pic>
              </a:graphicData>
            </a:graphic>
          </wp:anchor>
        </w:drawing>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J.T. Johnston Coe</w:t>
      </w:r>
    </w:p>
    <w:p>
      <w:pPr>
        <w:ind w:left="52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[Signature Page to First Amendment to Second Amended and Restated Credit Agreement]</w:t>
      </w:r>
    </w:p>
    <w:p>
      <w:pPr>
        <w:sectPr>
          <w:pgSz w:w="11900" w:h="16838" w:orient="portrait"/>
          <w:cols w:equalWidth="0" w:num="1">
            <w:col w:w="9220"/>
          </w:cols>
          <w:pgMar w:left="1440" w:top="265" w:right="1239" w:bottom="1440" w:gutter="0" w:footer="0" w:header="0"/>
        </w:sectPr>
      </w:pPr>
    </w:p>
    <w:bookmarkStart w:id="83" w:name="page84"/>
    <w:bookmarkEnd w:id="83"/>
    <w:p>
      <w:pPr>
        <w:ind w:left="486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SUISSE AG, CAYMAN ISLANDS BRANCH, as a Lender</w:t>
      </w:r>
    </w:p>
    <w:p>
      <w:pPr>
        <w:spacing w:after="0" w:line="16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By: /s/ Bill O’Daly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3266440</wp:posOffset>
            </wp:positionH>
            <wp:positionV relativeFrom="paragraph">
              <wp:posOffset>-10795</wp:posOffset>
            </wp:positionV>
            <wp:extent cx="26949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94940" cy="8890"/>
                    </a:xfrm>
                    <a:prstGeom prst="rect">
                      <a:avLst/>
                    </a:prstGeom>
                    <a:noFill/>
                  </pic:spPr>
                </pic:pic>
              </a:graphicData>
            </a:graphic>
          </wp:anchor>
        </w:drawing>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Bill O’Daly</w:t>
      </w:r>
    </w:p>
    <w:p>
      <w:pPr>
        <w:ind w:left="52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30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By: /s/ Sean MacGregor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3266440</wp:posOffset>
            </wp:positionH>
            <wp:positionV relativeFrom="paragraph">
              <wp:posOffset>-10795</wp:posOffset>
            </wp:positionV>
            <wp:extent cx="27019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01925" cy="8890"/>
                    </a:xfrm>
                    <a:prstGeom prst="rect">
                      <a:avLst/>
                    </a:prstGeom>
                    <a:noFill/>
                  </pic:spPr>
                </pic:pic>
              </a:graphicData>
            </a:graphic>
          </wp:anchor>
        </w:drawing>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Sean MacGregor</w:t>
      </w:r>
    </w:p>
    <w:p>
      <w:pPr>
        <w:ind w:left="52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[Signature Page to First Amendment to Second Amended and Restated Credit Agreement]</w:t>
      </w:r>
    </w:p>
    <w:p>
      <w:pPr>
        <w:sectPr>
          <w:pgSz w:w="11900" w:h="16838" w:orient="portrait"/>
          <w:cols w:equalWidth="0" w:num="1">
            <w:col w:w="9740"/>
          </w:cols>
          <w:pgMar w:left="1440" w:top="265" w:right="719" w:bottom="1440" w:gutter="0" w:footer="0" w:header="0"/>
        </w:sectPr>
      </w:pPr>
    </w:p>
    <w:bookmarkStart w:id="84" w:name="page85"/>
    <w:bookmarkEnd w:id="84"/>
    <w:p>
      <w:pPr>
        <w:ind w:left="486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SUNTRUST BANK, as a Lender</w:t>
      </w:r>
    </w:p>
    <w:p>
      <w:pPr>
        <w:spacing w:after="0" w:line="32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By: /s/ James R. Spaulding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3266440</wp:posOffset>
            </wp:positionH>
            <wp:positionV relativeFrom="paragraph">
              <wp:posOffset>-10795</wp:posOffset>
            </wp:positionV>
            <wp:extent cx="27165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16530" cy="8890"/>
                    </a:xfrm>
                    <a:prstGeom prst="rect">
                      <a:avLst/>
                    </a:prstGeom>
                    <a:noFill/>
                  </pic:spPr>
                </pic:pic>
              </a:graphicData>
            </a:graphic>
          </wp:anchor>
        </w:drawing>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James R. Spaulding</w:t>
      </w:r>
    </w:p>
    <w:p>
      <w:pPr>
        <w:ind w:left="5200"/>
        <w:spacing w:after="0"/>
        <w:rPr>
          <w:sz w:val="20"/>
          <w:szCs w:val="20"/>
          <w:color w:val="auto"/>
        </w:rPr>
      </w:pPr>
      <w:r>
        <w:rPr>
          <w:rFonts w:ascii="Times New Roman" w:cs="Times New Roman" w:eastAsia="Times New Roman" w:hAnsi="Times New Roman"/>
          <w:sz w:val="20"/>
          <w:szCs w:val="20"/>
          <w:color w:val="auto"/>
        </w:rPr>
        <w:t>Title:  FVP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to Second Amended and Restated Credit Agreement]</w:t>
      </w:r>
    </w:p>
    <w:p>
      <w:pPr>
        <w:sectPr>
          <w:pgSz w:w="11900" w:h="16838" w:orient="portrait"/>
          <w:cols w:equalWidth="0" w:num="1">
            <w:col w:w="9019"/>
          </w:cols>
          <w:pgMar w:left="1440" w:top="265" w:right="1440" w:bottom="1440" w:gutter="0" w:footer="0" w:header="0"/>
        </w:sectPr>
      </w:pPr>
    </w:p>
    <w:bookmarkStart w:id="85" w:name="page86"/>
    <w:bookmarkEnd w:id="85"/>
    <w:p>
      <w:pPr>
        <w:ind w:left="486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HAWAII, as a Lender</w:t>
      </w:r>
    </w:p>
    <w:p>
      <w:pPr>
        <w:spacing w:after="0" w:line="2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By: /s/ Roderick Peroff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3266440</wp:posOffset>
            </wp:positionH>
            <wp:positionV relativeFrom="paragraph">
              <wp:posOffset>-10795</wp:posOffset>
            </wp:positionV>
            <wp:extent cx="26511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51125" cy="8890"/>
                    </a:xfrm>
                    <a:prstGeom prst="rect">
                      <a:avLst/>
                    </a:prstGeom>
                    <a:noFill/>
                  </pic:spPr>
                </pic:pic>
              </a:graphicData>
            </a:graphic>
          </wp:anchor>
        </w:drawing>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Roderick Peroff</w:t>
      </w:r>
    </w:p>
    <w:p>
      <w:pPr>
        <w:ind w:left="52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to Second Amended and Restated Credit Agreement]</w:t>
      </w:r>
    </w:p>
    <w:p>
      <w:pPr>
        <w:sectPr>
          <w:pgSz w:w="11900" w:h="16838" w:orient="portrait"/>
          <w:cols w:equalWidth="0" w:num="1">
            <w:col w:w="9019"/>
          </w:cols>
          <w:pgMar w:left="1440" w:top="265" w:right="1440" w:bottom="1440" w:gutter="0" w:footer="0" w:header="0"/>
        </w:sectPr>
      </w:pPr>
    </w:p>
    <w:bookmarkStart w:id="86" w:name="page87"/>
    <w:bookmarkEnd w:id="86"/>
    <w:p>
      <w:pPr>
        <w:ind w:left="486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NEW YORK MELLON, as a Lender</w:t>
      </w:r>
    </w:p>
    <w:p>
      <w:pPr>
        <w:spacing w:after="0" w:line="2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By: /s/ Carol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3266440</wp:posOffset>
            </wp:positionH>
            <wp:positionV relativeFrom="paragraph">
              <wp:posOffset>-10795</wp:posOffset>
            </wp:positionV>
            <wp:extent cx="25971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Carol Murray</w:t>
      </w:r>
    </w:p>
    <w:p>
      <w:pPr>
        <w:ind w:left="52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[Signature Page to First Amendment to Second Amended and Restated Credit Agreement]</w:t>
      </w:r>
    </w:p>
    <w:p>
      <w:pPr>
        <w:sectPr>
          <w:pgSz w:w="11900" w:h="16838" w:orient="portrait"/>
          <w:cols w:equalWidth="0" w:num="1">
            <w:col w:w="9160"/>
          </w:cols>
          <w:pgMar w:left="1440" w:top="265" w:right="1299" w:bottom="1440" w:gutter="0" w:footer="0" w:header="0"/>
        </w:sectPr>
      </w:pPr>
    </w:p>
    <w:bookmarkStart w:id="87" w:name="page88"/>
    <w:bookmarkEnd w:id="87"/>
    <w:p>
      <w:pPr>
        <w:ind w:left="452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HAWAIIAN BANK, as a Lender</w:t>
      </w:r>
    </w:p>
    <w:p>
      <w:pPr>
        <w:spacing w:after="0" w:line="227"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Derek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13970</wp:posOffset>
            </wp:positionV>
            <wp:extent cx="33274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Name: Derek Chang</w:t>
      </w:r>
    </w:p>
    <w:p>
      <w:pPr>
        <w:spacing w:after="0" w:line="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to Second Amended and Restated Credit Agreement]</w:t>
      </w:r>
    </w:p>
    <w:p>
      <w:pPr>
        <w:sectPr>
          <w:pgSz w:w="11900" w:h="16838" w:orient="portrait"/>
          <w:cols w:equalWidth="0" w:num="1">
            <w:col w:w="9019"/>
          </w:cols>
          <w:pgMar w:left="1440" w:top="265" w:right="1440" w:bottom="1440" w:gutter="0" w:footer="0" w:header="0"/>
        </w:sectPr>
      </w:pPr>
    </w:p>
    <w:bookmarkStart w:id="88" w:name="page89"/>
    <w:bookmarkEnd w:id="88"/>
    <w:p>
      <w:pPr>
        <w:ind w:left="452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 as a Lender</w:t>
      </w:r>
    </w:p>
    <w:p>
      <w:pPr>
        <w:spacing w:after="0" w:line="227"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Steven L. Sawyer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13970</wp:posOffset>
            </wp:positionV>
            <wp:extent cx="33274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Name: Steven L. Sawyer</w:t>
      </w:r>
    </w:p>
    <w:p>
      <w:pPr>
        <w:spacing w:after="0" w:line="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to Second Amended and Restated Credit Agreement]</w:t>
      </w:r>
    </w:p>
    <w:p>
      <w:pPr>
        <w:sectPr>
          <w:pgSz w:w="11900" w:h="16838" w:orient="portrait"/>
          <w:cols w:equalWidth="0" w:num="1">
            <w:col w:w="9019"/>
          </w:cols>
          <w:pgMar w:left="1440" w:top="265" w:right="1440" w:bottom="1440" w:gutter="0" w:footer="0" w:header="0"/>
        </w:sectPr>
      </w:pPr>
    </w:p>
    <w:bookmarkStart w:id="89" w:name="page90"/>
    <w:bookmarkEnd w:id="89"/>
    <w:p>
      <w:pPr>
        <w:ind w:left="452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CAPITAL FINANCE, LLC, as a Lender</w:t>
      </w:r>
    </w:p>
    <w:p>
      <w:pPr>
        <w:spacing w:after="0" w:line="227"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Ajay Jagsi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13970</wp:posOffset>
            </wp:positionV>
            <wp:extent cx="33274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Name: Ajay Jagsi</w:t>
      </w:r>
    </w:p>
    <w:p>
      <w:pPr>
        <w:spacing w:after="0" w:line="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[Signature Page to First Amendment to Second Amended and Restated Credit Agreement]</w:t>
      </w:r>
    </w:p>
    <w:p>
      <w:pPr>
        <w:sectPr>
          <w:pgSz w:w="11900" w:h="16838" w:orient="portrait"/>
          <w:cols w:equalWidth="0" w:num="1">
            <w:col w:w="9140"/>
          </w:cols>
          <w:pgMar w:left="1440" w:top="265" w:right="131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[See Attached.]</w:t>
      </w:r>
    </w:p>
    <w:p>
      <w:pPr>
        <w:sectPr>
          <w:pgSz w:w="11900" w:h="16838" w:orient="portrait"/>
          <w:cols w:equalWidth="0" w:num="1">
            <w:col w:w="10220"/>
          </w:cols>
          <w:pgMar w:left="1440" w:top="261" w:right="2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CONFORMED COPY REFLECTING</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FIRST AMENDMENT, DATED AS OF JUNE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163195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206375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$200,000,000</w:t>
      </w:r>
    </w:p>
    <w:p>
      <w:pPr>
        <w:spacing w:after="0" w:line="200" w:lineRule="exact"/>
        <w:rPr>
          <w:sz w:val="20"/>
          <w:szCs w:val="20"/>
          <w:color w:val="auto"/>
        </w:rPr>
      </w:pPr>
    </w:p>
    <w:p>
      <w:pPr>
        <w:spacing w:after="0" w:line="23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color w:val="auto"/>
        </w:rPr>
        <w:t>SECOND AMENDED AND RESTATED CREDIT AGREEMENT</w:t>
      </w:r>
    </w:p>
    <w:p>
      <w:pPr>
        <w:spacing w:after="0" w:line="32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among</w:t>
      </w:r>
    </w:p>
    <w:p>
      <w:pPr>
        <w:spacing w:after="0" w:line="32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MARRIOTT VACATIONS WORLDWIDE CORPORATION,</w:t>
      </w:r>
    </w:p>
    <w:p>
      <w:pPr>
        <w:spacing w:after="0" w:line="32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color w:val="auto"/>
        </w:rPr>
        <w:t>MARRIOTT OWNERSHIP RESORTS, INC.,</w:t>
      </w:r>
    </w:p>
    <w:p>
      <w:pPr>
        <w:spacing w:after="0" w:line="10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color w:val="auto"/>
        </w:rPr>
        <w:t>as Borrower,</w:t>
      </w:r>
    </w:p>
    <w:p>
      <w:pPr>
        <w:spacing w:after="0" w:line="32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color w:val="auto"/>
        </w:rPr>
        <w:t>The Several Lenders from Time to Time Parties Hereto,</w:t>
      </w:r>
    </w:p>
    <w:p>
      <w:pPr>
        <w:spacing w:after="0" w:line="32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color w:val="auto"/>
        </w:rPr>
        <w:t>BANK OF AMERICA, N.A. and DEUTSCHE BANK SECURITIES INC.,</w:t>
      </w:r>
    </w:p>
    <w:p>
      <w:pPr>
        <w:spacing w:after="0" w:line="10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color w:val="auto"/>
        </w:rPr>
        <w:t>as Co-Syndication Agents and Co-Documentation Agents,</w:t>
      </w:r>
    </w:p>
    <w:p>
      <w:pPr>
        <w:spacing w:after="0" w:line="3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and</w:t>
      </w:r>
    </w:p>
    <w:p>
      <w:pPr>
        <w:spacing w:after="0" w:line="32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10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32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Dated as of September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177165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220345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J.P. MORGAN SECURITIES LLC, as Lead Arranger and Bookrunner</w:t>
      </w:r>
    </w:p>
    <w:p>
      <w:pPr>
        <w:spacing w:after="0" w:line="32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9"/>
          <w:szCs w:val="19"/>
          <w:color w:val="auto"/>
        </w:rPr>
        <w:t>MERRILL LYNCH, PIERCE, FENNER &amp; SMITH INCORPORATED and DEUTSCHE BANK</w:t>
      </w:r>
    </w:p>
    <w:p>
      <w:pPr>
        <w:spacing w:after="0" w:line="3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color w:val="auto"/>
        </w:rPr>
        <w:t>SECURITIES INC., as Joint Lead Arrangers and Joint Bookrunners</w:t>
      </w:r>
    </w:p>
    <w:p>
      <w:pPr>
        <w:sectPr>
          <w:pgSz w:w="11900" w:h="16838" w:orient="portrait"/>
          <w:cols w:equalWidth="0" w:num="1">
            <w:col w:w="10220"/>
          </w:cols>
          <w:pgMar w:left="1440" w:top="261"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6"/>
              </w:rPr>
              <w:t>TABLE OF CONTENTS</w:t>
            </w:r>
          </w:p>
        </w:tc>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0"/>
        </w:trPr>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20" w:type="dxa"/>
            <w:vAlign w:val="bottom"/>
            <w:gridSpan w:val="5"/>
          </w:tcPr>
          <w:p>
            <w:pPr>
              <w:ind w:left="4160"/>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258"/>
        </w:trPr>
        <w:tc>
          <w:tcPr>
            <w:tcW w:w="11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SECTION 1.</w:t>
            </w:r>
          </w:p>
        </w:tc>
        <w:tc>
          <w:tcPr>
            <w:tcW w:w="5580" w:type="dxa"/>
            <w:vAlign w:val="bottom"/>
            <w:gridSpan w:val="11"/>
          </w:tcPr>
          <w:p>
            <w:pPr>
              <w:ind w:left="100"/>
              <w:spacing w:after="0"/>
              <w:rPr>
                <w:sz w:val="20"/>
                <w:szCs w:val="20"/>
                <w:color w:val="auto"/>
              </w:rPr>
            </w:pPr>
            <w:r>
              <w:rPr>
                <w:rFonts w:ascii="Times New Roman" w:cs="Times New Roman" w:eastAsia="Times New Roman" w:hAnsi="Times New Roman"/>
                <w:sz w:val="20"/>
                <w:szCs w:val="20"/>
                <w:color w:val="auto"/>
              </w:rPr>
              <w:t>DEFINITIONS</w:t>
            </w:r>
          </w:p>
        </w:tc>
        <w:tc>
          <w:tcPr>
            <w:tcW w:w="462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417"/>
        </w:trPr>
        <w:tc>
          <w:tcPr>
            <w:tcW w:w="94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80" w:type="dxa"/>
            <w:vAlign w:val="bottom"/>
            <w:gridSpan w:val="11"/>
          </w:tcPr>
          <w:p>
            <w:pPr>
              <w:ind w:left="100"/>
              <w:spacing w:after="0"/>
              <w:rPr>
                <w:sz w:val="20"/>
                <w:szCs w:val="20"/>
                <w:color w:val="auto"/>
              </w:rPr>
            </w:pPr>
            <w:r>
              <w:rPr>
                <w:rFonts w:ascii="Times New Roman" w:cs="Times New Roman" w:eastAsia="Times New Roman" w:hAnsi="Times New Roman"/>
                <w:sz w:val="20"/>
                <w:szCs w:val="20"/>
                <w:color w:val="auto"/>
              </w:rPr>
              <w:t>Defined Terms</w:t>
            </w:r>
          </w:p>
        </w:tc>
        <w:tc>
          <w:tcPr>
            <w:tcW w:w="462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12"/>
        </w:trPr>
        <w:tc>
          <w:tcPr>
            <w:tcW w:w="940" w:type="dxa"/>
            <w:vAlign w:val="bottom"/>
            <w:gridSpan w:val="3"/>
          </w:tcPr>
          <w:p>
            <w:pPr>
              <w:ind w:left="600"/>
              <w:spacing w:after="0" w:line="212" w:lineRule="exact"/>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80" w:type="dxa"/>
            <w:vAlign w:val="bottom"/>
            <w:gridSpan w:val="11"/>
          </w:tcPr>
          <w:p>
            <w:pPr>
              <w:ind w:left="100"/>
              <w:spacing w:after="0" w:line="212" w:lineRule="exact"/>
              <w:rPr>
                <w:sz w:val="20"/>
                <w:szCs w:val="20"/>
                <w:color w:val="auto"/>
              </w:rPr>
            </w:pPr>
            <w:r>
              <w:rPr>
                <w:rFonts w:ascii="Times New Roman" w:cs="Times New Roman" w:eastAsia="Times New Roman" w:hAnsi="Times New Roman"/>
                <w:sz w:val="20"/>
                <w:szCs w:val="20"/>
                <w:color w:val="auto"/>
              </w:rPr>
              <w:t>Other Definitional Provisions</w:t>
            </w:r>
          </w:p>
        </w:tc>
        <w:tc>
          <w:tcPr>
            <w:tcW w:w="4200" w:type="dxa"/>
            <w:vAlign w:val="bottom"/>
          </w:tcPr>
          <w:p>
            <w:pPr>
              <w:spacing w:after="0"/>
              <w:rPr>
                <w:sz w:val="18"/>
                <w:szCs w:val="18"/>
                <w:color w:val="auto"/>
              </w:rPr>
            </w:pPr>
          </w:p>
        </w:tc>
        <w:tc>
          <w:tcPr>
            <w:tcW w:w="20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FF0000"/>
                <w:strike w:val="1"/>
                <w:w w:val="89"/>
              </w:rPr>
              <w:t>30</w:t>
            </w:r>
          </w:p>
        </w:tc>
        <w:tc>
          <w:tcPr>
            <w:tcW w:w="220" w:type="dxa"/>
            <w:vAlign w:val="bottom"/>
            <w:gridSpan w:val="2"/>
          </w:tcPr>
          <w:p>
            <w:pPr>
              <w:jc w:val="right"/>
              <w:ind w:right="20"/>
              <w:spacing w:after="0" w:line="212" w:lineRule="exact"/>
              <w:rPr>
                <w:sz w:val="20"/>
                <w:szCs w:val="20"/>
                <w:color w:val="auto"/>
              </w:rPr>
            </w:pPr>
            <w:r>
              <w:rPr>
                <w:rFonts w:ascii="Times New Roman" w:cs="Times New Roman" w:eastAsia="Times New Roman" w:hAnsi="Times New Roman"/>
                <w:sz w:val="20"/>
                <w:szCs w:val="20"/>
                <w:color w:val="0000FF"/>
                <w:w w:val="89"/>
              </w:rPr>
              <w:t>36</w:t>
            </w:r>
          </w:p>
        </w:tc>
        <w:tc>
          <w:tcPr>
            <w:tcW w:w="0" w:type="dxa"/>
            <w:vAlign w:val="bottom"/>
          </w:tcPr>
          <w:p>
            <w:pPr>
              <w:spacing w:after="0"/>
              <w:rPr>
                <w:sz w:val="1"/>
                <w:szCs w:val="1"/>
                <w:color w:val="auto"/>
              </w:rPr>
            </w:pPr>
          </w:p>
        </w:tc>
      </w:tr>
      <w:tr>
        <w:trPr>
          <w:trHeight w:val="34"/>
        </w:trPr>
        <w:tc>
          <w:tcPr>
            <w:tcW w:w="940" w:type="dxa"/>
            <w:vAlign w:val="bottom"/>
            <w:gridSpan w:val="3"/>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1.3</w:t>
            </w:r>
          </w:p>
        </w:tc>
        <w:tc>
          <w:tcPr>
            <w:tcW w:w="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Conversion of Foreign Currencies</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30</w:t>
            </w: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1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SECTION 2.</w:t>
            </w:r>
          </w:p>
        </w:tc>
        <w:tc>
          <w:tcPr>
            <w:tcW w:w="5580" w:type="dxa"/>
            <w:vAlign w:val="bottom"/>
            <w:gridSpan w:val="11"/>
          </w:tcPr>
          <w:p>
            <w:pPr>
              <w:ind w:left="100"/>
              <w:spacing w:after="0"/>
              <w:rPr>
                <w:sz w:val="20"/>
                <w:szCs w:val="20"/>
                <w:color w:val="auto"/>
              </w:rPr>
            </w:pPr>
            <w:r>
              <w:rPr>
                <w:rFonts w:ascii="Times New Roman" w:cs="Times New Roman" w:eastAsia="Times New Roman" w:hAnsi="Times New Roman"/>
                <w:sz w:val="20"/>
                <w:szCs w:val="20"/>
                <w:color w:val="auto"/>
              </w:rPr>
              <w:t>AMOUNT AND TERMS OF COMMITMENTS</w:t>
            </w:r>
          </w:p>
        </w:tc>
        <w:tc>
          <w:tcPr>
            <w:tcW w:w="4200" w:type="dxa"/>
            <w:vAlign w:val="bottom"/>
          </w:tcPr>
          <w:p>
            <w:pPr>
              <w:spacing w:after="0"/>
              <w:rPr>
                <w:sz w:val="24"/>
                <w:szCs w:val="24"/>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20"/>
                <w:szCs w:val="20"/>
                <w:color w:val="FF0000"/>
                <w:strike w:val="1"/>
                <w:w w:val="89"/>
              </w:rPr>
              <w:t>31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000FF"/>
                <w:w w:val="89"/>
              </w:rPr>
              <w:t>38</w:t>
            </w:r>
          </w:p>
        </w:tc>
        <w:tc>
          <w:tcPr>
            <w:tcW w:w="0" w:type="dxa"/>
            <w:vAlign w:val="bottom"/>
          </w:tcPr>
          <w:p>
            <w:pPr>
              <w:spacing w:after="0"/>
              <w:rPr>
                <w:sz w:val="1"/>
                <w:szCs w:val="1"/>
                <w:color w:val="auto"/>
              </w:rPr>
            </w:pPr>
          </w:p>
        </w:tc>
      </w:tr>
      <w:tr>
        <w:trPr>
          <w:trHeight w:val="34"/>
        </w:trPr>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94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80" w:type="dxa"/>
            <w:vAlign w:val="bottom"/>
            <w:gridSpan w:val="11"/>
          </w:tcPr>
          <w:p>
            <w:pPr>
              <w:ind w:left="100"/>
              <w:spacing w:after="0"/>
              <w:rPr>
                <w:sz w:val="20"/>
                <w:szCs w:val="20"/>
                <w:color w:val="auto"/>
              </w:rPr>
            </w:pPr>
            <w:r>
              <w:rPr>
                <w:rFonts w:ascii="Times New Roman" w:cs="Times New Roman" w:eastAsia="Times New Roman" w:hAnsi="Times New Roman"/>
                <w:sz w:val="20"/>
                <w:szCs w:val="20"/>
                <w:color w:val="auto"/>
              </w:rPr>
              <w:t>Commitments</w:t>
            </w:r>
          </w:p>
        </w:tc>
        <w:tc>
          <w:tcPr>
            <w:tcW w:w="4200" w:type="dxa"/>
            <w:vAlign w:val="bottom"/>
          </w:tcPr>
          <w:p>
            <w:pPr>
              <w:spacing w:after="0"/>
              <w:rPr>
                <w:sz w:val="24"/>
                <w:szCs w:val="24"/>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20"/>
                <w:szCs w:val="20"/>
                <w:color w:val="FF0000"/>
                <w:strike w:val="1"/>
                <w:w w:val="89"/>
              </w:rPr>
              <w:t>31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000FF"/>
                <w:w w:val="89"/>
              </w:rPr>
              <w:t>38</w:t>
            </w:r>
          </w:p>
        </w:tc>
        <w:tc>
          <w:tcPr>
            <w:tcW w:w="0" w:type="dxa"/>
            <w:vAlign w:val="bottom"/>
          </w:tcPr>
          <w:p>
            <w:pPr>
              <w:spacing w:after="0"/>
              <w:rPr>
                <w:sz w:val="1"/>
                <w:szCs w:val="1"/>
                <w:color w:val="auto"/>
              </w:rPr>
            </w:pPr>
          </w:p>
        </w:tc>
      </w:tr>
      <w:tr>
        <w:trPr>
          <w:trHeight w:val="34"/>
        </w:trPr>
        <w:tc>
          <w:tcPr>
            <w:tcW w:w="940" w:type="dxa"/>
            <w:vAlign w:val="bottom"/>
            <w:gridSpan w:val="3"/>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2.2</w:t>
            </w:r>
          </w:p>
        </w:tc>
        <w:tc>
          <w:tcPr>
            <w:tcW w:w="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Procedure for Borrowing</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31</w:t>
            </w: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gridSpan w:val="3"/>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2.3</w:t>
            </w:r>
          </w:p>
        </w:tc>
        <w:tc>
          <w:tcPr>
            <w:tcW w:w="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Commitment Fees, etc</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32</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gridSpan w:val="3"/>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2.4</w:t>
            </w:r>
          </w:p>
        </w:tc>
        <w:tc>
          <w:tcPr>
            <w:tcW w:w="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Termination or Reduction of Commitments</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32</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gridSpan w:val="3"/>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2.5</w:t>
            </w:r>
          </w:p>
        </w:tc>
        <w:tc>
          <w:tcPr>
            <w:tcW w:w="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Optional Prepayments</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32</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gridSpan w:val="3"/>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2.6</w:t>
            </w:r>
          </w:p>
        </w:tc>
        <w:tc>
          <w:tcPr>
            <w:tcW w:w="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Mandatory Prepayments and Commitment Reductions</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32</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gridSpan w:val="3"/>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2.7</w:t>
            </w:r>
          </w:p>
        </w:tc>
        <w:tc>
          <w:tcPr>
            <w:tcW w:w="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Conversion and Continuation Options</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33</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gridSpan w:val="3"/>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2.8</w:t>
            </w:r>
          </w:p>
        </w:tc>
        <w:tc>
          <w:tcPr>
            <w:tcW w:w="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300" w:type="dxa"/>
            <w:vAlign w:val="bottom"/>
            <w:gridSpan w:val="2"/>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Limitations on</w:t>
            </w:r>
          </w:p>
        </w:tc>
        <w:tc>
          <w:tcPr>
            <w:tcW w:w="86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98"/>
              </w:rPr>
              <w:t>Eurodollar</w:t>
            </w:r>
          </w:p>
        </w:tc>
        <w:tc>
          <w:tcPr>
            <w:tcW w:w="3420" w:type="dxa"/>
            <w:vAlign w:val="bottom"/>
            <w:gridSpan w:val="6"/>
            <w:vMerge w:val="restart"/>
          </w:tcPr>
          <w:p>
            <w:pPr>
              <w:spacing w:after="0" w:line="209" w:lineRule="exact"/>
              <w:rPr>
                <w:sz w:val="20"/>
                <w:szCs w:val="20"/>
                <w:color w:val="auto"/>
              </w:rPr>
            </w:pPr>
            <w:r>
              <w:rPr>
                <w:rFonts w:ascii="Times New Roman" w:cs="Times New Roman" w:eastAsia="Times New Roman" w:hAnsi="Times New Roman"/>
                <w:sz w:val="20"/>
                <w:szCs w:val="20"/>
                <w:color w:val="0000FF"/>
              </w:rPr>
              <w:t xml:space="preserve">Eurocurrency </w:t>
            </w:r>
            <w:r>
              <w:rPr>
                <w:rFonts w:ascii="Times New Roman" w:cs="Times New Roman" w:eastAsia="Times New Roman" w:hAnsi="Times New Roman"/>
                <w:sz w:val="20"/>
                <w:szCs w:val="20"/>
                <w:color w:val="000000"/>
              </w:rPr>
              <w:t>Tranches</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33</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3420" w:type="dxa"/>
            <w:vAlign w:val="bottom"/>
            <w:gridSpan w:val="6"/>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gridSpan w:val="3"/>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2.9</w:t>
            </w:r>
          </w:p>
        </w:tc>
        <w:tc>
          <w:tcPr>
            <w:tcW w:w="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140" w:type="dxa"/>
            <w:vAlign w:val="bottom"/>
            <w:gridSpan w:val="4"/>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w w:val="92"/>
              </w:rPr>
              <w:t>Interest Rates and Payment</w:t>
            </w:r>
          </w:p>
        </w:tc>
        <w:tc>
          <w:tcPr>
            <w:tcW w:w="20" w:type="dxa"/>
            <w:vAlign w:val="bottom"/>
            <w:tcBorders>
              <w:bottom w:val="single" w:sz="8" w:color="0000FF"/>
            </w:tcBorders>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8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33</w:t>
            </w: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140" w:type="dxa"/>
            <w:vAlign w:val="bottom"/>
            <w:gridSpan w:val="4"/>
            <w:vMerge w:val="continue"/>
          </w:tcPr>
          <w:p>
            <w:pPr>
              <w:spacing w:after="0"/>
              <w:rPr>
                <w:sz w:val="13"/>
                <w:szCs w:val="13"/>
                <w:color w:val="auto"/>
              </w:rPr>
            </w:pPr>
          </w:p>
        </w:tc>
        <w:tc>
          <w:tcPr>
            <w:tcW w:w="1100" w:type="dxa"/>
            <w:vAlign w:val="bottom"/>
            <w:gridSpan w:val="4"/>
          </w:tcPr>
          <w:p>
            <w:pPr>
              <w:ind w:left="160"/>
              <w:spacing w:after="0" w:line="156" w:lineRule="exact"/>
              <w:rPr>
                <w:sz w:val="20"/>
                <w:szCs w:val="20"/>
                <w:color w:val="auto"/>
              </w:rPr>
            </w:pPr>
            <w:r>
              <w:rPr>
                <w:rFonts w:ascii="Times New Roman" w:cs="Times New Roman" w:eastAsia="Times New Roman" w:hAnsi="Times New Roman"/>
                <w:sz w:val="18"/>
                <w:szCs w:val="18"/>
                <w:color w:val="auto"/>
              </w:rPr>
              <w:t>Dates</w:t>
            </w:r>
          </w:p>
        </w:tc>
        <w:tc>
          <w:tcPr>
            <w:tcW w:w="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60" w:type="dxa"/>
            <w:vAlign w:val="bottom"/>
            <w:gridSpan w:val="4"/>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w w:val="97"/>
              </w:rPr>
              <w:t>2.10</w:t>
            </w:r>
          </w:p>
        </w:tc>
        <w:tc>
          <w:tcPr>
            <w:tcW w:w="180" w:type="dxa"/>
            <w:vAlign w:val="bottom"/>
            <w:vMerge w:val="restart"/>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Computation of Interest and Fees</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34</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60" w:type="dxa"/>
            <w:vAlign w:val="bottom"/>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gridSpan w:val="3"/>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w w:val="91"/>
              </w:rPr>
              <w:t>2.11</w:t>
            </w:r>
          </w:p>
        </w:tc>
        <w:tc>
          <w:tcPr>
            <w:tcW w:w="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0000FF"/>
              </w:rPr>
              <w:t xml:space="preserve">Market Disruption; </w:t>
            </w:r>
            <w:r>
              <w:rPr>
                <w:rFonts w:ascii="Times New Roman" w:cs="Times New Roman" w:eastAsia="Times New Roman" w:hAnsi="Times New Roman"/>
                <w:sz w:val="20"/>
                <w:szCs w:val="20"/>
                <w:color w:val="000000"/>
              </w:rPr>
              <w:t>Inability to Determine Interest Rate; Illegality</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34</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60" w:type="dxa"/>
            <w:vAlign w:val="bottom"/>
            <w:gridSpan w:val="4"/>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w w:val="97"/>
              </w:rPr>
              <w:t>2.12</w:t>
            </w:r>
          </w:p>
        </w:tc>
        <w:tc>
          <w:tcPr>
            <w:tcW w:w="18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3960" w:type="dxa"/>
            <w:vAlign w:val="bottom"/>
            <w:gridSpan w:val="8"/>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and Payments</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35</w:t>
            </w: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60" w:type="dxa"/>
            <w:vAlign w:val="bottom"/>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Pro Rata Treatment</w:t>
            </w:r>
          </w:p>
        </w:tc>
        <w:tc>
          <w:tcPr>
            <w:tcW w:w="3960" w:type="dxa"/>
            <w:vAlign w:val="bottom"/>
            <w:gridSpan w:val="8"/>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60" w:type="dxa"/>
            <w:vAlign w:val="bottom"/>
            <w:gridSpan w:val="4"/>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w w:val="97"/>
              </w:rPr>
              <w:t>2.13</w:t>
            </w:r>
          </w:p>
        </w:tc>
        <w:tc>
          <w:tcPr>
            <w:tcW w:w="180" w:type="dxa"/>
            <w:vAlign w:val="bottom"/>
            <w:vMerge w:val="restart"/>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Requirements of Law</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37</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60" w:type="dxa"/>
            <w:vAlign w:val="bottom"/>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60" w:type="dxa"/>
            <w:vAlign w:val="bottom"/>
            <w:gridSpan w:val="4"/>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w w:val="97"/>
              </w:rPr>
              <w:t>2.14</w:t>
            </w:r>
          </w:p>
        </w:tc>
        <w:tc>
          <w:tcPr>
            <w:tcW w:w="180" w:type="dxa"/>
            <w:vAlign w:val="bottom"/>
            <w:vMerge w:val="restart"/>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Taxes</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38</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60" w:type="dxa"/>
            <w:vAlign w:val="bottom"/>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60" w:type="dxa"/>
            <w:vAlign w:val="bottom"/>
            <w:gridSpan w:val="4"/>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w w:val="97"/>
              </w:rPr>
              <w:t>2.15</w:t>
            </w:r>
          </w:p>
        </w:tc>
        <w:tc>
          <w:tcPr>
            <w:tcW w:w="180" w:type="dxa"/>
            <w:vAlign w:val="bottom"/>
            <w:vMerge w:val="restart"/>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Indemnity</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41</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60" w:type="dxa"/>
            <w:vAlign w:val="bottom"/>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60" w:type="dxa"/>
            <w:vAlign w:val="bottom"/>
            <w:gridSpan w:val="4"/>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w w:val="97"/>
              </w:rPr>
              <w:t>2.16</w:t>
            </w:r>
          </w:p>
        </w:tc>
        <w:tc>
          <w:tcPr>
            <w:tcW w:w="180" w:type="dxa"/>
            <w:vAlign w:val="bottom"/>
            <w:vMerge w:val="restart"/>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Change of Lending Office</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41</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60" w:type="dxa"/>
            <w:vAlign w:val="bottom"/>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60" w:type="dxa"/>
            <w:vAlign w:val="bottom"/>
            <w:gridSpan w:val="4"/>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w w:val="97"/>
              </w:rPr>
              <w:t>2.17</w:t>
            </w:r>
          </w:p>
        </w:tc>
        <w:tc>
          <w:tcPr>
            <w:tcW w:w="180" w:type="dxa"/>
            <w:vAlign w:val="bottom"/>
            <w:vMerge w:val="restart"/>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Replacement of Lenders</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41</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60" w:type="dxa"/>
            <w:vAlign w:val="bottom"/>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60" w:type="dxa"/>
            <w:vAlign w:val="bottom"/>
            <w:gridSpan w:val="4"/>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w w:val="97"/>
              </w:rPr>
              <w:t>2.18</w:t>
            </w:r>
          </w:p>
        </w:tc>
        <w:tc>
          <w:tcPr>
            <w:tcW w:w="180" w:type="dxa"/>
            <w:vAlign w:val="bottom"/>
            <w:vMerge w:val="restart"/>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Defaulting Lenders</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42</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60" w:type="dxa"/>
            <w:vAlign w:val="bottom"/>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60" w:type="dxa"/>
            <w:vAlign w:val="bottom"/>
            <w:gridSpan w:val="4"/>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w w:val="97"/>
              </w:rPr>
              <w:t>2.19</w:t>
            </w:r>
          </w:p>
        </w:tc>
        <w:tc>
          <w:tcPr>
            <w:tcW w:w="180" w:type="dxa"/>
            <w:vAlign w:val="bottom"/>
            <w:vMerge w:val="restart"/>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Accordion</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43</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60" w:type="dxa"/>
            <w:vAlign w:val="bottom"/>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60" w:type="dxa"/>
            <w:vAlign w:val="bottom"/>
            <w:gridSpan w:val="4"/>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0000FF"/>
                <w:w w:val="96"/>
              </w:rPr>
              <w:t>2.</w:t>
            </w:r>
            <w:r>
              <w:rPr>
                <w:rFonts w:ascii="Times New Roman" w:cs="Times New Roman" w:eastAsia="Times New Roman" w:hAnsi="Times New Roman"/>
                <w:sz w:val="20"/>
                <w:szCs w:val="20"/>
                <w:u w:val="single" w:color="auto"/>
                <w:color w:val="0000FF"/>
                <w:w w:val="96"/>
              </w:rPr>
              <w:t>20</w:t>
            </w:r>
          </w:p>
        </w:tc>
        <w:tc>
          <w:tcPr>
            <w:tcW w:w="180" w:type="dxa"/>
            <w:vAlign w:val="bottom"/>
            <w:vMerge w:val="restart"/>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0000FF"/>
              </w:rPr>
              <w:t>Refunding of Dollar Loans Made by Foreign Currency Lenders</w:t>
            </w:r>
          </w:p>
        </w:tc>
        <w:tc>
          <w:tcPr>
            <w:tcW w:w="4380" w:type="dxa"/>
            <w:vAlign w:val="bottom"/>
            <w:gridSpan w:val="2"/>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60" w:type="dxa"/>
            <w:vAlign w:val="bottom"/>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380" w:type="dxa"/>
            <w:vAlign w:val="bottom"/>
            <w:gridSpan w:val="2"/>
            <w:vMerge w:val="continue"/>
          </w:tcPr>
          <w:p>
            <w:pPr>
              <w:spacing w:after="0"/>
              <w:rPr>
                <w:sz w:val="13"/>
                <w:szCs w:val="13"/>
                <w:color w:val="auto"/>
              </w:rPr>
            </w:pPr>
          </w:p>
        </w:tc>
        <w:tc>
          <w:tcPr>
            <w:tcW w:w="2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rPr>
              <w:t>56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760" w:type="dxa"/>
            <w:vAlign w:val="bottom"/>
            <w:tcBorders>
              <w:top w:val="single" w:sz="8" w:color="0000FF"/>
              <w:bottom w:val="single" w:sz="8" w:color="0000FF"/>
            </w:tcBorders>
            <w:gridSpan w:val="5"/>
          </w:tcPr>
          <w:p>
            <w:pPr>
              <w:spacing w:after="0"/>
              <w:rPr>
                <w:sz w:val="2"/>
                <w:szCs w:val="2"/>
                <w:color w:val="auto"/>
              </w:rPr>
            </w:pPr>
          </w:p>
        </w:tc>
        <w:tc>
          <w:tcPr>
            <w:tcW w:w="2260" w:type="dxa"/>
            <w:vAlign w:val="bottom"/>
            <w:tcBorders>
              <w:top w:val="single" w:sz="8" w:color="0000FF"/>
              <w:bottom w:val="single" w:sz="8" w:color="0000FF"/>
            </w:tcBorders>
            <w:gridSpan w:val="4"/>
          </w:tcPr>
          <w:p>
            <w:pPr>
              <w:spacing w:after="0"/>
              <w:rPr>
                <w:sz w:val="2"/>
                <w:szCs w:val="2"/>
                <w:color w:val="auto"/>
              </w:rPr>
            </w:pPr>
          </w:p>
        </w:tc>
        <w:tc>
          <w:tcPr>
            <w:tcW w:w="460" w:type="dxa"/>
            <w:vAlign w:val="bottom"/>
            <w:vMerge w:val="restart"/>
          </w:tcPr>
          <w:p>
            <w:pPr>
              <w:spacing w:after="0"/>
              <w:rPr>
                <w:sz w:val="2"/>
                <w:szCs w:val="2"/>
                <w:color w:val="auto"/>
              </w:rPr>
            </w:pPr>
          </w:p>
        </w:tc>
        <w:tc>
          <w:tcPr>
            <w:tcW w:w="4380" w:type="dxa"/>
            <w:vAlign w:val="bottom"/>
            <w:gridSpan w:val="2"/>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21</w:t>
            </w:r>
          </w:p>
        </w:tc>
        <w:tc>
          <w:tcPr>
            <w:tcW w:w="1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502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Loan Conversion and Participation</w:t>
            </w:r>
          </w:p>
        </w:tc>
        <w:tc>
          <w:tcPr>
            <w:tcW w:w="460" w:type="dxa"/>
            <w:vAlign w:val="bottom"/>
            <w:vMerge w:val="continue"/>
          </w:tcPr>
          <w:p>
            <w:pPr>
              <w:spacing w:after="0"/>
              <w:rPr>
                <w:sz w:val="13"/>
                <w:szCs w:val="13"/>
                <w:color w:val="auto"/>
              </w:rPr>
            </w:pPr>
          </w:p>
        </w:tc>
        <w:tc>
          <w:tcPr>
            <w:tcW w:w="4380" w:type="dxa"/>
            <w:vAlign w:val="bottom"/>
            <w:gridSpan w:val="2"/>
            <w:vMerge w:val="continue"/>
          </w:tcPr>
          <w:p>
            <w:pPr>
              <w:spacing w:after="0"/>
              <w:rPr>
                <w:sz w:val="13"/>
                <w:szCs w:val="13"/>
                <w:color w:val="auto"/>
              </w:rPr>
            </w:pPr>
          </w:p>
        </w:tc>
        <w:tc>
          <w:tcPr>
            <w:tcW w:w="2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rPr>
              <w:t>56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0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5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1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SECTION 3.</w:t>
            </w:r>
          </w:p>
        </w:tc>
        <w:tc>
          <w:tcPr>
            <w:tcW w:w="5580" w:type="dxa"/>
            <w:vAlign w:val="bottom"/>
            <w:gridSpan w:val="11"/>
          </w:tcPr>
          <w:p>
            <w:pPr>
              <w:ind w:left="100"/>
              <w:spacing w:after="0"/>
              <w:rPr>
                <w:sz w:val="20"/>
                <w:szCs w:val="20"/>
                <w:color w:val="auto"/>
              </w:rPr>
            </w:pPr>
            <w:r>
              <w:rPr>
                <w:rFonts w:ascii="Times New Roman" w:cs="Times New Roman" w:eastAsia="Times New Roman" w:hAnsi="Times New Roman"/>
                <w:sz w:val="20"/>
                <w:szCs w:val="20"/>
                <w:color w:val="auto"/>
              </w:rPr>
              <w:t>LETTERS OF CREDIT</w:t>
            </w:r>
          </w:p>
        </w:tc>
        <w:tc>
          <w:tcPr>
            <w:tcW w:w="4200" w:type="dxa"/>
            <w:vAlign w:val="bottom"/>
          </w:tcPr>
          <w:p>
            <w:pPr>
              <w:spacing w:after="0"/>
              <w:rPr>
                <w:sz w:val="24"/>
                <w:szCs w:val="24"/>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20"/>
                <w:szCs w:val="20"/>
                <w:color w:val="FF0000"/>
                <w:strike w:val="1"/>
                <w:w w:val="89"/>
              </w:rPr>
              <w:t>44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000FF"/>
                <w:w w:val="89"/>
              </w:rPr>
              <w:t>57</w:t>
            </w:r>
          </w:p>
        </w:tc>
        <w:tc>
          <w:tcPr>
            <w:tcW w:w="0" w:type="dxa"/>
            <w:vAlign w:val="bottom"/>
          </w:tcPr>
          <w:p>
            <w:pPr>
              <w:spacing w:after="0"/>
              <w:rPr>
                <w:sz w:val="1"/>
                <w:szCs w:val="1"/>
                <w:color w:val="auto"/>
              </w:rPr>
            </w:pPr>
          </w:p>
        </w:tc>
      </w:tr>
      <w:tr>
        <w:trPr>
          <w:trHeight w:val="34"/>
        </w:trPr>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94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80" w:type="dxa"/>
            <w:vAlign w:val="bottom"/>
            <w:gridSpan w:val="11"/>
          </w:tcPr>
          <w:p>
            <w:pPr>
              <w:ind w:left="100"/>
              <w:spacing w:after="0"/>
              <w:rPr>
                <w:sz w:val="20"/>
                <w:szCs w:val="20"/>
                <w:color w:val="auto"/>
              </w:rPr>
            </w:pPr>
            <w:r>
              <w:rPr>
                <w:rFonts w:ascii="Times New Roman" w:cs="Times New Roman" w:eastAsia="Times New Roman" w:hAnsi="Times New Roman"/>
                <w:sz w:val="20"/>
                <w:szCs w:val="20"/>
                <w:color w:val="auto"/>
              </w:rPr>
              <w:t>L/C Commitment</w:t>
            </w:r>
          </w:p>
        </w:tc>
        <w:tc>
          <w:tcPr>
            <w:tcW w:w="4200" w:type="dxa"/>
            <w:vAlign w:val="bottom"/>
          </w:tcPr>
          <w:p>
            <w:pPr>
              <w:spacing w:after="0"/>
              <w:rPr>
                <w:sz w:val="24"/>
                <w:szCs w:val="24"/>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20"/>
                <w:szCs w:val="20"/>
                <w:color w:val="FF0000"/>
                <w:strike w:val="1"/>
                <w:w w:val="89"/>
              </w:rPr>
              <w:t>44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000FF"/>
                <w:w w:val="89"/>
              </w:rPr>
              <w:t>57</w:t>
            </w:r>
          </w:p>
        </w:tc>
        <w:tc>
          <w:tcPr>
            <w:tcW w:w="0" w:type="dxa"/>
            <w:vAlign w:val="bottom"/>
          </w:tcPr>
          <w:p>
            <w:pPr>
              <w:spacing w:after="0"/>
              <w:rPr>
                <w:sz w:val="1"/>
                <w:szCs w:val="1"/>
                <w:color w:val="auto"/>
              </w:rPr>
            </w:pPr>
          </w:p>
        </w:tc>
      </w:tr>
      <w:tr>
        <w:trPr>
          <w:trHeight w:val="34"/>
        </w:trPr>
        <w:tc>
          <w:tcPr>
            <w:tcW w:w="940" w:type="dxa"/>
            <w:vAlign w:val="bottom"/>
            <w:gridSpan w:val="3"/>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3.2</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Procedure for Issuance of Letter of Credit</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45</w:t>
            </w: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gridSpan w:val="3"/>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3.3</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Fees and Other Charges</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45</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gridSpan w:val="3"/>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3.4</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L/C Participations</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46</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gridSpan w:val="3"/>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3.5</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Reimbursement Obligation of the Borrower</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47</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gridSpan w:val="3"/>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3.6</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Obligations Absolute</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47</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gridSpan w:val="3"/>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3.7</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Letter of Credit Payments</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47</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gridSpan w:val="3"/>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3.8</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Applications</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48</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gridSpan w:val="3"/>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3.9</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Termination of Issuing Bank</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48</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1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SECTION 4.</w:t>
            </w:r>
          </w:p>
        </w:tc>
        <w:tc>
          <w:tcPr>
            <w:tcW w:w="5580" w:type="dxa"/>
            <w:vAlign w:val="bottom"/>
            <w:gridSpan w:val="11"/>
          </w:tcPr>
          <w:p>
            <w:pPr>
              <w:ind w:left="100"/>
              <w:spacing w:after="0"/>
              <w:rPr>
                <w:sz w:val="20"/>
                <w:szCs w:val="20"/>
                <w:color w:val="auto"/>
              </w:rPr>
            </w:pPr>
            <w:r>
              <w:rPr>
                <w:rFonts w:ascii="Times New Roman" w:cs="Times New Roman" w:eastAsia="Times New Roman" w:hAnsi="Times New Roman"/>
                <w:sz w:val="20"/>
                <w:szCs w:val="20"/>
                <w:color w:val="auto"/>
              </w:rPr>
              <w:t>REPRESENTATIONS AND WARRANTIES</w:t>
            </w:r>
          </w:p>
        </w:tc>
        <w:tc>
          <w:tcPr>
            <w:tcW w:w="4200" w:type="dxa"/>
            <w:vAlign w:val="bottom"/>
          </w:tcPr>
          <w:p>
            <w:pPr>
              <w:spacing w:after="0"/>
              <w:rPr>
                <w:sz w:val="24"/>
                <w:szCs w:val="24"/>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20"/>
                <w:szCs w:val="20"/>
                <w:color w:val="FF0000"/>
                <w:strike w:val="1"/>
                <w:w w:val="89"/>
              </w:rPr>
              <w:t>48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000FF"/>
                <w:w w:val="89"/>
              </w:rPr>
              <w:t>61</w:t>
            </w:r>
          </w:p>
        </w:tc>
        <w:tc>
          <w:tcPr>
            <w:tcW w:w="0" w:type="dxa"/>
            <w:vAlign w:val="bottom"/>
          </w:tcPr>
          <w:p>
            <w:pPr>
              <w:spacing w:after="0"/>
              <w:rPr>
                <w:sz w:val="1"/>
                <w:szCs w:val="1"/>
                <w:color w:val="auto"/>
              </w:rPr>
            </w:pPr>
          </w:p>
        </w:tc>
      </w:tr>
      <w:tr>
        <w:trPr>
          <w:trHeight w:val="34"/>
        </w:trPr>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94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4.1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80" w:type="dxa"/>
            <w:vAlign w:val="bottom"/>
            <w:gridSpan w:val="11"/>
          </w:tcPr>
          <w:p>
            <w:pPr>
              <w:ind w:left="100"/>
              <w:spacing w:after="0"/>
              <w:rPr>
                <w:sz w:val="20"/>
                <w:szCs w:val="20"/>
                <w:color w:val="auto"/>
              </w:rPr>
            </w:pPr>
            <w:r>
              <w:rPr>
                <w:rFonts w:ascii="Times New Roman" w:cs="Times New Roman" w:eastAsia="Times New Roman" w:hAnsi="Times New Roman"/>
                <w:sz w:val="20"/>
                <w:szCs w:val="20"/>
                <w:color w:val="auto"/>
              </w:rPr>
              <w:t>Financial Condition</w:t>
            </w:r>
          </w:p>
        </w:tc>
        <w:tc>
          <w:tcPr>
            <w:tcW w:w="4200" w:type="dxa"/>
            <w:vAlign w:val="bottom"/>
          </w:tcPr>
          <w:p>
            <w:pPr>
              <w:spacing w:after="0"/>
              <w:rPr>
                <w:sz w:val="24"/>
                <w:szCs w:val="24"/>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20"/>
                <w:szCs w:val="20"/>
                <w:color w:val="FF0000"/>
                <w:strike w:val="1"/>
                <w:w w:val="89"/>
              </w:rPr>
              <w:t>48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000FF"/>
                <w:w w:val="89"/>
              </w:rPr>
              <w:t>61</w:t>
            </w:r>
          </w:p>
        </w:tc>
        <w:tc>
          <w:tcPr>
            <w:tcW w:w="0" w:type="dxa"/>
            <w:vAlign w:val="bottom"/>
          </w:tcPr>
          <w:p>
            <w:pPr>
              <w:spacing w:after="0"/>
              <w:rPr>
                <w:sz w:val="1"/>
                <w:szCs w:val="1"/>
                <w:color w:val="auto"/>
              </w:rPr>
            </w:pPr>
          </w:p>
        </w:tc>
      </w:tr>
      <w:tr>
        <w:trPr>
          <w:trHeight w:val="34"/>
        </w:trPr>
        <w:tc>
          <w:tcPr>
            <w:tcW w:w="940" w:type="dxa"/>
            <w:vAlign w:val="bottom"/>
            <w:gridSpan w:val="3"/>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4.2</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No Change</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49</w:t>
            </w: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gridSpan w:val="3"/>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4.3</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580" w:type="dxa"/>
            <w:vAlign w:val="bottom"/>
            <w:gridSpan w:val="11"/>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Existence; Compliance with Law</w:t>
            </w:r>
          </w:p>
        </w:tc>
        <w:tc>
          <w:tcPr>
            <w:tcW w:w="4200" w:type="dxa"/>
            <w:vAlign w:val="bottom"/>
            <w:vMerge w:val="restart"/>
          </w:tcPr>
          <w:p>
            <w:pPr>
              <w:spacing w:after="0"/>
              <w:rPr>
                <w:sz w:val="2"/>
                <w:szCs w:val="2"/>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49</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580" w:type="dxa"/>
            <w:vAlign w:val="bottom"/>
            <w:gridSpan w:val="11"/>
            <w:vMerge w:val="continue"/>
          </w:tcPr>
          <w:p>
            <w:pPr>
              <w:spacing w:after="0"/>
              <w:rPr>
                <w:sz w:val="13"/>
                <w:szCs w:val="13"/>
                <w:color w:val="auto"/>
              </w:rPr>
            </w:pPr>
          </w:p>
        </w:tc>
        <w:tc>
          <w:tcPr>
            <w:tcW w:w="4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320"/>
          </w:cols>
          <w:pgMar w:left="240" w:top="247"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40"/>
        </w:trPr>
        <w:tc>
          <w:tcPr>
            <w:tcW w:w="1140" w:type="dxa"/>
            <w:vAlign w:val="bottom"/>
            <w:vMerge w:val="restart"/>
          </w:tcPr>
          <w:p>
            <w:pPr>
              <w:ind w:left="600"/>
              <w:spacing w:after="0"/>
              <w:rPr>
                <w:sz w:val="20"/>
                <w:szCs w:val="20"/>
                <w:color w:val="auto"/>
              </w:rPr>
            </w:pPr>
            <w:r>
              <w:rPr>
                <w:rFonts w:ascii="Times New Roman" w:cs="Times New Roman" w:eastAsia="Times New Roman" w:hAnsi="Times New Roman"/>
                <w:sz w:val="20"/>
                <w:szCs w:val="20"/>
                <w:color w:val="auto"/>
              </w:rPr>
              <w:t>4.4</w:t>
            </w:r>
          </w:p>
        </w:tc>
        <w:tc>
          <w:tcPr>
            <w:tcW w:w="97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Power; Authorization; Enforceable Obligations</w:t>
            </w: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FF0000"/>
                <w:strike w:val="1"/>
                <w:w w:val="89"/>
              </w:rPr>
              <w:t>49</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0000FF"/>
                <w:w w:val="89"/>
              </w:rPr>
              <w:t>62</w:t>
            </w:r>
          </w:p>
        </w:tc>
        <w:tc>
          <w:tcPr>
            <w:tcW w:w="0" w:type="dxa"/>
            <w:vAlign w:val="bottom"/>
          </w:tcPr>
          <w:p>
            <w:pPr>
              <w:spacing w:after="0"/>
              <w:rPr>
                <w:sz w:val="1"/>
                <w:szCs w:val="1"/>
                <w:color w:val="auto"/>
              </w:rPr>
            </w:pPr>
          </w:p>
        </w:tc>
      </w:tr>
      <w:tr>
        <w:trPr>
          <w:trHeight w:val="190"/>
        </w:trPr>
        <w:tc>
          <w:tcPr>
            <w:tcW w:w="1140" w:type="dxa"/>
            <w:vAlign w:val="bottom"/>
            <w:vMerge w:val="continue"/>
          </w:tcPr>
          <w:p>
            <w:pPr>
              <w:spacing w:after="0"/>
              <w:rPr>
                <w:sz w:val="16"/>
                <w:szCs w:val="16"/>
                <w:color w:val="auto"/>
              </w:rPr>
            </w:pPr>
          </w:p>
        </w:tc>
        <w:tc>
          <w:tcPr>
            <w:tcW w:w="978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4.5</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No Legal Bar</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49</w:t>
            </w: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4.6</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Litigation</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49</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4.7</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No Default</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50</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4.8</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Ownership of Property; Liens</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50</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4.9</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Intellectual Property</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50</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4.10</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Taxes</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50</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4.11</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Federal Regulations</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50</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4.12</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Labor Matters</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50</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4.13</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ERISA</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50</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4.14</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Investment Company Act; Other Regulations</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51</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4.15</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Subsidiaries</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51</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4.16</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Use of Proceeds</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51</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4.17</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Environmental Matters</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51</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4.18</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Accuracy of Information, etc</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52</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4.19</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Security Documents</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52</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4.20</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Solvency</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53</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4.21</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Regulation H</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53</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4.22</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Certain Documents</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53</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4.23</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Anti-Corruption Laws and Sanctions</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53</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5.</w:t>
            </w:r>
          </w:p>
        </w:tc>
        <w:tc>
          <w:tcPr>
            <w:tcW w:w="9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CONDITIONS PRECEDENT</w:t>
            </w:r>
          </w:p>
        </w:tc>
        <w:tc>
          <w:tcPr>
            <w:tcW w:w="200" w:type="dxa"/>
            <w:vAlign w:val="bottom"/>
            <w:gridSpan w:val="2"/>
          </w:tcPr>
          <w:p>
            <w:pPr>
              <w:spacing w:after="0"/>
              <w:rPr>
                <w:sz w:val="20"/>
                <w:szCs w:val="20"/>
                <w:color w:val="auto"/>
              </w:rPr>
            </w:pPr>
            <w:r>
              <w:rPr>
                <w:rFonts w:ascii="Times New Roman" w:cs="Times New Roman" w:eastAsia="Times New Roman" w:hAnsi="Times New Roman"/>
                <w:sz w:val="20"/>
                <w:szCs w:val="20"/>
                <w:color w:val="FF0000"/>
                <w:strike w:val="1"/>
                <w:w w:val="89"/>
              </w:rPr>
              <w:t>54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000FF"/>
                <w:w w:val="89"/>
              </w:rPr>
              <w:t>67</w:t>
            </w:r>
          </w:p>
        </w:tc>
        <w:tc>
          <w:tcPr>
            <w:tcW w:w="0" w:type="dxa"/>
            <w:vAlign w:val="bottom"/>
          </w:tcPr>
          <w:p>
            <w:pPr>
              <w:spacing w:after="0"/>
              <w:rPr>
                <w:sz w:val="1"/>
                <w:szCs w:val="1"/>
                <w:color w:val="auto"/>
              </w:rPr>
            </w:pPr>
          </w:p>
        </w:tc>
      </w:tr>
      <w:tr>
        <w:trPr>
          <w:trHeight w:val="34"/>
        </w:trPr>
        <w:tc>
          <w:tcPr>
            <w:tcW w:w="114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1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5.1</w:t>
            </w:r>
          </w:p>
        </w:tc>
        <w:tc>
          <w:tcPr>
            <w:tcW w:w="9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Conditions to Initial Extension of Credit</w:t>
            </w:r>
          </w:p>
        </w:tc>
        <w:tc>
          <w:tcPr>
            <w:tcW w:w="200" w:type="dxa"/>
            <w:vAlign w:val="bottom"/>
            <w:gridSpan w:val="2"/>
          </w:tcPr>
          <w:p>
            <w:pPr>
              <w:spacing w:after="0"/>
              <w:rPr>
                <w:sz w:val="20"/>
                <w:szCs w:val="20"/>
                <w:color w:val="auto"/>
              </w:rPr>
            </w:pPr>
            <w:r>
              <w:rPr>
                <w:rFonts w:ascii="Times New Roman" w:cs="Times New Roman" w:eastAsia="Times New Roman" w:hAnsi="Times New Roman"/>
                <w:sz w:val="20"/>
                <w:szCs w:val="20"/>
                <w:color w:val="FF0000"/>
                <w:strike w:val="1"/>
                <w:w w:val="89"/>
              </w:rPr>
              <w:t>54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000FF"/>
                <w:w w:val="89"/>
              </w:rPr>
              <w:t>67</w:t>
            </w: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5.2</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Conditions to Each Extension of Credit</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57</w:t>
            </w: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6.</w:t>
            </w:r>
          </w:p>
        </w:tc>
        <w:tc>
          <w:tcPr>
            <w:tcW w:w="9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AFFIRMATIVE COVENANTS</w:t>
            </w:r>
          </w:p>
        </w:tc>
        <w:tc>
          <w:tcPr>
            <w:tcW w:w="200" w:type="dxa"/>
            <w:vAlign w:val="bottom"/>
            <w:gridSpan w:val="2"/>
          </w:tcPr>
          <w:p>
            <w:pPr>
              <w:spacing w:after="0"/>
              <w:rPr>
                <w:sz w:val="20"/>
                <w:szCs w:val="20"/>
                <w:color w:val="auto"/>
              </w:rPr>
            </w:pPr>
            <w:r>
              <w:rPr>
                <w:rFonts w:ascii="Times New Roman" w:cs="Times New Roman" w:eastAsia="Times New Roman" w:hAnsi="Times New Roman"/>
                <w:sz w:val="20"/>
                <w:szCs w:val="20"/>
                <w:color w:val="FF0000"/>
                <w:strike w:val="1"/>
                <w:w w:val="89"/>
              </w:rPr>
              <w:t>58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000FF"/>
                <w:w w:val="89"/>
              </w:rPr>
              <w:t>71</w:t>
            </w:r>
          </w:p>
        </w:tc>
        <w:tc>
          <w:tcPr>
            <w:tcW w:w="0" w:type="dxa"/>
            <w:vAlign w:val="bottom"/>
          </w:tcPr>
          <w:p>
            <w:pPr>
              <w:spacing w:after="0"/>
              <w:rPr>
                <w:sz w:val="1"/>
                <w:szCs w:val="1"/>
                <w:color w:val="auto"/>
              </w:rPr>
            </w:pPr>
          </w:p>
        </w:tc>
      </w:tr>
      <w:tr>
        <w:trPr>
          <w:trHeight w:val="34"/>
        </w:trPr>
        <w:tc>
          <w:tcPr>
            <w:tcW w:w="114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1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6.1</w:t>
            </w:r>
          </w:p>
        </w:tc>
        <w:tc>
          <w:tcPr>
            <w:tcW w:w="9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Financial Statements</w:t>
            </w:r>
          </w:p>
        </w:tc>
        <w:tc>
          <w:tcPr>
            <w:tcW w:w="200" w:type="dxa"/>
            <w:vAlign w:val="bottom"/>
            <w:gridSpan w:val="2"/>
          </w:tcPr>
          <w:p>
            <w:pPr>
              <w:spacing w:after="0"/>
              <w:rPr>
                <w:sz w:val="20"/>
                <w:szCs w:val="20"/>
                <w:color w:val="auto"/>
              </w:rPr>
            </w:pPr>
            <w:r>
              <w:rPr>
                <w:rFonts w:ascii="Times New Roman" w:cs="Times New Roman" w:eastAsia="Times New Roman" w:hAnsi="Times New Roman"/>
                <w:sz w:val="20"/>
                <w:szCs w:val="20"/>
                <w:color w:val="FF0000"/>
                <w:strike w:val="1"/>
                <w:w w:val="89"/>
              </w:rPr>
              <w:t>58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000FF"/>
                <w:w w:val="89"/>
              </w:rPr>
              <w:t>71</w:t>
            </w: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6.2</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Certificates; Other Information</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59</w:t>
            </w: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6.3</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Compliance and Borrowing Base Certificates</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60</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6.4</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Payment of Obligations</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61</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6.5</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Maintenance of Existence; Compliance</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61</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6.6</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Maintenance of Property; Insurance</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61</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6.7</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Inspection of Property; Books and Records; Discussions</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63</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6.8</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Notices</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63</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6.9</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Environmental Laws</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63</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6.10</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Additional Collateral, etc</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64</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6.11</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Accounts</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66</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6.12</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Credit Rating</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66</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6.13</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Compliance with Anti-Corruption Laws and Sanctions</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66</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7.</w:t>
            </w:r>
          </w:p>
        </w:tc>
        <w:tc>
          <w:tcPr>
            <w:tcW w:w="9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NEGATIVE COVENANTS</w:t>
            </w:r>
          </w:p>
        </w:tc>
        <w:tc>
          <w:tcPr>
            <w:tcW w:w="200" w:type="dxa"/>
            <w:vAlign w:val="bottom"/>
            <w:gridSpan w:val="2"/>
          </w:tcPr>
          <w:p>
            <w:pPr>
              <w:spacing w:after="0"/>
              <w:rPr>
                <w:sz w:val="20"/>
                <w:szCs w:val="20"/>
                <w:color w:val="auto"/>
              </w:rPr>
            </w:pPr>
            <w:r>
              <w:rPr>
                <w:rFonts w:ascii="Times New Roman" w:cs="Times New Roman" w:eastAsia="Times New Roman" w:hAnsi="Times New Roman"/>
                <w:sz w:val="20"/>
                <w:szCs w:val="20"/>
                <w:color w:val="FF0000"/>
                <w:strike w:val="1"/>
                <w:w w:val="89"/>
              </w:rPr>
              <w:t>67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000FF"/>
                <w:w w:val="89"/>
              </w:rPr>
              <w:t>80</w:t>
            </w:r>
          </w:p>
        </w:tc>
        <w:tc>
          <w:tcPr>
            <w:tcW w:w="0" w:type="dxa"/>
            <w:vAlign w:val="bottom"/>
          </w:tcPr>
          <w:p>
            <w:pPr>
              <w:spacing w:after="0"/>
              <w:rPr>
                <w:sz w:val="1"/>
                <w:szCs w:val="1"/>
                <w:color w:val="auto"/>
              </w:rPr>
            </w:pPr>
          </w:p>
        </w:tc>
      </w:tr>
      <w:tr>
        <w:trPr>
          <w:trHeight w:val="34"/>
        </w:trPr>
        <w:tc>
          <w:tcPr>
            <w:tcW w:w="114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1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7.1</w:t>
            </w:r>
          </w:p>
        </w:tc>
        <w:tc>
          <w:tcPr>
            <w:tcW w:w="9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Financial Condition Covenants</w:t>
            </w:r>
          </w:p>
        </w:tc>
        <w:tc>
          <w:tcPr>
            <w:tcW w:w="200" w:type="dxa"/>
            <w:vAlign w:val="bottom"/>
            <w:gridSpan w:val="2"/>
          </w:tcPr>
          <w:p>
            <w:pPr>
              <w:spacing w:after="0"/>
              <w:rPr>
                <w:sz w:val="20"/>
                <w:szCs w:val="20"/>
                <w:color w:val="auto"/>
              </w:rPr>
            </w:pPr>
            <w:r>
              <w:rPr>
                <w:rFonts w:ascii="Times New Roman" w:cs="Times New Roman" w:eastAsia="Times New Roman" w:hAnsi="Times New Roman"/>
                <w:sz w:val="20"/>
                <w:szCs w:val="20"/>
                <w:color w:val="FF0000"/>
                <w:strike w:val="1"/>
                <w:w w:val="89"/>
              </w:rPr>
              <w:t>67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000FF"/>
                <w:w w:val="89"/>
              </w:rPr>
              <w:t>80</w:t>
            </w: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7.2</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Borrowing Base</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67</w:t>
            </w: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7.3</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Indebtedness</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67</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7.4</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Liens</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70</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7.5</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Fundamental Changes</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71</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7.6</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Disposition of Property</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72</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7.7</w:t>
            </w:r>
          </w:p>
        </w:tc>
        <w:tc>
          <w:tcPr>
            <w:tcW w:w="97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Restricted Payments</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73</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1320"/>
          </w:cols>
          <w:pgMar w:left="240" w:top="247"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40"/>
        </w:trPr>
        <w:tc>
          <w:tcPr>
            <w:tcW w:w="1240" w:type="dxa"/>
            <w:vAlign w:val="bottom"/>
            <w:vMerge w:val="restart"/>
          </w:tcPr>
          <w:p>
            <w:pPr>
              <w:ind w:left="600"/>
              <w:spacing w:after="0"/>
              <w:rPr>
                <w:sz w:val="20"/>
                <w:szCs w:val="20"/>
                <w:color w:val="auto"/>
              </w:rPr>
            </w:pPr>
            <w:r>
              <w:rPr>
                <w:rFonts w:ascii="Times New Roman" w:cs="Times New Roman" w:eastAsia="Times New Roman" w:hAnsi="Times New Roman"/>
                <w:sz w:val="20"/>
                <w:szCs w:val="20"/>
                <w:color w:val="auto"/>
              </w:rPr>
              <w:t>7.8</w:t>
            </w:r>
          </w:p>
        </w:tc>
        <w:tc>
          <w:tcPr>
            <w:tcW w:w="95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Capital Expenditures</w:t>
            </w:r>
          </w:p>
        </w:tc>
        <w:tc>
          <w:tcPr>
            <w:tcW w:w="100" w:type="dxa"/>
            <w:vAlign w:val="bottom"/>
            <w:vMerge w:val="restart"/>
          </w:tcPr>
          <w:p>
            <w:pPr>
              <w:spacing w:after="0"/>
              <w:rPr>
                <w:sz w:val="3"/>
                <w:szCs w:val="3"/>
                <w:color w:val="auto"/>
              </w:rPr>
            </w:pPr>
          </w:p>
        </w:tc>
        <w:tc>
          <w:tcPr>
            <w:tcW w:w="2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FF0000"/>
                <w:strike w:val="1"/>
                <w:w w:val="89"/>
              </w:rPr>
              <w:t>73</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0000FF"/>
                <w:w w:val="89"/>
              </w:rPr>
              <w:t>86</w:t>
            </w:r>
          </w:p>
        </w:tc>
        <w:tc>
          <w:tcPr>
            <w:tcW w:w="0" w:type="dxa"/>
            <w:vAlign w:val="bottom"/>
          </w:tcPr>
          <w:p>
            <w:pPr>
              <w:spacing w:after="0"/>
              <w:rPr>
                <w:sz w:val="1"/>
                <w:szCs w:val="1"/>
                <w:color w:val="auto"/>
              </w:rPr>
            </w:pPr>
          </w:p>
        </w:tc>
      </w:tr>
      <w:tr>
        <w:trPr>
          <w:trHeight w:val="190"/>
        </w:trPr>
        <w:tc>
          <w:tcPr>
            <w:tcW w:w="1240" w:type="dxa"/>
            <w:vAlign w:val="bottom"/>
            <w:vMerge w:val="continue"/>
          </w:tcPr>
          <w:p>
            <w:pPr>
              <w:spacing w:after="0"/>
              <w:rPr>
                <w:sz w:val="16"/>
                <w:szCs w:val="16"/>
                <w:color w:val="auto"/>
              </w:rPr>
            </w:pPr>
          </w:p>
        </w:tc>
        <w:tc>
          <w:tcPr>
            <w:tcW w:w="95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gridSpan w:val="3"/>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7.9</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Investments</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73</w:t>
            </w: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7.10</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Transactions with Affiliates</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75</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7.11</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Sales and Leasebacks</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75</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7.12</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Swap Agreements</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75</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7.13</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Changes in Fiscal Periods</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76</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7.14</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Negative Pledge Clauses</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76</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7.15</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Clauses Restricting Subsidiary Distributions</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76</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7.16</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Lines of Business</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76</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7.17</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Amendments to Intercompany Agreements</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76</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7.18</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Optional Payments and Modifications of Subordinated Debt</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76</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7.19</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Use of Proceeds</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77</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SECTION 8.</w:t>
            </w:r>
          </w:p>
        </w:tc>
        <w:tc>
          <w:tcPr>
            <w:tcW w:w="95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EVENTS OF DEFAULT</w:t>
            </w:r>
          </w:p>
        </w:tc>
        <w:tc>
          <w:tcPr>
            <w:tcW w:w="100" w:type="dxa"/>
            <w:vAlign w:val="bottom"/>
          </w:tcPr>
          <w:p>
            <w:pPr>
              <w:spacing w:after="0"/>
              <w:rPr>
                <w:sz w:val="24"/>
                <w:szCs w:val="24"/>
                <w:color w:val="auto"/>
              </w:rPr>
            </w:pPr>
          </w:p>
        </w:tc>
        <w:tc>
          <w:tcPr>
            <w:tcW w:w="200" w:type="dxa"/>
            <w:vAlign w:val="bottom"/>
            <w:gridSpan w:val="3"/>
          </w:tcPr>
          <w:p>
            <w:pPr>
              <w:spacing w:after="0"/>
              <w:rPr>
                <w:sz w:val="20"/>
                <w:szCs w:val="20"/>
                <w:color w:val="auto"/>
              </w:rPr>
            </w:pPr>
            <w:r>
              <w:rPr>
                <w:rFonts w:ascii="Times New Roman" w:cs="Times New Roman" w:eastAsia="Times New Roman" w:hAnsi="Times New Roman"/>
                <w:sz w:val="20"/>
                <w:szCs w:val="20"/>
                <w:color w:val="FF0000"/>
                <w:strike w:val="1"/>
                <w:w w:val="89"/>
              </w:rPr>
              <w:t>77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000FF"/>
                <w:w w:val="89"/>
              </w:rPr>
              <w:t>90</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SECTION 9.</w:t>
            </w:r>
          </w:p>
        </w:tc>
        <w:tc>
          <w:tcPr>
            <w:tcW w:w="95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THE AGENTS</w:t>
            </w:r>
          </w:p>
        </w:tc>
        <w:tc>
          <w:tcPr>
            <w:tcW w:w="100" w:type="dxa"/>
            <w:vAlign w:val="bottom"/>
          </w:tcPr>
          <w:p>
            <w:pPr>
              <w:spacing w:after="0"/>
              <w:rPr>
                <w:sz w:val="24"/>
                <w:szCs w:val="24"/>
                <w:color w:val="auto"/>
              </w:rPr>
            </w:pPr>
          </w:p>
        </w:tc>
        <w:tc>
          <w:tcPr>
            <w:tcW w:w="200" w:type="dxa"/>
            <w:vAlign w:val="bottom"/>
            <w:gridSpan w:val="3"/>
          </w:tcPr>
          <w:p>
            <w:pPr>
              <w:spacing w:after="0"/>
              <w:rPr>
                <w:sz w:val="20"/>
                <w:szCs w:val="20"/>
                <w:color w:val="auto"/>
              </w:rPr>
            </w:pPr>
            <w:r>
              <w:rPr>
                <w:rFonts w:ascii="Times New Roman" w:cs="Times New Roman" w:eastAsia="Times New Roman" w:hAnsi="Times New Roman"/>
                <w:sz w:val="20"/>
                <w:szCs w:val="20"/>
                <w:color w:val="FF0000"/>
                <w:strike w:val="1"/>
                <w:w w:val="89"/>
              </w:rPr>
              <w:t>80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000FF"/>
                <w:w w:val="89"/>
              </w:rPr>
              <w:t>93</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2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9.1</w:t>
            </w:r>
          </w:p>
        </w:tc>
        <w:tc>
          <w:tcPr>
            <w:tcW w:w="95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Appointment</w:t>
            </w:r>
          </w:p>
        </w:tc>
        <w:tc>
          <w:tcPr>
            <w:tcW w:w="100" w:type="dxa"/>
            <w:vAlign w:val="bottom"/>
          </w:tcPr>
          <w:p>
            <w:pPr>
              <w:spacing w:after="0"/>
              <w:rPr>
                <w:sz w:val="24"/>
                <w:szCs w:val="24"/>
                <w:color w:val="auto"/>
              </w:rPr>
            </w:pPr>
          </w:p>
        </w:tc>
        <w:tc>
          <w:tcPr>
            <w:tcW w:w="200" w:type="dxa"/>
            <w:vAlign w:val="bottom"/>
            <w:gridSpan w:val="3"/>
          </w:tcPr>
          <w:p>
            <w:pPr>
              <w:spacing w:after="0"/>
              <w:rPr>
                <w:sz w:val="20"/>
                <w:szCs w:val="20"/>
                <w:color w:val="auto"/>
              </w:rPr>
            </w:pPr>
            <w:r>
              <w:rPr>
                <w:rFonts w:ascii="Times New Roman" w:cs="Times New Roman" w:eastAsia="Times New Roman" w:hAnsi="Times New Roman"/>
                <w:sz w:val="20"/>
                <w:szCs w:val="20"/>
                <w:color w:val="FF0000"/>
                <w:strike w:val="1"/>
                <w:w w:val="89"/>
              </w:rPr>
              <w:t>80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000FF"/>
                <w:w w:val="89"/>
              </w:rPr>
              <w:t>93</w:t>
            </w: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9.2</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Delegation of Duties</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80</w:t>
            </w: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9.3</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Exculpatory Provisions</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80</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9.4</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Reliance by Administrative Agent</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80</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9.5</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Notice of Default</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81</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9.6</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Non-Reliance on Agents and Other Lenders</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81</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9.7</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Indemnification</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81</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9.8</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Agent in Its Individual Capacity</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82</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9.9</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Successor Administrative Agent</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82</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9.10</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Documentation Agents and Syndication Agents</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82</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SECTION 10.</w:t>
            </w:r>
          </w:p>
        </w:tc>
        <w:tc>
          <w:tcPr>
            <w:tcW w:w="95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MISCELLANEOUS</w:t>
            </w:r>
          </w:p>
        </w:tc>
        <w:tc>
          <w:tcPr>
            <w:tcW w:w="100" w:type="dxa"/>
            <w:vAlign w:val="bottom"/>
          </w:tcPr>
          <w:p>
            <w:pPr>
              <w:spacing w:after="0"/>
              <w:rPr>
                <w:sz w:val="24"/>
                <w:szCs w:val="24"/>
                <w:color w:val="auto"/>
              </w:rPr>
            </w:pPr>
          </w:p>
        </w:tc>
        <w:tc>
          <w:tcPr>
            <w:tcW w:w="200" w:type="dxa"/>
            <w:vAlign w:val="bottom"/>
            <w:gridSpan w:val="3"/>
          </w:tcPr>
          <w:p>
            <w:pPr>
              <w:spacing w:after="0"/>
              <w:rPr>
                <w:sz w:val="20"/>
                <w:szCs w:val="20"/>
                <w:color w:val="auto"/>
              </w:rPr>
            </w:pPr>
            <w:r>
              <w:rPr>
                <w:rFonts w:ascii="Times New Roman" w:cs="Times New Roman" w:eastAsia="Times New Roman" w:hAnsi="Times New Roman"/>
                <w:sz w:val="20"/>
                <w:szCs w:val="20"/>
                <w:color w:val="FF0000"/>
                <w:strike w:val="1"/>
                <w:w w:val="89"/>
              </w:rPr>
              <w:t>82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000FF"/>
                <w:w w:val="89"/>
              </w:rPr>
              <w:t>95</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2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10.1</w:t>
            </w:r>
          </w:p>
        </w:tc>
        <w:tc>
          <w:tcPr>
            <w:tcW w:w="95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Amendments and Waivers</w:t>
            </w:r>
          </w:p>
        </w:tc>
        <w:tc>
          <w:tcPr>
            <w:tcW w:w="100" w:type="dxa"/>
            <w:vAlign w:val="bottom"/>
          </w:tcPr>
          <w:p>
            <w:pPr>
              <w:spacing w:after="0"/>
              <w:rPr>
                <w:sz w:val="24"/>
                <w:szCs w:val="24"/>
                <w:color w:val="auto"/>
              </w:rPr>
            </w:pPr>
          </w:p>
        </w:tc>
        <w:tc>
          <w:tcPr>
            <w:tcW w:w="200" w:type="dxa"/>
            <w:vAlign w:val="bottom"/>
            <w:gridSpan w:val="3"/>
          </w:tcPr>
          <w:p>
            <w:pPr>
              <w:spacing w:after="0"/>
              <w:rPr>
                <w:sz w:val="20"/>
                <w:szCs w:val="20"/>
                <w:color w:val="auto"/>
              </w:rPr>
            </w:pPr>
            <w:r>
              <w:rPr>
                <w:rFonts w:ascii="Times New Roman" w:cs="Times New Roman" w:eastAsia="Times New Roman" w:hAnsi="Times New Roman"/>
                <w:sz w:val="20"/>
                <w:szCs w:val="20"/>
                <w:color w:val="FF0000"/>
                <w:strike w:val="1"/>
                <w:w w:val="89"/>
              </w:rPr>
              <w:t>82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000FF"/>
                <w:w w:val="89"/>
              </w:rPr>
              <w:t>95</w:t>
            </w: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10.2</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Notices</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83</w:t>
            </w:r>
          </w:p>
        </w:tc>
        <w:tc>
          <w:tcPr>
            <w:tcW w:w="20" w:type="dxa"/>
            <w:vAlign w:val="bottom"/>
            <w:tcBorders>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10.3</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No Waiver; Cumulative Remedies</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85</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10.4</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Survival of Representations and Warranties</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85</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10.5</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Payment of Expenses and Taxes</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85</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10.6</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Successors and Assigns; Participations and Assignments</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86</w:t>
            </w: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99"/>
              </w:rPr>
              <w:t>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10.7</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Adjustments; Set-off</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2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9"/>
              </w:rPr>
              <w:t>89</w:t>
            </w:r>
          </w:p>
        </w:tc>
        <w:tc>
          <w:tcPr>
            <w:tcW w:w="30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rPr>
              <w:t>102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10.8</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Counterparts</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89</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30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rPr>
              <w:t>103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10.9</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Severability</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89</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30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rPr>
              <w:t>103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10.10</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Integration</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89</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30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rPr>
              <w:t>103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10.11</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GOVERNING LAW</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90</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30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rPr>
              <w:t>103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10.12</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Submission To Jurisdiction; Waivers</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90</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30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rPr>
              <w:t>103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10.13</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Acknowledgements</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90</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30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rPr>
              <w:t>104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10.14</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Releases of Guarantees and Liens</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91</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30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rPr>
              <w:t>104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10.15</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Confidentiality</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91</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30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rPr>
              <w:t>105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10.16</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WAIVERS OF JURY TRIAL</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92</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30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rPr>
              <w:t>106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10.17</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USA Patriot Act</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92</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30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rPr>
              <w:t>106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vMerge w:val="restart"/>
          </w:tcPr>
          <w:p>
            <w:pPr>
              <w:ind w:left="600"/>
              <w:spacing w:after="0" w:line="209" w:lineRule="exact"/>
              <w:rPr>
                <w:sz w:val="20"/>
                <w:szCs w:val="20"/>
                <w:color w:val="auto"/>
              </w:rPr>
            </w:pPr>
            <w:r>
              <w:rPr>
                <w:rFonts w:ascii="Times New Roman" w:cs="Times New Roman" w:eastAsia="Times New Roman" w:hAnsi="Times New Roman"/>
                <w:sz w:val="20"/>
                <w:szCs w:val="20"/>
                <w:color w:val="auto"/>
              </w:rPr>
              <w:t>10.18</w:t>
            </w:r>
          </w:p>
        </w:tc>
        <w:tc>
          <w:tcPr>
            <w:tcW w:w="95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color w:val="auto"/>
              </w:rPr>
              <w:t>Effect of Amendment and Restatement of the Existing Credit Agreement</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92</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30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rPr>
              <w:t>106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320"/>
          </w:cols>
          <w:pgMar w:left="240" w:top="24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0"/>
          <w:szCs w:val="20"/>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1.1A</w:t>
            </w:r>
          </w:p>
        </w:tc>
        <w:tc>
          <w:tcPr>
            <w:tcW w:w="386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Commitments*</w:t>
            </w:r>
            <w:r>
              <w:rPr>
                <w:rFonts w:ascii="Times New Roman" w:cs="Times New Roman" w:eastAsia="Times New Roman" w:hAnsi="Times New Roman"/>
                <w:sz w:val="20"/>
                <w:szCs w:val="20"/>
                <w:color w:val="0000FF"/>
              </w:rPr>
              <w:t>*</w:t>
            </w:r>
          </w:p>
        </w:tc>
        <w:tc>
          <w:tcPr>
            <w:tcW w:w="0" w:type="dxa"/>
            <w:vAlign w:val="bottom"/>
          </w:tcPr>
          <w:p>
            <w:pPr>
              <w:spacing w:after="0"/>
              <w:rPr>
                <w:sz w:val="1"/>
                <w:szCs w:val="1"/>
                <w:color w:val="auto"/>
              </w:rPr>
            </w:pPr>
          </w:p>
        </w:tc>
      </w:tr>
      <w:tr>
        <w:trPr>
          <w:trHeight w:val="34"/>
        </w:trPr>
        <w:tc>
          <w:tcPr>
            <w:tcW w:w="820" w:type="dxa"/>
            <w:vAlign w:val="bottom"/>
            <w:vMerge w:val="restart"/>
          </w:tcPr>
          <w:p>
            <w:pPr>
              <w:spacing w:after="0" w:line="228" w:lineRule="exact"/>
              <w:rPr>
                <w:sz w:val="20"/>
                <w:szCs w:val="20"/>
                <w:color w:val="auto"/>
              </w:rPr>
            </w:pPr>
            <w:r>
              <w:rPr>
                <w:rFonts w:ascii="Times New Roman" w:cs="Times New Roman" w:eastAsia="Times New Roman" w:hAnsi="Times New Roman"/>
                <w:sz w:val="20"/>
                <w:szCs w:val="20"/>
                <w:color w:val="auto"/>
              </w:rPr>
              <w:t>1.1B</w:t>
            </w:r>
          </w:p>
        </w:tc>
        <w:tc>
          <w:tcPr>
            <w:tcW w:w="1440" w:type="dxa"/>
            <w:vAlign w:val="bottom"/>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820" w:type="dxa"/>
            <w:vAlign w:val="bottom"/>
            <w:vMerge w:val="continue"/>
          </w:tcPr>
          <w:p>
            <w:pPr>
              <w:spacing w:after="0"/>
              <w:rPr>
                <w:sz w:val="15"/>
                <w:szCs w:val="15"/>
                <w:color w:val="auto"/>
              </w:rPr>
            </w:pPr>
          </w:p>
        </w:tc>
        <w:tc>
          <w:tcPr>
            <w:tcW w:w="1560" w:type="dxa"/>
            <w:vAlign w:val="bottom"/>
            <w:gridSpan w:val="3"/>
          </w:tcPr>
          <w:p>
            <w:pPr>
              <w:ind w:left="220"/>
              <w:spacing w:after="0" w:line="173" w:lineRule="exact"/>
              <w:rPr>
                <w:sz w:val="20"/>
                <w:szCs w:val="20"/>
                <w:color w:val="auto"/>
              </w:rPr>
            </w:pPr>
            <w:r>
              <w:rPr>
                <w:rFonts w:ascii="Times New Roman" w:cs="Times New Roman" w:eastAsia="Times New Roman" w:hAnsi="Times New Roman"/>
                <w:sz w:val="20"/>
                <w:szCs w:val="20"/>
                <w:color w:val="auto"/>
                <w:w w:val="93"/>
              </w:rPr>
              <w:t>Borrowing Base*</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2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1.1C</w:t>
            </w:r>
          </w:p>
        </w:tc>
        <w:tc>
          <w:tcPr>
            <w:tcW w:w="3860" w:type="dxa"/>
            <w:vAlign w:val="bottom"/>
            <w:gridSpan w:val="9"/>
          </w:tcPr>
          <w:p>
            <w:pPr>
              <w:ind w:left="220"/>
              <w:spacing w:after="0" w:line="212" w:lineRule="exact"/>
              <w:rPr>
                <w:sz w:val="20"/>
                <w:szCs w:val="20"/>
                <w:color w:val="auto"/>
              </w:rPr>
            </w:pPr>
            <w:r>
              <w:rPr>
                <w:rFonts w:ascii="Times New Roman" w:cs="Times New Roman" w:eastAsia="Times New Roman" w:hAnsi="Times New Roman"/>
                <w:sz w:val="20"/>
                <w:szCs w:val="20"/>
                <w:color w:val="auto"/>
              </w:rPr>
              <w:t>Mortgaged Property*</w:t>
            </w:r>
            <w:r>
              <w:rPr>
                <w:rFonts w:ascii="Times New Roman" w:cs="Times New Roman" w:eastAsia="Times New Roman" w:hAnsi="Times New Roman"/>
                <w:sz w:val="20"/>
                <w:szCs w:val="20"/>
                <w:color w:val="0000FF"/>
              </w:rPr>
              <w:t>*</w:t>
            </w:r>
          </w:p>
        </w:tc>
        <w:tc>
          <w:tcPr>
            <w:tcW w:w="0" w:type="dxa"/>
            <w:vAlign w:val="bottom"/>
          </w:tcPr>
          <w:p>
            <w:pPr>
              <w:spacing w:after="0"/>
              <w:rPr>
                <w:sz w:val="1"/>
                <w:szCs w:val="1"/>
                <w:color w:val="auto"/>
              </w:rPr>
            </w:pPr>
          </w:p>
        </w:tc>
      </w:tr>
      <w:tr>
        <w:trPr>
          <w:trHeight w:val="34"/>
        </w:trPr>
        <w:tc>
          <w:tcPr>
            <w:tcW w:w="820" w:type="dxa"/>
            <w:vAlign w:val="bottom"/>
            <w:vMerge w:val="restart"/>
          </w:tcPr>
          <w:p>
            <w:pPr>
              <w:spacing w:after="0" w:line="228" w:lineRule="exact"/>
              <w:rPr>
                <w:sz w:val="20"/>
                <w:szCs w:val="20"/>
                <w:color w:val="auto"/>
              </w:rPr>
            </w:pPr>
            <w:r>
              <w:rPr>
                <w:rFonts w:ascii="Times New Roman" w:cs="Times New Roman" w:eastAsia="Times New Roman" w:hAnsi="Times New Roman"/>
                <w:sz w:val="20"/>
                <w:szCs w:val="20"/>
                <w:color w:val="auto"/>
              </w:rPr>
              <w:t>1.1D</w:t>
            </w: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840" w:type="dxa"/>
            <w:vAlign w:val="bottom"/>
            <w:gridSpan w:val="4"/>
            <w:vMerge w:val="restart"/>
          </w:tcPr>
          <w:p>
            <w:pPr>
              <w:ind w:left="240"/>
              <w:spacing w:after="0" w:line="228" w:lineRule="exact"/>
              <w:rPr>
                <w:sz w:val="20"/>
                <w:szCs w:val="20"/>
                <w:color w:val="auto"/>
              </w:rPr>
            </w:pPr>
            <w:r>
              <w:rPr>
                <w:rFonts w:ascii="Times New Roman" w:cs="Times New Roman" w:eastAsia="Times New Roman" w:hAnsi="Times New Roman"/>
                <w:sz w:val="20"/>
                <w:szCs w:val="20"/>
                <w:color w:val="auto"/>
              </w:rPr>
              <w:t>LC</w:t>
            </w:r>
          </w:p>
        </w:tc>
        <w:tc>
          <w:tcPr>
            <w:tcW w:w="0" w:type="dxa"/>
            <w:vAlign w:val="bottom"/>
          </w:tcPr>
          <w:p>
            <w:pPr>
              <w:spacing w:after="0"/>
              <w:rPr>
                <w:sz w:val="1"/>
                <w:szCs w:val="1"/>
                <w:color w:val="auto"/>
              </w:rPr>
            </w:pPr>
          </w:p>
        </w:tc>
      </w:tr>
      <w:tr>
        <w:trPr>
          <w:trHeight w:val="173"/>
        </w:trPr>
        <w:tc>
          <w:tcPr>
            <w:tcW w:w="820" w:type="dxa"/>
            <w:vAlign w:val="bottom"/>
            <w:vMerge w:val="continue"/>
          </w:tcPr>
          <w:p>
            <w:pPr>
              <w:spacing w:after="0"/>
              <w:rPr>
                <w:sz w:val="15"/>
                <w:szCs w:val="15"/>
                <w:color w:val="auto"/>
              </w:rPr>
            </w:pPr>
          </w:p>
        </w:tc>
        <w:tc>
          <w:tcPr>
            <w:tcW w:w="2020" w:type="dxa"/>
            <w:vAlign w:val="bottom"/>
            <w:gridSpan w:val="5"/>
          </w:tcPr>
          <w:p>
            <w:pPr>
              <w:ind w:left="220"/>
              <w:spacing w:after="0" w:line="173" w:lineRule="exact"/>
              <w:rPr>
                <w:sz w:val="20"/>
                <w:szCs w:val="20"/>
                <w:color w:val="auto"/>
              </w:rPr>
            </w:pPr>
            <w:r>
              <w:rPr>
                <w:rFonts w:ascii="Times New Roman" w:cs="Times New Roman" w:eastAsia="Times New Roman" w:hAnsi="Times New Roman"/>
                <w:sz w:val="20"/>
                <w:szCs w:val="20"/>
                <w:color w:val="auto"/>
                <w:w w:val="88"/>
              </w:rPr>
              <w:t>Description of Singapore</w:t>
            </w:r>
          </w:p>
        </w:tc>
        <w:tc>
          <w:tcPr>
            <w:tcW w:w="18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1.1E</w:t>
            </w:r>
          </w:p>
        </w:tc>
        <w:tc>
          <w:tcPr>
            <w:tcW w:w="386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Fiscal Periods*</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1.1F</w:t>
            </w:r>
          </w:p>
        </w:tc>
        <w:tc>
          <w:tcPr>
            <w:tcW w:w="386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Excluded Property*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386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w w:val="98"/>
              </w:rPr>
              <w:t>Consents, Authorizations, Filings and Notices</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4.15</w:t>
            </w:r>
          </w:p>
        </w:tc>
        <w:tc>
          <w:tcPr>
            <w:tcW w:w="386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Subsidiaries*</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4.19(a)</w:t>
            </w:r>
          </w:p>
        </w:tc>
        <w:tc>
          <w:tcPr>
            <w:tcW w:w="386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UCC Filing Jurisdictions*</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4.19(b)</w:t>
            </w:r>
          </w:p>
        </w:tc>
        <w:tc>
          <w:tcPr>
            <w:tcW w:w="386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Mortgage Filing Jurisdictions*</w:t>
            </w:r>
          </w:p>
        </w:tc>
        <w:tc>
          <w:tcPr>
            <w:tcW w:w="0" w:type="dxa"/>
            <w:vAlign w:val="bottom"/>
          </w:tcPr>
          <w:p>
            <w:pPr>
              <w:spacing w:after="0"/>
              <w:rPr>
                <w:sz w:val="1"/>
                <w:szCs w:val="1"/>
                <w:color w:val="auto"/>
              </w:rPr>
            </w:pPr>
          </w:p>
        </w:tc>
      </w:tr>
      <w:tr>
        <w:trPr>
          <w:trHeight w:val="212"/>
        </w:trPr>
        <w:tc>
          <w:tcPr>
            <w:tcW w:w="82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4.21</w:t>
            </w:r>
          </w:p>
        </w:tc>
        <w:tc>
          <w:tcPr>
            <w:tcW w:w="3860" w:type="dxa"/>
            <w:vAlign w:val="bottom"/>
            <w:gridSpan w:val="9"/>
          </w:tcPr>
          <w:p>
            <w:pPr>
              <w:ind w:left="220"/>
              <w:spacing w:after="0" w:line="212" w:lineRule="exact"/>
              <w:rPr>
                <w:sz w:val="20"/>
                <w:szCs w:val="20"/>
                <w:color w:val="auto"/>
              </w:rPr>
            </w:pPr>
            <w:r>
              <w:rPr>
                <w:rFonts w:ascii="Times New Roman" w:cs="Times New Roman" w:eastAsia="Times New Roman" w:hAnsi="Times New Roman"/>
                <w:sz w:val="20"/>
                <w:szCs w:val="20"/>
                <w:color w:val="auto"/>
              </w:rPr>
              <w:t>Real Property in Flood Area*</w:t>
            </w:r>
            <w:r>
              <w:rPr>
                <w:rFonts w:ascii="Times New Roman" w:cs="Times New Roman" w:eastAsia="Times New Roman" w:hAnsi="Times New Roman"/>
                <w:sz w:val="20"/>
                <w:szCs w:val="20"/>
                <w:color w:val="0000FF"/>
              </w:rPr>
              <w:t>*</w:t>
            </w:r>
          </w:p>
        </w:tc>
        <w:tc>
          <w:tcPr>
            <w:tcW w:w="0" w:type="dxa"/>
            <w:vAlign w:val="bottom"/>
          </w:tcPr>
          <w:p>
            <w:pPr>
              <w:spacing w:after="0"/>
              <w:rPr>
                <w:sz w:val="1"/>
                <w:szCs w:val="1"/>
                <w:color w:val="auto"/>
              </w:rPr>
            </w:pPr>
          </w:p>
        </w:tc>
      </w:tr>
      <w:tr>
        <w:trPr>
          <w:trHeight w:val="34"/>
        </w:trPr>
        <w:tc>
          <w:tcPr>
            <w:tcW w:w="820" w:type="dxa"/>
            <w:vAlign w:val="bottom"/>
            <w:vMerge w:val="restart"/>
          </w:tcPr>
          <w:p>
            <w:pPr>
              <w:spacing w:after="0" w:line="228" w:lineRule="exact"/>
              <w:rPr>
                <w:sz w:val="20"/>
                <w:szCs w:val="20"/>
                <w:color w:val="auto"/>
              </w:rPr>
            </w:pPr>
            <w:r>
              <w:rPr>
                <w:rFonts w:ascii="Times New Roman" w:cs="Times New Roman" w:eastAsia="Times New Roman" w:hAnsi="Times New Roman"/>
                <w:sz w:val="20"/>
                <w:szCs w:val="20"/>
                <w:color w:val="auto"/>
              </w:rPr>
              <w:t>7.3(d)</w:t>
            </w:r>
          </w:p>
        </w:tc>
        <w:tc>
          <w:tcPr>
            <w:tcW w:w="2560" w:type="dxa"/>
            <w:vAlign w:val="bottom"/>
            <w:gridSpan w:val="6"/>
            <w:vMerge w:val="restart"/>
          </w:tcPr>
          <w:p>
            <w:pPr>
              <w:ind w:left="220"/>
              <w:spacing w:after="0" w:line="228" w:lineRule="exact"/>
              <w:rPr>
                <w:sz w:val="20"/>
                <w:szCs w:val="20"/>
                <w:color w:val="auto"/>
              </w:rPr>
            </w:pPr>
            <w:r>
              <w:rPr>
                <w:rFonts w:ascii="Times New Roman" w:cs="Times New Roman" w:eastAsia="Times New Roman" w:hAnsi="Times New Roman"/>
                <w:sz w:val="20"/>
                <w:szCs w:val="20"/>
                <w:color w:val="auto"/>
              </w:rPr>
              <w:t>Existing Indebtedness</w:t>
            </w: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1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820" w:type="dxa"/>
            <w:vAlign w:val="bottom"/>
            <w:vMerge w:val="continue"/>
          </w:tcPr>
          <w:p>
            <w:pPr>
              <w:spacing w:after="0"/>
              <w:rPr>
                <w:sz w:val="15"/>
                <w:szCs w:val="15"/>
                <w:color w:val="auto"/>
              </w:rPr>
            </w:pPr>
          </w:p>
        </w:tc>
        <w:tc>
          <w:tcPr>
            <w:tcW w:w="256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7.4(f)</w:t>
            </w:r>
          </w:p>
        </w:tc>
        <w:tc>
          <w:tcPr>
            <w:tcW w:w="386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Existing Liens</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EXHIBITS:</w:t>
      </w:r>
    </w:p>
    <w:p>
      <w:pPr>
        <w:spacing w:after="0" w:line="243" w:lineRule="exact"/>
        <w:rPr>
          <w:sz w:val="20"/>
          <w:szCs w:val="20"/>
          <w:color w:val="auto"/>
        </w:rPr>
      </w:pPr>
    </w:p>
    <w:p>
      <w:pPr>
        <w:ind w:left="700" w:hanging="692"/>
        <w:spacing w:after="0"/>
        <w:tabs>
          <w:tab w:leader="none" w:pos="7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 w:lineRule="exact"/>
        <w:rPr>
          <w:sz w:val="20"/>
          <w:szCs w:val="20"/>
          <w:color w:val="auto"/>
        </w:rPr>
      </w:pPr>
    </w:p>
    <w:p>
      <w:pPr>
        <w:ind w:left="700" w:hanging="692"/>
        <w:spacing w:after="0"/>
        <w:tabs>
          <w:tab w:leader="none" w:pos="7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Compliance Certificate*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9"/>
          <w:szCs w:val="19"/>
          <w:color w:val="auto"/>
        </w:rPr>
        <w:t>Form of Closing Certificate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9"/>
          <w:szCs w:val="19"/>
          <w:color w:val="auto"/>
        </w:rPr>
        <w:t>Form of Mortgage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9"/>
          <w:szCs w:val="19"/>
          <w:color w:val="auto"/>
        </w:rPr>
        <w:t>Form of Assignment and Assumption*</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9"/>
          <w:szCs w:val="19"/>
          <w:color w:val="auto"/>
        </w:rPr>
        <w:t>Form of Borrowing Base Certificate*</w:t>
      </w:r>
    </w:p>
    <w:p>
      <w:pPr>
        <w:ind w:right="5539"/>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G-1 Form of Legal Opinion of Greenberg Traurig LLP G-2 Form of In-House Legal Opinion</w:t>
      </w:r>
    </w:p>
    <w:p>
      <w:pPr>
        <w:spacing w:after="0" w:line="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G-3</w:t>
      </w:r>
      <w:r>
        <w:rPr>
          <w:rFonts w:ascii="Times New Roman" w:cs="Times New Roman" w:eastAsia="Times New Roman" w:hAnsi="Times New Roman"/>
          <w:sz w:val="19"/>
          <w:szCs w:val="19"/>
          <w:color w:val="auto"/>
        </w:rPr>
        <w:t>Form of Land Trust Legal Opinion</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19"/>
          <w:szCs w:val="19"/>
          <w:color w:val="auto"/>
        </w:rPr>
        <w:t>Forms of U.S. Tax Certificate*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J-1</w:t>
      </w:r>
      <w:r>
        <w:rPr>
          <w:rFonts w:ascii="Times New Roman" w:cs="Times New Roman" w:eastAsia="Times New Roman" w:hAnsi="Times New Roman"/>
          <w:sz w:val="19"/>
          <w:szCs w:val="19"/>
          <w:color w:val="auto"/>
        </w:rPr>
        <w:t>Form of Increased Facility Activation Notice*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J-2</w:t>
      </w:r>
      <w:r>
        <w:rPr>
          <w:rFonts w:ascii="Times New Roman" w:cs="Times New Roman" w:eastAsia="Times New Roman" w:hAnsi="Times New Roman"/>
          <w:sz w:val="19"/>
          <w:szCs w:val="19"/>
          <w:color w:val="auto"/>
        </w:rPr>
        <w:t>Form of New Lender Supplement*</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w:t>
      </w:r>
      <w:r>
        <w:rPr>
          <w:rFonts w:ascii="Times New Roman" w:cs="Times New Roman" w:eastAsia="Times New Roman" w:hAnsi="Times New Roman"/>
          <w:sz w:val="19"/>
          <w:szCs w:val="19"/>
          <w:color w:val="auto"/>
        </w:rPr>
        <w:t>Power of Attorney</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w:t>
      </w:r>
      <w:r>
        <w:rPr>
          <w:rFonts w:ascii="Times New Roman" w:cs="Times New Roman" w:eastAsia="Times New Roman" w:hAnsi="Times New Roman"/>
          <w:sz w:val="19"/>
          <w:szCs w:val="19"/>
          <w:color w:val="auto"/>
        </w:rPr>
        <w:t>Form of Marriott Comfort Letter</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9"/>
          <w:szCs w:val="19"/>
          <w:color w:val="auto"/>
        </w:rPr>
        <w:t>Form of Ritz-Carlton Comfort Letter</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19"/>
          <w:szCs w:val="19"/>
          <w:color w:val="auto"/>
        </w:rPr>
        <w:t>Form of Notice of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1904365</wp:posOffset>
            </wp:positionV>
            <wp:extent cx="260731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40" w:hanging="132"/>
        <w:spacing w:after="0"/>
        <w:tabs>
          <w:tab w:leader="none" w:pos="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9"/>
          <w:szCs w:val="19"/>
          <w:color w:val="auto"/>
        </w:rPr>
        <w:t xml:space="preserve">As amended on the Second Amendment </w:t>
      </w:r>
      <w:r>
        <w:rPr>
          <w:rFonts w:ascii="Times New Roman" w:cs="Times New Roman" w:eastAsia="Times New Roman" w:hAnsi="Times New Roman"/>
          <w:sz w:val="19"/>
          <w:szCs w:val="19"/>
          <w:u w:val="single" w:color="auto"/>
          <w:color w:val="0000FF"/>
        </w:rPr>
        <w:t>and Restatement</w:t>
      </w:r>
      <w:r>
        <w:rPr>
          <w:rFonts w:ascii="Times New Roman" w:cs="Times New Roman" w:eastAsia="Times New Roman" w:hAnsi="Times New Roman"/>
          <w:sz w:val="19"/>
          <w:szCs w:val="19"/>
          <w:color w:val="auto"/>
        </w:rPr>
        <w:t xml:space="preserve"> Effective Date.</w:t>
      </w:r>
    </w:p>
    <w:p>
      <w:pPr>
        <w:spacing w:after="0" w:line="227" w:lineRule="exact"/>
        <w:rPr>
          <w:sz w:val="20"/>
          <w:szCs w:val="20"/>
          <w:color w:val="auto"/>
        </w:rPr>
      </w:pPr>
    </w:p>
    <w:p>
      <w:pPr>
        <w:ind w:left="220" w:hanging="212"/>
        <w:spacing w:after="0"/>
        <w:tabs>
          <w:tab w:leader="none" w:pos="220" w:val="left"/>
        </w:tabs>
        <w:numPr>
          <w:ilvl w:val="0"/>
          <w:numId w:val="44"/>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20"/>
          <w:szCs w:val="20"/>
          <w:u w:val="single" w:color="auto"/>
          <w:color w:val="0000FF"/>
        </w:rPr>
        <w:t>As amended on the First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8041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3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219"/>
          </w:cols>
          <w:pgMar w:left="240" w:top="265" w:right="1440" w:bottom="1440" w:gutter="0" w:footer="0" w:header="0"/>
        </w:sectPr>
      </w:pPr>
    </w:p>
    <w:bookmarkStart w:id="96" w:name="page97"/>
    <w:bookmarkEnd w:id="96"/>
    <w:p>
      <w:pPr>
        <w:ind w:right="80" w:firstLine="1027"/>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AMENDED AND RESTATED CREDIT AGREEMENT (as amended, restated, supplemented or otherwise modified from time to time,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September 10, 2014, among MARRIOTT VACATIONS WORLDWIDE CORPORATION, a Delaware corporation (“</w:t>
      </w:r>
      <w:r>
        <w:rPr>
          <w:rFonts w:ascii="Times New Roman" w:cs="Times New Roman" w:eastAsia="Times New Roman" w:hAnsi="Times New Roman"/>
          <w:sz w:val="20"/>
          <w:szCs w:val="20"/>
          <w:u w:val="single" w:color="auto"/>
          <w:color w:val="auto"/>
        </w:rPr>
        <w:t>MVWC</w:t>
      </w:r>
      <w:r>
        <w:rPr>
          <w:rFonts w:ascii="Times New Roman" w:cs="Times New Roman" w:eastAsia="Times New Roman" w:hAnsi="Times New Roman"/>
          <w:sz w:val="20"/>
          <w:szCs w:val="20"/>
          <w:color w:val="auto"/>
        </w:rPr>
        <w:t>”), MARRIOTT OWNERSHIP RESORTS,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several banks and other financial institutions or entities from time to time parties to this Agreement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Bank of America, N.A. and Deutsche Bank Securities Inc., as co-syndication agents (collectively, in such capacity, the “</w:t>
      </w:r>
      <w:r>
        <w:rPr>
          <w:rFonts w:ascii="Times New Roman" w:cs="Times New Roman" w:eastAsia="Times New Roman" w:hAnsi="Times New Roman"/>
          <w:sz w:val="20"/>
          <w:szCs w:val="20"/>
          <w:u w:val="single" w:color="auto"/>
          <w:color w:val="auto"/>
        </w:rPr>
        <w:t>Syndication Agents</w:t>
      </w:r>
      <w:r>
        <w:rPr>
          <w:rFonts w:ascii="Times New Roman" w:cs="Times New Roman" w:eastAsia="Times New Roman" w:hAnsi="Times New Roman"/>
          <w:sz w:val="20"/>
          <w:szCs w:val="20"/>
          <w:color w:val="auto"/>
        </w:rPr>
        <w:t>”), Bank of America, N.A. and Deutsche Bank Securities Inc., as co-documentation agents (collectively, in such capacity, the “</w:t>
      </w:r>
      <w:r>
        <w:rPr>
          <w:rFonts w:ascii="Times New Roman" w:cs="Times New Roman" w:eastAsia="Times New Roman" w:hAnsi="Times New Roman"/>
          <w:sz w:val="20"/>
          <w:szCs w:val="20"/>
          <w:u w:val="single" w:color="auto"/>
          <w:color w:val="auto"/>
        </w:rPr>
        <w:t>Documentation Agents</w:t>
      </w:r>
      <w:r>
        <w:rPr>
          <w:rFonts w:ascii="Times New Roman" w:cs="Times New Roman" w:eastAsia="Times New Roman" w:hAnsi="Times New Roman"/>
          <w:sz w:val="20"/>
          <w:szCs w:val="20"/>
          <w:color w:val="auto"/>
        </w:rPr>
        <w:t>”), and JPMORGAN CHASE BANK, N.A., as administrative agent.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W I T N E S S E T H:</w:t>
      </w:r>
    </w:p>
    <w:p>
      <w:pPr>
        <w:spacing w:after="0" w:line="212" w:lineRule="exact"/>
        <w:rPr>
          <w:sz w:val="20"/>
          <w:szCs w:val="20"/>
          <w:color w:val="auto"/>
        </w:rPr>
      </w:pPr>
    </w:p>
    <w:p>
      <w:pPr>
        <w:ind w:right="40" w:firstLine="1027"/>
        <w:spacing w:after="0" w:line="248"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MVWC, the Borrower, the several banks and other financial institutions or entities from time to time parties thereto,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Documentation Agents, the Syndication Agents and the Administrative Agent entered into that certain Credit Agreement, dated as of October 20, 2011 (as amended by the First Amendment, dated as of November 17, 2011, the Waiver and Second Amendment, dated as of November 18, 2011, the Third Amendment, dated as of May 21, 2012, and the Fourth Amendment, dated as of June 27, 2012, the “</w:t>
      </w:r>
      <w:r>
        <w:rPr>
          <w:rFonts w:ascii="Times New Roman" w:cs="Times New Roman" w:eastAsia="Times New Roman" w:hAnsi="Times New Roman"/>
          <w:sz w:val="20"/>
          <w:szCs w:val="20"/>
          <w:u w:val="single" w:color="auto"/>
          <w:color w:val="auto"/>
        </w:rPr>
        <w:t>Original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right="140" w:firstLine="1027"/>
        <w:spacing w:after="0" w:line="248"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MVWC, the Borrower, the Subsidiary Guarantors, the Administrative Agent and the several banks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institutions or entities from time to time parties thereto entered into the First Amendment and Restatement Agreement, to amend and restate the Original Credit Agreement (as amended by the First Amendment and Restatement Agreement, the First Amendment, dated as of June 12, 2013, and the Second Amendment, dated as of October 4, 2013,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xml:space="preserve">”) as of the First Amendment </w:t>
      </w:r>
      <w:r>
        <w:rPr>
          <w:rFonts w:ascii="Times New Roman" w:cs="Times New Roman" w:eastAsia="Times New Roman" w:hAnsi="Times New Roman"/>
          <w:sz w:val="20"/>
          <w:szCs w:val="20"/>
          <w:u w:val="single" w:color="auto"/>
          <w:color w:val="0000FF"/>
        </w:rPr>
        <w:t>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Restatement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Effective Date;</w:t>
      </w:r>
    </w:p>
    <w:p>
      <w:pPr>
        <w:spacing w:after="0" w:line="17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has requested that the Existing Credit Agreement be amended and restated to, among other things,</w:t>
      </w:r>
    </w:p>
    <w:p>
      <w:pPr>
        <w:spacing w:after="0" w:line="26" w:lineRule="exact"/>
        <w:rPr>
          <w:sz w:val="20"/>
          <w:szCs w:val="20"/>
          <w:color w:val="auto"/>
        </w:rPr>
      </w:pPr>
    </w:p>
    <w:p>
      <w:pPr>
        <w:ind w:firstLine="8"/>
        <w:spacing w:after="0" w:line="242" w:lineRule="auto"/>
        <w:tabs>
          <w:tab w:leader="none" w:pos="269"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establish Commitments hereunder to replace the Existing Commitments in the manner set forth herein and (b) make certain other changes as more fully set forth herein, which amendment and restatement shall become effective on the Second Amendment </w:t>
      </w:r>
      <w:r>
        <w:rPr>
          <w:rFonts w:ascii="Times New Roman" w:cs="Times New Roman" w:eastAsia="Times New Roman" w:hAnsi="Times New Roman"/>
          <w:sz w:val="20"/>
          <w:szCs w:val="20"/>
          <w:u w:val="single" w:color="auto"/>
          <w:color w:val="0000FF"/>
        </w:rPr>
        <w:t>and Restatement</w:t>
      </w:r>
      <w:r>
        <w:rPr>
          <w:rFonts w:ascii="Times New Roman" w:cs="Times New Roman" w:eastAsia="Times New Roman" w:hAnsi="Times New Roman"/>
          <w:sz w:val="20"/>
          <w:szCs w:val="20"/>
          <w:color w:val="auto"/>
        </w:rPr>
        <w:t xml:space="preserve"> Effective Date;</w:t>
      </w:r>
    </w:p>
    <w:p>
      <w:pPr>
        <w:spacing w:after="0" w:line="183" w:lineRule="exact"/>
        <w:rPr>
          <w:sz w:val="20"/>
          <w:szCs w:val="20"/>
          <w:color w:val="auto"/>
        </w:rPr>
      </w:pPr>
    </w:p>
    <w:p>
      <w:pPr>
        <w:ind w:right="600" w:firstLine="1027"/>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Required Lenders have, pursuant to the Second Amendment and Restatement Agreement, agreed that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shall amend and restate the Existing Credit Agreement on the Second Amendment </w:t>
      </w:r>
      <w:r>
        <w:rPr>
          <w:rFonts w:ascii="Times New Roman" w:cs="Times New Roman" w:eastAsia="Times New Roman" w:hAnsi="Times New Roman"/>
          <w:sz w:val="20"/>
          <w:szCs w:val="20"/>
          <w:u w:val="single" w:color="auto"/>
          <w:color w:val="0000FF"/>
        </w:rPr>
        <w:t>and Restatement</w:t>
      </w:r>
      <w:r>
        <w:rPr>
          <w:rFonts w:ascii="Times New Roman" w:cs="Times New Roman" w:eastAsia="Times New Roman" w:hAnsi="Times New Roman"/>
          <w:sz w:val="20"/>
          <w:szCs w:val="20"/>
          <w:color w:val="auto"/>
        </w:rPr>
        <w:t xml:space="preserve"> Effective Date;</w:t>
      </w:r>
    </w:p>
    <w:p>
      <w:pPr>
        <w:spacing w:after="0" w:line="15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each Lender has executed the Second Amendment and Restatement Agreement;</w:t>
      </w:r>
    </w:p>
    <w:p>
      <w:pPr>
        <w:spacing w:after="0" w:line="216" w:lineRule="exact"/>
        <w:rPr>
          <w:sz w:val="20"/>
          <w:szCs w:val="20"/>
          <w:color w:val="auto"/>
        </w:rPr>
      </w:pPr>
    </w:p>
    <w:p>
      <w:pPr>
        <w:ind w:firstLine="1027"/>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it is the intent of the parties hereto that this Agreement not constitute a novation of the obligations and liabilities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parties under the Existing Credit Agreement and that this Agreement amend and restate in its entirety the Existing Credit Agreement and re-evidence the “Obligations” (under, and as defined in, the Existing Credit Agreement) outstanding on the Second Amendment </w:t>
      </w:r>
      <w:r>
        <w:rPr>
          <w:rFonts w:ascii="Times New Roman" w:cs="Times New Roman" w:eastAsia="Times New Roman" w:hAnsi="Times New Roman"/>
          <w:sz w:val="20"/>
          <w:szCs w:val="20"/>
          <w:u w:val="single" w:color="auto"/>
          <w:color w:val="0000FF"/>
        </w:rPr>
        <w:t>and Restatement</w:t>
      </w:r>
      <w:r>
        <w:rPr>
          <w:rFonts w:ascii="Times New Roman" w:cs="Times New Roman" w:eastAsia="Times New Roman" w:hAnsi="Times New Roman"/>
          <w:sz w:val="20"/>
          <w:szCs w:val="20"/>
          <w:color w:val="auto"/>
        </w:rPr>
        <w:t xml:space="preserve"> Effective Date as contemplated hereby; and</w:t>
      </w:r>
    </w:p>
    <w:p>
      <w:pPr>
        <w:spacing w:after="0" w:line="176" w:lineRule="exact"/>
        <w:rPr>
          <w:sz w:val="20"/>
          <w:szCs w:val="20"/>
          <w:color w:val="auto"/>
        </w:rPr>
      </w:pPr>
    </w:p>
    <w:p>
      <w:pPr>
        <w:ind w:right="60" w:firstLine="1027"/>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all Obligations are and shall continue to be secured by all collateral on which a Lien is granted to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 pursuant to any Loan Document.</w:t>
      </w:r>
    </w:p>
    <w:p>
      <w:pPr>
        <w:spacing w:after="0" w:line="152" w:lineRule="exact"/>
        <w:rPr>
          <w:sz w:val="20"/>
          <w:szCs w:val="20"/>
          <w:color w:val="auto"/>
        </w:rPr>
      </w:pPr>
    </w:p>
    <w:p>
      <w:pPr>
        <w:ind w:right="100" w:firstLine="1027"/>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in consideration of the premises and the mutual covenants herein contained, the parties hereto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 to amend and restate the Existing Credit Agreement, and the Existing Credit Agreement is hereby amended and restated in its entirety as follows:</w:t>
      </w:r>
    </w:p>
    <w:p>
      <w:pPr>
        <w:sectPr>
          <w:pgSz w:w="11900" w:h="16838" w:orient="portrait"/>
          <w:cols w:equalWidth="0" w:num="1">
            <w:col w:w="11400"/>
          </w:cols>
          <w:pgMar w:left="240" w:top="265" w:right="25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SECTION 1. DEFINITIONS</w:t>
      </w:r>
    </w:p>
    <w:p>
      <w:pPr>
        <w:spacing w:after="0" w:line="216" w:lineRule="exact"/>
        <w:rPr>
          <w:sz w:val="20"/>
          <w:szCs w:val="20"/>
          <w:color w:val="auto"/>
        </w:rPr>
      </w:pPr>
    </w:p>
    <w:p>
      <w:pPr>
        <w:ind w:right="20" w:firstLine="1027"/>
        <w:spacing w:after="0" w:line="269"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Agreement, the terms listed in this Section 1.1 shall have the respective meanings set forth in this Section 1.1.</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40 Act</w:t>
      </w:r>
      <w:r>
        <w:rPr>
          <w:rFonts w:ascii="Times New Roman" w:cs="Times New Roman" w:eastAsia="Times New Roman" w:hAnsi="Times New Roman"/>
          <w:sz w:val="20"/>
          <w:szCs w:val="20"/>
          <w:color w:val="auto"/>
        </w:rPr>
        <w:t>”: the Investment Company Act of 1940, as amended.</w:t>
      </w:r>
    </w:p>
    <w:p>
      <w:pPr>
        <w:spacing w:after="0" w:line="216" w:lineRule="exact"/>
        <w:rPr>
          <w:sz w:val="20"/>
          <w:szCs w:val="20"/>
          <w:color w:val="auto"/>
        </w:rPr>
      </w:pPr>
    </w:p>
    <w:p>
      <w:pPr>
        <w:ind w:right="20" w:firstLine="1027"/>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ABR</w:t>
      </w:r>
      <w:r>
        <w:rPr>
          <w:rFonts w:ascii="Times New Roman" w:cs="Times New Roman" w:eastAsia="Times New Roman" w:hAnsi="Times New Roman"/>
          <w:sz w:val="19"/>
          <w:szCs w:val="19"/>
          <w:color w:val="auto"/>
        </w:rPr>
        <w:t xml:space="preserve">”: for any day, a rate per annum (rounded upwards, if necessary, to the next 1/16 of 1%) equal to the greatest of (a) the Prime Rate in effect on such day, (b) the Federal Funds Effective Rate in effect on such day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5"/>
          <w:szCs w:val="15"/>
          <w:color w:val="auto"/>
        </w:rPr>
        <w:t>1</w:t>
      </w:r>
      <w:r>
        <w:rPr>
          <w:rFonts w:ascii="Times New Roman" w:cs="Times New Roman" w:eastAsia="Times New Roman" w:hAnsi="Times New Roman"/>
          <w:sz w:val="19"/>
          <w:szCs w:val="19"/>
          <w:color w:val="auto"/>
        </w:rPr>
        <w:t>⁄</w:t>
      </w:r>
      <w:r>
        <w:rPr>
          <w:rFonts w:ascii="Times New Roman" w:cs="Times New Roman" w:eastAsia="Times New Roman" w:hAnsi="Times New Roman"/>
          <w:sz w:val="15"/>
          <w:szCs w:val="15"/>
          <w:color w:val="auto"/>
        </w:rPr>
        <w:t>2</w:t>
      </w:r>
      <w:r>
        <w:rPr>
          <w:rFonts w:ascii="Times New Roman" w:cs="Times New Roman" w:eastAsia="Times New Roman" w:hAnsi="Times New Roman"/>
          <w:sz w:val="19"/>
          <w:szCs w:val="19"/>
          <w:color w:val="auto"/>
        </w:rPr>
        <w:t xml:space="preserve"> of 1% and (c) the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Eurocurrency</w:t>
      </w:r>
      <w:r>
        <w:rPr>
          <w:rFonts w:ascii="Times New Roman" w:cs="Times New Roman" w:eastAsia="Times New Roman" w:hAnsi="Times New Roman"/>
          <w:sz w:val="19"/>
          <w:szCs w:val="19"/>
          <w:color w:val="auto"/>
        </w:rPr>
        <w:t xml:space="preserve"> Rate that would be calculated as of such day (or, if such day is not a Business Day, as of the next preceding Business Day) in respect of a proposed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Eurocurrency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Loan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denominated in Dollars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with a one-month Interest Period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00"/>
        </w:rPr>
        <w:t>plus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1%. Any change in the ABR due to a change in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the Prime Rate, the Federal Funds Effective Rate or such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Eurocurrency</w:t>
      </w:r>
      <w:r>
        <w:rPr>
          <w:rFonts w:ascii="Times New Roman" w:cs="Times New Roman" w:eastAsia="Times New Roman" w:hAnsi="Times New Roman"/>
          <w:sz w:val="19"/>
          <w:szCs w:val="19"/>
          <w:color w:val="000000"/>
        </w:rPr>
        <w:t xml:space="preserve"> Rate shall be effective as of the opening of business on the day of such change in the Prime Rate, the Federal Funds Effective Rate or such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Eurocurrency</w:t>
      </w:r>
      <w:r>
        <w:rPr>
          <w:rFonts w:ascii="Times New Roman" w:cs="Times New Roman" w:eastAsia="Times New Roman" w:hAnsi="Times New Roman"/>
          <w:sz w:val="19"/>
          <w:szCs w:val="19"/>
          <w:color w:val="000000"/>
        </w:rPr>
        <w:t xml:space="preserve"> Rate, respectively.</w:t>
      </w:r>
    </w:p>
    <w:p>
      <w:pPr>
        <w:spacing w:after="0" w:line="17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 Loans</w:t>
      </w:r>
      <w:r>
        <w:rPr>
          <w:rFonts w:ascii="Times New Roman" w:cs="Times New Roman" w:eastAsia="Times New Roman" w:hAnsi="Times New Roman"/>
          <w:sz w:val="20"/>
          <w:szCs w:val="20"/>
          <w:color w:val="auto"/>
        </w:rPr>
        <w:t>”: Loans the rate of interest applicable to which is based upon the ABR.</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FF0000"/>
          <w:strike w:val="1"/>
        </w:rPr>
        <w:t>“Adjustment Date”: as defined in Section 2.6(c).</w:t>
      </w:r>
    </w:p>
    <w:p>
      <w:pPr>
        <w:spacing w:after="0" w:line="216" w:lineRule="exact"/>
        <w:rPr>
          <w:sz w:val="20"/>
          <w:szCs w:val="20"/>
          <w:color w:val="auto"/>
        </w:rPr>
      </w:pPr>
    </w:p>
    <w:p>
      <w:pPr>
        <w:ind w:right="18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JPMorgan Chase Bank, N.A., together with its affiliates, as the arranger of the Commitments and as the administrative agent for the Lenders under this Agreement and the other Loan Documents, together with any of its successors.</w:t>
      </w:r>
    </w:p>
    <w:p>
      <w:pPr>
        <w:spacing w:after="0" w:line="160" w:lineRule="exact"/>
        <w:rPr>
          <w:sz w:val="20"/>
          <w:szCs w:val="20"/>
          <w:color w:val="auto"/>
        </w:rPr>
      </w:pPr>
    </w:p>
    <w:p>
      <w:pPr>
        <w:ind w:right="120" w:firstLine="102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as to any Person, any other Person that, directly or indirectly, is in control of, is controlled by, or is under common control with, such Person. For purposes of this definition, “control” of a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8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Agents</w:t>
      </w:r>
      <w:r>
        <w:rPr>
          <w:rFonts w:ascii="Times New Roman" w:cs="Times New Roman" w:eastAsia="Times New Roman" w:hAnsi="Times New Roman"/>
          <w:sz w:val="20"/>
          <w:szCs w:val="20"/>
          <w:color w:val="auto"/>
        </w:rPr>
        <w:t>”: the collective reference to the Syndication Agents, the Documentation Agents and the Administrative Agent.</w:t>
      </w:r>
    </w:p>
    <w:p>
      <w:pPr>
        <w:spacing w:after="0" w:line="216" w:lineRule="exact"/>
        <w:rPr>
          <w:sz w:val="20"/>
          <w:szCs w:val="20"/>
          <w:color w:val="auto"/>
        </w:rPr>
      </w:pPr>
    </w:p>
    <w:p>
      <w:pPr>
        <w:ind w:right="40" w:firstLine="102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Exposure</w:t>
      </w:r>
      <w:r>
        <w:rPr>
          <w:rFonts w:ascii="Times New Roman" w:cs="Times New Roman" w:eastAsia="Times New Roman" w:hAnsi="Times New Roman"/>
          <w:sz w:val="20"/>
          <w:szCs w:val="20"/>
          <w:color w:val="auto"/>
        </w:rPr>
        <w:t>”: with respect to any Lender at any time, an amount equal to the amount of such Lender’s Commitment then in effect or, if the Commitments have been terminated, the amount of such Lender’s Extensions of Credit then outstanding</w:t>
      </w:r>
      <w:r>
        <w:rPr>
          <w:rFonts w:ascii="Times New Roman" w:cs="Times New Roman" w:eastAsia="Times New Roman" w:hAnsi="Times New Roman"/>
          <w:sz w:val="20"/>
          <w:szCs w:val="20"/>
          <w:u w:val="single" w:color="auto"/>
          <w:color w:val="0000FF"/>
        </w:rPr>
        <w:t>, plus the amount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any participating interest purchased by such Lender pursuant to Section 2.21, minus the amount of any participating interest sold by such Lender pursuant to Section 2.21</w:t>
      </w:r>
      <w:r>
        <w:rPr>
          <w:rFonts w:ascii="Times New Roman" w:cs="Times New Roman" w:eastAsia="Times New Roman" w:hAnsi="Times New Roman"/>
          <w:sz w:val="20"/>
          <w:szCs w:val="20"/>
          <w:color w:val="000000"/>
        </w:rPr>
        <w:t>.</w:t>
      </w:r>
    </w:p>
    <w:p>
      <w:pPr>
        <w:spacing w:after="0" w:line="180" w:lineRule="exact"/>
        <w:rPr>
          <w:sz w:val="20"/>
          <w:szCs w:val="20"/>
          <w:color w:val="auto"/>
        </w:rPr>
      </w:pPr>
    </w:p>
    <w:p>
      <w:pPr>
        <w:ind w:right="18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Exposure Percentage</w:t>
      </w:r>
      <w:r>
        <w:rPr>
          <w:rFonts w:ascii="Times New Roman" w:cs="Times New Roman" w:eastAsia="Times New Roman" w:hAnsi="Times New Roman"/>
          <w:sz w:val="20"/>
          <w:szCs w:val="20"/>
          <w:color w:val="auto"/>
        </w:rPr>
        <w:t>”: with respect to any Lender at any time, the ratio (expressed as a percentage) of such Lender’s Aggregate Exposure at such time to the Aggregate Exposure of all Lenders at such time.</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 Indemnitee</w:t>
      </w:r>
      <w:r>
        <w:rPr>
          <w:rFonts w:ascii="Times New Roman" w:cs="Times New Roman" w:eastAsia="Times New Roman" w:hAnsi="Times New Roman"/>
          <w:sz w:val="20"/>
          <w:szCs w:val="20"/>
          <w:color w:val="auto"/>
        </w:rPr>
        <w:t>”: as defined in Section 9.7.</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as defined in the preamble hereto.</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ALTA</w:t>
      </w:r>
      <w:r>
        <w:rPr>
          <w:rFonts w:ascii="Times New Roman" w:cs="Times New Roman" w:eastAsia="Times New Roman" w:hAnsi="Times New Roman"/>
          <w:sz w:val="20"/>
          <w:szCs w:val="20"/>
          <w:color w:val="auto"/>
        </w:rPr>
        <w:t>”: the American Land Title Association.</w:t>
      </w:r>
    </w:p>
    <w:p>
      <w:pPr>
        <w:sectPr>
          <w:pgSz w:w="11900" w:h="16838" w:orient="portrait"/>
          <w:cols w:equalWidth="0" w:num="1">
            <w:col w:w="11420"/>
          </w:cols>
          <w:pgMar w:left="240" w:top="409" w:right="2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w:t>
      </w:r>
    </w:p>
    <w:p>
      <w:pPr>
        <w:spacing w:after="0" w:line="238" w:lineRule="exact"/>
        <w:rPr>
          <w:sz w:val="20"/>
          <w:szCs w:val="20"/>
          <w:color w:val="auto"/>
        </w:rPr>
      </w:pPr>
    </w:p>
    <w:p>
      <w:pPr>
        <w:ind w:right="20" w:firstLine="1027"/>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Anti-Corruption Laws</w:t>
      </w:r>
      <w:r>
        <w:rPr>
          <w:rFonts w:ascii="Times New Roman" w:cs="Times New Roman" w:eastAsia="Times New Roman" w:hAnsi="Times New Roman"/>
          <w:sz w:val="19"/>
          <w:szCs w:val="19"/>
          <w:color w:val="auto"/>
        </w:rPr>
        <w:t>”: all laws, rules and regulations of the U.S. government, the United Nations Security Council, the European Union or Her Majesty’s Treasury of the United Kingdom applicable from time to time concerning or relating to bribery or corruption.</w:t>
      </w:r>
    </w:p>
    <w:p>
      <w:pPr>
        <w:spacing w:after="0" w:line="136" w:lineRule="exact"/>
        <w:rPr>
          <w:sz w:val="20"/>
          <w:szCs w:val="20"/>
          <w:color w:val="auto"/>
        </w:rPr>
      </w:pPr>
    </w:p>
    <w:p>
      <w:pPr>
        <w:ind w:firstLine="1027"/>
        <w:spacing w:after="0" w:line="274" w:lineRule="auto"/>
        <w:rPr>
          <w:sz w:val="20"/>
          <w:szCs w:val="20"/>
          <w:color w:val="auto"/>
        </w:rPr>
      </w:pPr>
      <w:r>
        <w:rPr>
          <w:rFonts w:ascii="Times New Roman" w:cs="Times New Roman" w:eastAsia="Times New Roman" w:hAnsi="Times New Roman"/>
          <w:sz w:val="19"/>
          <w:szCs w:val="19"/>
          <w:u w:val="single" w:color="auto"/>
          <w:color w:val="0000FF"/>
        </w:rPr>
        <w:t>“Applicable Foreign Currency Funding Office”: with respect to any Foreign Currency, the office, branch, affiliate or correspondent bank of the Administrative Agent as may be specified from time to time by the Administrative Agent as its funding office with respect to Foreign Currency Loans denominated in such Foreign Currency by written notice to the Borrower and the Foreign Currency Lenders.</w:t>
      </w:r>
    </w:p>
    <w:p>
      <w:pPr>
        <w:spacing w:after="0" w:line="157" w:lineRule="exact"/>
        <w:rPr>
          <w:sz w:val="20"/>
          <w:szCs w:val="20"/>
          <w:color w:val="auto"/>
        </w:rPr>
      </w:pPr>
    </w:p>
    <w:p>
      <w:pPr>
        <w:ind w:right="38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Margin</w:t>
      </w:r>
      <w:r>
        <w:rPr>
          <w:rFonts w:ascii="Times New Roman" w:cs="Times New Roman" w:eastAsia="Times New Roman" w:hAnsi="Times New Roman"/>
          <w:sz w:val="20"/>
          <w:szCs w:val="20"/>
          <w:color w:val="auto"/>
        </w:rPr>
        <w:t>”: for each Type of Loan at any date, the rate per annum for such Type of Loan set forth under the relevant column heading in the Pricing Grid based upon the Borrower’s Level at such date.</w:t>
      </w:r>
    </w:p>
    <w:p>
      <w:pPr>
        <w:spacing w:after="0" w:line="160" w:lineRule="exact"/>
        <w:rPr>
          <w:sz w:val="20"/>
          <w:szCs w:val="20"/>
          <w:color w:val="auto"/>
        </w:rPr>
      </w:pPr>
    </w:p>
    <w:p>
      <w:pPr>
        <w:ind w:right="24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an application, in such form as the relevant Issuing Lender may specify from time to time, requesting the Issuing Lender to open a Letter of Credit.</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as defined in Section 10.6(b).</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as defined in Section 10.6(b).</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an Assignment and Assumption, substantially in the form of Exhibit E.</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u w:val="single" w:color="auto"/>
          <w:color w:val="0000FF"/>
        </w:rPr>
        <w:t>“Australian Dollars” or “AUD”: the lawful currency of Australia.</w:t>
      </w:r>
    </w:p>
    <w:p>
      <w:pPr>
        <w:spacing w:after="0" w:line="216" w:lineRule="exact"/>
        <w:rPr>
          <w:sz w:val="20"/>
          <w:szCs w:val="20"/>
          <w:color w:val="auto"/>
        </w:rPr>
      </w:pPr>
    </w:p>
    <w:p>
      <w:pPr>
        <w:ind w:right="22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Commitment</w:t>
      </w:r>
      <w:r>
        <w:rPr>
          <w:rFonts w:ascii="Times New Roman" w:cs="Times New Roman" w:eastAsia="Times New Roman" w:hAnsi="Times New Roman"/>
          <w:sz w:val="20"/>
          <w:szCs w:val="20"/>
          <w:color w:val="auto"/>
        </w:rPr>
        <w:t xml:space="preserve">”: as to any Lender at any time, an amount equal to the excess, if any, of (a) such Lender’s Commitment then in effect </w:t>
      </w:r>
      <w:r>
        <w:rPr>
          <w:rFonts w:ascii="Times New Roman" w:cs="Times New Roman" w:eastAsia="Times New Roman" w:hAnsi="Times New Roman"/>
          <w:sz w:val="20"/>
          <w:szCs w:val="20"/>
          <w:u w:val="single" w:color="auto"/>
          <w:color w:val="auto"/>
        </w:rPr>
        <w:t>over</w:t>
      </w:r>
      <w:r>
        <w:rPr>
          <w:rFonts w:ascii="Times New Roman" w:cs="Times New Roman" w:eastAsia="Times New Roman" w:hAnsi="Times New Roman"/>
          <w:sz w:val="20"/>
          <w:szCs w:val="20"/>
          <w:color w:val="auto"/>
        </w:rPr>
        <w:t xml:space="preserve"> (b) such Lender’s Extensions of Credit then outstanding.</w:t>
      </w:r>
    </w:p>
    <w:p>
      <w:pPr>
        <w:spacing w:after="0" w:line="160" w:lineRule="exact"/>
        <w:rPr>
          <w:sz w:val="20"/>
          <w:szCs w:val="20"/>
          <w:color w:val="auto"/>
        </w:rPr>
      </w:pPr>
    </w:p>
    <w:p>
      <w:pPr>
        <w:ind w:right="100" w:firstLine="1027"/>
        <w:spacing w:after="0" w:line="266" w:lineRule="auto"/>
        <w:rPr>
          <w:sz w:val="20"/>
          <w:szCs w:val="20"/>
          <w:color w:val="auto"/>
        </w:rPr>
      </w:pPr>
      <w:r>
        <w:rPr>
          <w:rFonts w:ascii="Times New Roman" w:cs="Times New Roman" w:eastAsia="Times New Roman" w:hAnsi="Times New Roman"/>
          <w:sz w:val="19"/>
          <w:szCs w:val="19"/>
          <w:u w:val="single" w:color="auto"/>
          <w:color w:val="0000FF"/>
        </w:rPr>
        <w:t>“Available Foreign Currency Commitment”: as to any Foreign Currency Lender at any time (after giving effect to the making and application of the proceeds of any Loans required to be made on such date pursuant to Section 2.20), an amount equal to the lesser of (a) the excess, if any, of (i) such Foreign Currency Lender’s Foreign Currency Commitment then in effect over (ii) such Foreign Currency Lender’s Foreign Currency Extensions of Credit then outstanding and (b) such Foreign Currency Lender’s Available Commitment at such time.</w:t>
      </w:r>
    </w:p>
    <w:p>
      <w:pPr>
        <w:spacing w:after="0" w:line="166" w:lineRule="exact"/>
        <w:rPr>
          <w:sz w:val="20"/>
          <w:szCs w:val="20"/>
          <w:color w:val="auto"/>
        </w:rPr>
      </w:pPr>
    </w:p>
    <w:p>
      <w:pPr>
        <w:ind w:firstLine="102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Event</w:t>
      </w:r>
      <w:r>
        <w:rPr>
          <w:rFonts w:ascii="Times New Roman" w:cs="Times New Roman" w:eastAsia="Times New Roman" w:hAnsi="Times New Roman"/>
          <w:sz w:val="20"/>
          <w:szCs w:val="20"/>
          <w:color w:val="auto"/>
        </w:rPr>
        <w:t xml:space="preserve">”: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ectPr>
          <w:pgSz w:w="11900" w:h="16838" w:orient="portrait"/>
          <w:cols w:equalWidth="0" w:num="1">
            <w:col w:w="11420"/>
          </w:cols>
          <w:pgMar w:left="240" w:top="409" w:right="239" w:bottom="1440" w:gutter="0" w:footer="0" w:header="0"/>
        </w:sectPr>
      </w:pPr>
    </w:p>
    <w:bookmarkStart w:id="99" w:name="page100"/>
    <w:bookmarkEnd w:id="99"/>
    <w:p>
      <w:pPr>
        <w:ind w:left="1132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w:t>
      </w:r>
    </w:p>
    <w:p>
      <w:pPr>
        <w:spacing w:after="0" w:line="272" w:lineRule="exact"/>
        <w:rPr>
          <w:sz w:val="20"/>
          <w:szCs w:val="20"/>
          <w:color w:val="auto"/>
        </w:rPr>
      </w:pPr>
    </w:p>
    <w:p>
      <w:pPr>
        <w:ind w:right="10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Consolidated Tangible Net Worth Amount</w:t>
      </w:r>
      <w:r>
        <w:rPr>
          <w:rFonts w:ascii="Times New Roman" w:cs="Times New Roman" w:eastAsia="Times New Roman" w:hAnsi="Times New Roman"/>
          <w:sz w:val="20"/>
          <w:szCs w:val="20"/>
          <w:color w:val="auto"/>
        </w:rPr>
        <w:t>”: 75% of Consolidated Tangible Net Worth as reflected in the unaudited balance sheet of MVWC included in the unaudited financial statements of MVWC for Fiscal Quarter ended June 20, 2014.</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u w:val="single" w:color="auto"/>
          <w:color w:val="0000FF"/>
        </w:rPr>
        <w:t>“BBSY Screen Rate”: as defined in the definition of “Eurocurrency Base Rate”.</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Benefitted Lender</w:t>
      </w:r>
      <w:r>
        <w:rPr>
          <w:rFonts w:ascii="Times New Roman" w:cs="Times New Roman" w:eastAsia="Times New Roman" w:hAnsi="Times New Roman"/>
          <w:sz w:val="20"/>
          <w:szCs w:val="20"/>
          <w:color w:val="auto"/>
        </w:rPr>
        <w:t>”: as defined in Section 10.7(a).</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the Board of Governors of the Federal Reserve System of the United States (or any successor).</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as defined in the preamble hereto.</w:t>
      </w:r>
    </w:p>
    <w:p>
      <w:pPr>
        <w:spacing w:after="0" w:line="216" w:lineRule="exact"/>
        <w:rPr>
          <w:sz w:val="20"/>
          <w:szCs w:val="20"/>
          <w:color w:val="auto"/>
        </w:rPr>
      </w:pPr>
    </w:p>
    <w:p>
      <w:pPr>
        <w:ind w:right="440" w:firstLine="102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Base</w:t>
      </w:r>
      <w:r>
        <w:rPr>
          <w:rFonts w:ascii="Times New Roman" w:cs="Times New Roman" w:eastAsia="Times New Roman" w:hAnsi="Times New Roman"/>
          <w:sz w:val="20"/>
          <w:szCs w:val="20"/>
          <w:color w:val="auto"/>
        </w:rPr>
        <w:t xml:space="preserve">”: as of any date of determination, the Aggregate Borrowing Base Amount (as defined in Schedule 1.1B) calculated in accordance with Schedule 1.1B, as the same may be amended from time to time. The Borrowing Base at any time shall be determined by reference to the most recent Borrowing Base Certificate delivered to the Administrative Agent pursuant to Section 5.2(c) or 6.3(b), as applicable, adjusted on a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basis as specified herein.</w:t>
      </w:r>
    </w:p>
    <w:p>
      <w:pPr>
        <w:spacing w:after="0" w:line="18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Base Certificate</w:t>
      </w:r>
      <w:r>
        <w:rPr>
          <w:rFonts w:ascii="Times New Roman" w:cs="Times New Roman" w:eastAsia="Times New Roman" w:hAnsi="Times New Roman"/>
          <w:sz w:val="20"/>
          <w:szCs w:val="20"/>
          <w:color w:val="auto"/>
        </w:rPr>
        <w:t>”: a certificate substantially in the form of Exhibit F.</w:t>
      </w:r>
    </w:p>
    <w:p>
      <w:pPr>
        <w:spacing w:after="0" w:line="216" w:lineRule="exact"/>
        <w:rPr>
          <w:sz w:val="20"/>
          <w:szCs w:val="20"/>
          <w:color w:val="auto"/>
        </w:rPr>
      </w:pPr>
    </w:p>
    <w:p>
      <w:pPr>
        <w:ind w:right="80" w:firstLine="1027"/>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 Base Coverage Ratio</w:t>
      </w:r>
      <w:r>
        <w:rPr>
          <w:rFonts w:ascii="Times New Roman" w:cs="Times New Roman" w:eastAsia="Times New Roman" w:hAnsi="Times New Roman"/>
          <w:sz w:val="19"/>
          <w:szCs w:val="19"/>
          <w:color w:val="auto"/>
        </w:rPr>
        <w:t xml:space="preserve">”: as of any date of determination, the ratio of (a) the Borrowing Base as of such date to (b) the sum of (i) Total Extensions of Credit as of such date and (ii) Net Mark-to-Market Specified Swap Exposure of the Loan Parties as of such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avoidance of doubt, the amount specified in clause (ii) hereof shall in no circumstances be an amount less than zero.</w:t>
      </w:r>
    </w:p>
    <w:p>
      <w:pPr>
        <w:spacing w:after="0" w:line="157" w:lineRule="exact"/>
        <w:rPr>
          <w:sz w:val="20"/>
          <w:szCs w:val="20"/>
          <w:color w:val="auto"/>
        </w:rPr>
      </w:pPr>
    </w:p>
    <w:p>
      <w:pPr>
        <w:ind w:right="12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Date</w:t>
      </w:r>
      <w:r>
        <w:rPr>
          <w:rFonts w:ascii="Times New Roman" w:cs="Times New Roman" w:eastAsia="Times New Roman" w:hAnsi="Times New Roman"/>
          <w:sz w:val="20"/>
          <w:szCs w:val="20"/>
          <w:color w:val="auto"/>
        </w:rPr>
        <w:t>”: any Business Day specified by the Borrower as a date on which the Borrower requests the relevant Lenders to make Loans hereunder.</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w:t>
      </w:r>
      <w:r>
        <w:rPr>
          <w:rFonts w:ascii="Times New Roman" w:cs="Times New Roman" w:eastAsia="Times New Roman" w:hAnsi="Times New Roman"/>
          <w:sz w:val="20"/>
          <w:szCs w:val="20"/>
          <w:color w:val="auto"/>
        </w:rPr>
        <w:t>”: as defined in Section 4.17(b).</w:t>
      </w:r>
    </w:p>
    <w:p>
      <w:pPr>
        <w:spacing w:after="0" w:line="216" w:lineRule="exact"/>
        <w:rPr>
          <w:sz w:val="20"/>
          <w:szCs w:val="20"/>
          <w:color w:val="auto"/>
        </w:rPr>
      </w:pPr>
    </w:p>
    <w:p>
      <w:pPr>
        <w:ind w:right="60" w:firstLine="1027"/>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xml:space="preserve">”: a day other than a Saturday, Sunday or other day on which commercial banks in New York City are authorized or required by law to close,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t>
      </w:r>
      <w:r>
        <w:rPr>
          <w:rFonts w:ascii="Times New Roman" w:cs="Times New Roman" w:eastAsia="Times New Roman" w:hAnsi="Times New Roman"/>
          <w:sz w:val="19"/>
          <w:szCs w:val="19"/>
          <w:u w:val="single" w:color="auto"/>
          <w:color w:val="0000FF"/>
        </w:rPr>
        <w:t>(i)</w:t>
      </w:r>
      <w:r>
        <w:rPr>
          <w:rFonts w:ascii="Times New Roman" w:cs="Times New Roman" w:eastAsia="Times New Roman" w:hAnsi="Times New Roman"/>
          <w:sz w:val="19"/>
          <w:szCs w:val="19"/>
          <w:color w:val="auto"/>
        </w:rPr>
        <w:t xml:space="preserve"> with respect to notices and determinations in connection with, and payments of principal and interest on, </w:t>
      </w:r>
      <w:r>
        <w:rPr>
          <w:rFonts w:ascii="Times New Roman" w:cs="Times New Roman" w:eastAsia="Times New Roman" w:hAnsi="Times New Roman"/>
          <w:sz w:val="19"/>
          <w:szCs w:val="19"/>
          <w:color w:val="FF0000"/>
          <w:strike w:val="1"/>
        </w:rPr>
        <w:t>Eurodollar Loans, such day is also</w:t>
      </w:r>
      <w:r>
        <w:rPr>
          <w:rFonts w:ascii="Times New Roman" w:cs="Times New Roman" w:eastAsia="Times New Roman" w:hAnsi="Times New Roman"/>
          <w:sz w:val="19"/>
          <w:szCs w:val="19"/>
          <w:u w:val="single" w:color="auto"/>
          <w:color w:val="0000FF"/>
        </w:rPr>
        <w:t>Eurocurrency Loans denominated in Dollars, the term “Business Day” shall also exclude any day 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which banks are not open for dealings in Dollar deposits in the London interbank market and (ii) with respect to notices and determinations in connection with, and payments of principal and interest on, any Foreign Currency Loans, the term “Business Day” shall also exclude (w) any day on which commercial banks in London are authorized or required by law to close, (x) any day which is not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 day for trading by and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between banks in </w:t>
      </w:r>
      <w:r>
        <w:rPr>
          <w:rFonts w:ascii="Times New Roman" w:cs="Times New Roman" w:eastAsia="Times New Roman" w:hAnsi="Times New Roman"/>
          <w:sz w:val="19"/>
          <w:szCs w:val="19"/>
          <w:color w:val="FF0000"/>
          <w:strike w:val="1"/>
        </w:rPr>
        <w:t>Dollar</w:t>
      </w:r>
      <w:r>
        <w:rPr>
          <w:rFonts w:ascii="Times New Roman" w:cs="Times New Roman" w:eastAsia="Times New Roman" w:hAnsi="Times New Roman"/>
          <w:sz w:val="19"/>
          <w:szCs w:val="19"/>
          <w:color w:val="000000"/>
        </w:rPr>
        <w:t xml:space="preserve"> deposits </w:t>
      </w:r>
      <w:r>
        <w:rPr>
          <w:rFonts w:ascii="Times New Roman" w:cs="Times New Roman" w:eastAsia="Times New Roman" w:hAnsi="Times New Roman"/>
          <w:sz w:val="19"/>
          <w:szCs w:val="19"/>
          <w:u w:val="single" w:color="auto"/>
          <w:color w:val="0000FF"/>
        </w:rPr>
        <w:t>for the applicable currency</w:t>
      </w:r>
      <w:r>
        <w:rPr>
          <w:rFonts w:ascii="Times New Roman" w:cs="Times New Roman" w:eastAsia="Times New Roman" w:hAnsi="Times New Roman"/>
          <w:sz w:val="19"/>
          <w:szCs w:val="19"/>
          <w:color w:val="000000"/>
        </w:rPr>
        <w:t xml:space="preserve"> in the interbank </w:t>
      </w:r>
      <w:r>
        <w:rPr>
          <w:rFonts w:ascii="Times New Roman" w:cs="Times New Roman" w:eastAsia="Times New Roman" w:hAnsi="Times New Roman"/>
          <w:sz w:val="19"/>
          <w:szCs w:val="19"/>
          <w:color w:val="FF0000"/>
          <w:strike w:val="1"/>
        </w:rPr>
        <w:t>eurodollar market.</w:t>
      </w:r>
      <w:r>
        <w:rPr>
          <w:rFonts w:ascii="Times New Roman" w:cs="Times New Roman" w:eastAsia="Times New Roman" w:hAnsi="Times New Roman"/>
          <w:sz w:val="19"/>
          <w:szCs w:val="19"/>
          <w:u w:val="single" w:color="auto"/>
          <w:color w:val="0000FF"/>
        </w:rPr>
        <w:t>eurocurrency market, (y) with respect to any</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Foreign Currency Loans denominated in Euros, any day which is not also a TARGET Day (as determined by the Administrative Agent) and</w:t>
      </w:r>
    </w:p>
    <w:p>
      <w:pPr>
        <w:spacing w:after="0" w:line="2" w:lineRule="exact"/>
        <w:rPr>
          <w:sz w:val="20"/>
          <w:szCs w:val="20"/>
          <w:color w:val="auto"/>
        </w:rPr>
      </w:pPr>
    </w:p>
    <w:p>
      <w:pPr>
        <w:ind w:right="420" w:firstLine="8"/>
        <w:spacing w:after="0" w:line="246" w:lineRule="auto"/>
        <w:tabs>
          <w:tab w:leader="none" w:pos="269" w:val="left"/>
        </w:tabs>
        <w:numPr>
          <w:ilvl w:val="0"/>
          <w:numId w:val="46"/>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with respect to Foreign Currency Loans denominated in a Foreign Currency other than Euros, any day which is not also a day on which banks are open for dealings in such currency in the Principal Financial Center for the applicable currency.</w:t>
      </w:r>
    </w:p>
    <w:p>
      <w:pPr>
        <w:spacing w:after="0" w:line="182" w:lineRule="exact"/>
        <w:rPr>
          <w:sz w:val="20"/>
          <w:szCs w:val="20"/>
          <w:color w:val="auto"/>
        </w:rPr>
      </w:pPr>
    </w:p>
    <w:p>
      <w:pPr>
        <w:jc w:val="both"/>
        <w:ind w:right="240" w:firstLine="1027"/>
        <w:spacing w:after="0" w:line="254" w:lineRule="auto"/>
        <w:rPr>
          <w:sz w:val="20"/>
          <w:szCs w:val="20"/>
          <w:color w:val="auto"/>
        </w:rPr>
      </w:pPr>
      <w:r>
        <w:rPr>
          <w:rFonts w:ascii="Times New Roman" w:cs="Times New Roman" w:eastAsia="Times New Roman" w:hAnsi="Times New Roman"/>
          <w:sz w:val="20"/>
          <w:szCs w:val="20"/>
          <w:u w:val="single" w:color="auto"/>
          <w:color w:val="0000FF"/>
        </w:rPr>
        <w:t xml:space="preserve">“Calculation Date”: </w:t>
      </w:r>
      <w:r>
        <w:rPr>
          <w:rFonts w:ascii="Times New Roman" w:cs="Times New Roman" w:eastAsia="Times New Roman" w:hAnsi="Times New Roman"/>
          <w:sz w:val="20"/>
          <w:szCs w:val="20"/>
          <w:u w:val="single" w:color="auto"/>
          <w:color w:val="008000"/>
        </w:rPr>
        <w:t>the last Business Day of each month (</w:t>
      </w:r>
      <w:r>
        <w:rPr>
          <w:rFonts w:ascii="Times New Roman" w:cs="Times New Roman" w:eastAsia="Times New Roman" w:hAnsi="Times New Roman"/>
          <w:sz w:val="20"/>
          <w:szCs w:val="20"/>
          <w:u w:val="single" w:color="auto"/>
          <w:color w:val="0000FF"/>
        </w:rPr>
        <w:t>or any other day reasonably selected by the Administrative Agent and notified to the Borrower in writing); provided that (a) the second Business Day preceding (or such other Business Day as the Administrative Agent shall deem applicable with respect to any Foreign Currency in accordance with rate-setting convention for such</w:t>
      </w:r>
    </w:p>
    <w:p>
      <w:pPr>
        <w:sectPr>
          <w:pgSz w:w="11900" w:h="16838" w:orient="portrait"/>
          <w:cols w:equalWidth="0" w:num="1">
            <w:col w:w="11420"/>
          </w:cols>
          <w:pgMar w:left="240" w:top="409" w:right="2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w:t>
      </w:r>
    </w:p>
    <w:p>
      <w:pPr>
        <w:spacing w:after="0" w:line="23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u w:val="single" w:color="auto"/>
          <w:color w:val="0000FF"/>
        </w:rPr>
        <w:t>currency) the date any Foreign Currency Loan is made or continued is also a “Calculation Date”, (b) the date any other Loan is made or continued hereunder is also a “Calculation Date” and (c) the date of issuance, amendment, renewal or extension of any Letter of Credit is also a “Calculation Date”.</w:t>
      </w:r>
    </w:p>
    <w:p>
      <w:pPr>
        <w:spacing w:after="0" w:line="175" w:lineRule="exact"/>
        <w:rPr>
          <w:sz w:val="20"/>
          <w:szCs w:val="20"/>
          <w:color w:val="auto"/>
        </w:rPr>
      </w:pPr>
    </w:p>
    <w:p>
      <w:pPr>
        <w:ind w:right="60" w:firstLine="102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Expenditures</w:t>
      </w:r>
      <w:r>
        <w:rPr>
          <w:rFonts w:ascii="Times New Roman" w:cs="Times New Roman" w:eastAsia="Times New Roman" w:hAnsi="Times New Roman"/>
          <w:sz w:val="20"/>
          <w:szCs w:val="20"/>
          <w:color w:val="auto"/>
        </w:rPr>
        <w:t>”: for any period, with respect to any Person, the aggregate of all expenditures by such Person and its Subsidiaries for the acquisition or leasing (pursuant to a capital lease) of fixed or capital assets or additions to equipment (including replacements, capitalized repairs and improvements during such period) or for construction, acquisition or remodeling that are capitalized as an asset on the consolidated balance sheet of such Person and its Subsidiaries under GAAP.</w:t>
      </w:r>
    </w:p>
    <w:p>
      <w:pPr>
        <w:spacing w:after="0" w:line="180" w:lineRule="exact"/>
        <w:rPr>
          <w:sz w:val="20"/>
          <w:szCs w:val="20"/>
          <w:color w:val="auto"/>
        </w:rPr>
      </w:pPr>
    </w:p>
    <w:p>
      <w:pPr>
        <w:ind w:firstLine="102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80" w:lineRule="exact"/>
        <w:rPr>
          <w:sz w:val="20"/>
          <w:szCs w:val="20"/>
          <w:color w:val="auto"/>
        </w:rPr>
      </w:pPr>
    </w:p>
    <w:p>
      <w:pPr>
        <w:ind w:right="48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75" w:lineRule="exact"/>
        <w:rPr>
          <w:sz w:val="20"/>
          <w:szCs w:val="20"/>
          <w:color w:val="auto"/>
        </w:rPr>
      </w:pPr>
    </w:p>
    <w:p>
      <w:pPr>
        <w:ind w:firstLine="1027"/>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Equivalents</w:t>
      </w:r>
      <w:r>
        <w:rPr>
          <w:rFonts w:ascii="Times New Roman" w:cs="Times New Roman" w:eastAsia="Times New Roman" w:hAnsi="Times New Roman"/>
          <w:sz w:val="19"/>
          <w:szCs w:val="19"/>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six months or less from the date of acquisition issued by any Lender or by any commercial bank organized under the laws of the United States or any state thereof having combined capital and surplus of not less than $500,000,000; (c) commercial paper (including, for the avoidance of doubt, asset-backed commercial paper) of an issuer rated at least A-1 by S&amp;P or P-1 by Moody’s, or carrying an equivalent rating by a nationally recognized rating agency, if both of the two named rating agencies cease publishing ratings of commercial paper issuers generally, and maturing within six months from the date of acquisition; (d) repurchase obligations of any Lender or of any commercial bank satisfying the requirements of clause</w:t>
      </w:r>
    </w:p>
    <w:p>
      <w:pPr>
        <w:spacing w:after="0" w:line="2" w:lineRule="exact"/>
        <w:rPr>
          <w:sz w:val="20"/>
          <w:szCs w:val="20"/>
          <w:color w:val="auto"/>
        </w:rPr>
      </w:pPr>
    </w:p>
    <w:p>
      <w:pPr>
        <w:ind w:right="20" w:firstLine="8"/>
        <w:spacing w:after="0"/>
        <w:tabs>
          <w:tab w:leader="none" w:pos="2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six months or less from the date of acquisition backed by standby letters of credit issued by any Lender or any commercial bank satisfying the requirements of clause (b) of this definition; (g) money market mutual or similar funds that invest exclusively in assets satisfying the requirements of clauses (a) through (f) of this definition; or (h) money market funds that (i) comply with the criteria set forth in SEC Rule 2a-7 under the 40 Act), (ii) are rated AAA by S&amp;P and Aaa by Moody’s and (iii) have portfolio assets of at least $5,000,000,000.</w:t>
      </w:r>
    </w:p>
    <w:p>
      <w:pPr>
        <w:spacing w:after="0" w:line="19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Original Closing Date</w:t>
      </w:r>
      <w:r>
        <w:rPr>
          <w:rFonts w:ascii="Times New Roman" w:cs="Times New Roman" w:eastAsia="Times New Roman" w:hAnsi="Times New Roman"/>
          <w:sz w:val="20"/>
          <w:szCs w:val="20"/>
          <w:color w:val="auto"/>
        </w:rPr>
        <w:t>”: November 21, 2011.</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the Internal Revenue Code of 1986, as amended.</w:t>
      </w:r>
    </w:p>
    <w:p>
      <w:pPr>
        <w:sectPr>
          <w:pgSz w:w="11900" w:h="16838" w:orient="portrait"/>
          <w:cols w:equalWidth="0" w:num="1">
            <w:col w:w="11420"/>
          </w:cols>
          <w:pgMar w:left="240" w:top="409" w:right="2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w:t>
      </w:r>
    </w:p>
    <w:p>
      <w:pPr>
        <w:spacing w:after="0" w:line="211" w:lineRule="exact"/>
        <w:rPr>
          <w:sz w:val="20"/>
          <w:szCs w:val="20"/>
          <w:color w:val="auto"/>
        </w:rPr>
      </w:pPr>
    </w:p>
    <w:p>
      <w:pPr>
        <w:ind w:right="26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all property of the Loan Parties, now owned or hereafter acquired, upon which a Lien is purported to be created by any Security Document. For the avoidance of doubt it is understood that Excluded Property is not “Collateral”.</w:t>
      </w:r>
    </w:p>
    <w:p>
      <w:pPr>
        <w:spacing w:after="0" w:line="160" w:lineRule="exact"/>
        <w:rPr>
          <w:sz w:val="20"/>
          <w:szCs w:val="20"/>
          <w:color w:val="auto"/>
        </w:rPr>
      </w:pPr>
    </w:p>
    <w:p>
      <w:pPr>
        <w:ind w:right="80" w:firstLine="102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Collection Account</w:t>
      </w:r>
      <w:r>
        <w:rPr>
          <w:rFonts w:ascii="Times New Roman" w:cs="Times New Roman" w:eastAsia="Times New Roman" w:hAnsi="Times New Roman"/>
          <w:sz w:val="20"/>
          <w:szCs w:val="20"/>
          <w:color w:val="auto"/>
        </w:rPr>
        <w:t>”: any deposit or securities account of a Loan Party designated by the Borrower as a “Collection Account” in which the Administrative Agent has a valid, perfected and enforceable security interest and over which the Administrative Agent has “control” (as defined in the Uniform Commercial Code) pursuant to an account control agreement satisfactory in form and substance to the Administrative Agent.</w:t>
      </w:r>
    </w:p>
    <w:p>
      <w:pPr>
        <w:spacing w:after="0" w:line="180" w:lineRule="exact"/>
        <w:rPr>
          <w:sz w:val="20"/>
          <w:szCs w:val="20"/>
          <w:color w:val="auto"/>
        </w:rPr>
      </w:pPr>
    </w:p>
    <w:p>
      <w:pPr>
        <w:jc w:val="both"/>
        <w:ind w:right="180" w:firstLine="1027"/>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Collateralized</w:t>
      </w:r>
      <w:r>
        <w:rPr>
          <w:rFonts w:ascii="Times New Roman" w:cs="Times New Roman" w:eastAsia="Times New Roman" w:hAnsi="Times New Roman"/>
          <w:sz w:val="19"/>
          <w:szCs w:val="19"/>
          <w:color w:val="auto"/>
        </w:rPr>
        <w:t>”: with respect to any Letter of Credit, means that such Letter of Credit is secured by cash collateral arrangements and/or backstop letters of credit entered into on terms and in amounts reasonably satisfactory to the relevant Issuing Lender or, in the case of Section 2.6, to the Administrative Agent; and the terms “Collateralize” and “Collateralization” shall have correlative meanings.</w:t>
      </w:r>
    </w:p>
    <w:p>
      <w:pPr>
        <w:spacing w:after="0" w:line="157" w:lineRule="exact"/>
        <w:rPr>
          <w:sz w:val="20"/>
          <w:szCs w:val="20"/>
          <w:color w:val="auto"/>
        </w:rPr>
      </w:pPr>
    </w:p>
    <w:p>
      <w:pPr>
        <w:ind w:right="60" w:firstLine="102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the obligation of a Lender, if any, to make Loans and participate in Letters of Credit in an aggregate principal and/or face amount not to exceed the amount set forth under the heading “Commitment” opposite such Lender’s name on Schedule 1.1A or in the Assignment and Assumption pursuant to which such Lender became a party hereto after the Second Amendment </w:t>
      </w:r>
      <w:r>
        <w:rPr>
          <w:rFonts w:ascii="Times New Roman" w:cs="Times New Roman" w:eastAsia="Times New Roman" w:hAnsi="Times New Roman"/>
          <w:sz w:val="20"/>
          <w:szCs w:val="20"/>
          <w:u w:val="single" w:color="auto"/>
          <w:color w:val="0000FF"/>
        </w:rPr>
        <w:t>and Restatement</w:t>
      </w:r>
      <w:r>
        <w:rPr>
          <w:rFonts w:ascii="Times New Roman" w:cs="Times New Roman" w:eastAsia="Times New Roman" w:hAnsi="Times New Roman"/>
          <w:sz w:val="20"/>
          <w:szCs w:val="20"/>
          <w:color w:val="auto"/>
        </w:rPr>
        <w:t xml:space="preserve"> Effective Date, or in an Increased Facility Activation Notice or in a New Lender Supplement pursuant to which such Lender became a party hereto, as applicable, as the same may be changed from time to time pursuant to the terms hereof. As of the Second Amendment </w:t>
      </w:r>
      <w:r>
        <w:rPr>
          <w:rFonts w:ascii="Times New Roman" w:cs="Times New Roman" w:eastAsia="Times New Roman" w:hAnsi="Times New Roman"/>
          <w:sz w:val="20"/>
          <w:szCs w:val="20"/>
          <w:u w:val="single" w:color="auto"/>
          <w:color w:val="0000FF"/>
        </w:rPr>
        <w:t>and Restatement</w:t>
      </w:r>
      <w:r>
        <w:rPr>
          <w:rFonts w:ascii="Times New Roman" w:cs="Times New Roman" w:eastAsia="Times New Roman" w:hAnsi="Times New Roman"/>
          <w:sz w:val="20"/>
          <w:szCs w:val="20"/>
          <w:color w:val="auto"/>
        </w:rPr>
        <w:t xml:space="preserve"> Effective Date, the total amount of Commitments is $200,000,000.</w:t>
      </w:r>
    </w:p>
    <w:p>
      <w:pPr>
        <w:spacing w:after="0" w:line="185" w:lineRule="exact"/>
        <w:rPr>
          <w:sz w:val="20"/>
          <w:szCs w:val="20"/>
          <w:color w:val="auto"/>
        </w:rPr>
      </w:pPr>
    </w:p>
    <w:p>
      <w:pPr>
        <w:ind w:right="34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Fee Rate</w:t>
      </w:r>
      <w:r>
        <w:rPr>
          <w:rFonts w:ascii="Times New Roman" w:cs="Times New Roman" w:eastAsia="Times New Roman" w:hAnsi="Times New Roman"/>
          <w:sz w:val="20"/>
          <w:szCs w:val="20"/>
          <w:color w:val="auto"/>
        </w:rPr>
        <w:t>”: at any date, the rate per annum set forth under the relevant column heading in the Pricing Grid based upon the Borrower’s Level at such date.</w:t>
      </w:r>
    </w:p>
    <w:p>
      <w:pPr>
        <w:spacing w:after="0" w:line="160" w:lineRule="exact"/>
        <w:rPr>
          <w:sz w:val="20"/>
          <w:szCs w:val="20"/>
          <w:color w:val="auto"/>
        </w:rPr>
      </w:pPr>
    </w:p>
    <w:p>
      <w:pPr>
        <w:ind w:right="120" w:firstLine="1027"/>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 Period</w:t>
      </w:r>
      <w:r>
        <w:rPr>
          <w:rFonts w:ascii="Times New Roman" w:cs="Times New Roman" w:eastAsia="Times New Roman" w:hAnsi="Times New Roman"/>
          <w:sz w:val="19"/>
          <w:szCs w:val="19"/>
          <w:color w:val="auto"/>
        </w:rPr>
        <w:t>”: the period from and including the Closing Date (or, in the case of a Lender that becomes a party hereto after the Closing Date pursuant to Section 2.19, the date on which such Lender becomes a party hereto) to but excluding the Termination Date.</w:t>
      </w:r>
    </w:p>
    <w:p>
      <w:pPr>
        <w:spacing w:after="0" w:line="136" w:lineRule="exact"/>
        <w:rPr>
          <w:sz w:val="20"/>
          <w:szCs w:val="20"/>
          <w:color w:val="auto"/>
        </w:rPr>
      </w:pPr>
    </w:p>
    <w:p>
      <w:pPr>
        <w:ind w:right="68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the Commodity Exchange Act (7 U.S.C. § 1 et seq.), as amended from time to time, and any successor statute.</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a certificate duly executed by a Responsible Officer substantially in the form of Exhibit B.</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Adjusted EBITDA</w:t>
      </w:r>
      <w:r>
        <w:rPr>
          <w:rFonts w:ascii="Times New Roman" w:cs="Times New Roman" w:eastAsia="Times New Roman" w:hAnsi="Times New Roman"/>
          <w:sz w:val="20"/>
          <w:szCs w:val="20"/>
          <w:color w:val="auto"/>
        </w:rPr>
        <w:t>”: for any period, Consolidated EBITDA for such period,</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(to the extent taken into account in calculating Consolidated EBITDA for such period)</w:t>
      </w:r>
    </w:p>
    <w:p>
      <w:pPr>
        <w:spacing w:after="0" w:line="216" w:lineRule="exact"/>
        <w:rPr>
          <w:sz w:val="20"/>
          <w:szCs w:val="20"/>
          <w:color w:val="auto"/>
        </w:rPr>
      </w:pPr>
    </w:p>
    <w:p>
      <w:pPr>
        <w:ind w:right="180" w:firstLine="464"/>
        <w:spacing w:after="0" w:line="247" w:lineRule="auto"/>
        <w:tabs>
          <w:tab w:leader="none" w:pos="92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extraordinary or non-recurring non-cash expenses or losses, including, for the avoidance of doubt, any extraordinary or non-recurring non-cash expenses disclosed in the form 8-K filed by Marriott with the SEC on September 9, 2011, and extraordinary or non-recurring cash charges to the extent such cash charges are incurred on or after the First Amendment </w:t>
      </w:r>
      <w:r>
        <w:rPr>
          <w:rFonts w:ascii="Times New Roman" w:cs="Times New Roman" w:eastAsia="Times New Roman" w:hAnsi="Times New Roman"/>
          <w:sz w:val="20"/>
          <w:szCs w:val="20"/>
          <w:u w:val="single" w:color="auto"/>
          <w:color w:val="0000FF"/>
        </w:rPr>
        <w:t>and Restatement</w:t>
      </w:r>
      <w:r>
        <w:rPr>
          <w:rFonts w:ascii="Times New Roman" w:cs="Times New Roman" w:eastAsia="Times New Roman" w:hAnsi="Times New Roman"/>
          <w:sz w:val="20"/>
          <w:szCs w:val="20"/>
          <w:color w:val="auto"/>
        </w:rPr>
        <w:t xml:space="preserve"> Effective Date but on or before the end of the fourth full fiscal quarter following the First Amendment </w:t>
      </w:r>
      <w:r>
        <w:rPr>
          <w:rFonts w:ascii="Times New Roman" w:cs="Times New Roman" w:eastAsia="Times New Roman" w:hAnsi="Times New Roman"/>
          <w:sz w:val="20"/>
          <w:szCs w:val="20"/>
          <w:u w:val="single" w:color="auto"/>
          <w:color w:val="0000FF"/>
        </w:rPr>
        <w:t>and Restatement</w:t>
      </w:r>
      <w:r>
        <w:rPr>
          <w:rFonts w:ascii="Times New Roman" w:cs="Times New Roman" w:eastAsia="Times New Roman" w:hAnsi="Times New Roman"/>
          <w:sz w:val="20"/>
          <w:szCs w:val="20"/>
          <w:color w:val="auto"/>
        </w:rPr>
        <w:t xml:space="preserve"> Effective Date and do not exceed an aggregate amount of $45,000,000;</w:t>
      </w:r>
    </w:p>
    <w:p>
      <w:pPr>
        <w:sectPr>
          <w:pgSz w:w="11900" w:h="16838" w:orient="portrait"/>
          <w:cols w:equalWidth="0" w:num="1">
            <w:col w:w="11420"/>
          </w:cols>
          <w:pgMar w:left="240" w:top="409" w:right="2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w:t>
      </w:r>
    </w:p>
    <w:p>
      <w:pPr>
        <w:spacing w:after="0" w:line="238" w:lineRule="exact"/>
        <w:rPr>
          <w:sz w:val="20"/>
          <w:szCs w:val="20"/>
          <w:color w:val="auto"/>
        </w:rPr>
      </w:pPr>
    </w:p>
    <w:p>
      <w:pPr>
        <w:ind w:right="540" w:firstLine="464"/>
        <w:spacing w:after="0" w:line="269" w:lineRule="auto"/>
        <w:tabs>
          <w:tab w:leader="none" w:pos="93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losses from dispositions of real estate that are not to traditional consumer purchasers;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amounts referred to in clauses (a) and (b) shall not, in the aggregate, exceed $150,000,000 for any Fiscal Year;</w:t>
      </w:r>
    </w:p>
    <w:p>
      <w:pPr>
        <w:spacing w:after="0" w:line="159" w:lineRule="exact"/>
        <w:rPr>
          <w:rFonts w:ascii="Times New Roman" w:cs="Times New Roman" w:eastAsia="Times New Roman" w:hAnsi="Times New Roman"/>
          <w:sz w:val="20"/>
          <w:szCs w:val="20"/>
          <w:color w:val="auto"/>
        </w:rPr>
      </w:pPr>
    </w:p>
    <w:p>
      <w:pPr>
        <w:ind w:left="940" w:hanging="476"/>
        <w:spacing w:after="0"/>
        <w:tabs>
          <w:tab w:leader="none" w:pos="9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non-cash product costs of MVWC and its Subsidiaries on a consolidated basis for such period; and</w:t>
      </w:r>
    </w:p>
    <w:p>
      <w:pPr>
        <w:spacing w:after="0" w:line="215" w:lineRule="exact"/>
        <w:rPr>
          <w:rFonts w:ascii="Times New Roman" w:cs="Times New Roman" w:eastAsia="Times New Roman" w:hAnsi="Times New Roman"/>
          <w:sz w:val="20"/>
          <w:szCs w:val="20"/>
          <w:color w:val="auto"/>
        </w:rPr>
      </w:pPr>
    </w:p>
    <w:p>
      <w:pPr>
        <w:ind w:right="180" w:firstLine="464"/>
        <w:spacing w:after="0" w:line="269" w:lineRule="auto"/>
        <w:tabs>
          <w:tab w:leader="none" w:pos="93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additional one-time cash charges related to organizational and separation costs incurred in connection with the Spin-Off;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added by this clause (d) shall not exceed $30,000,000;</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to the extent taken into account in calculating Consolidated Net Income for such period, </w:t>
      </w:r>
      <w:r>
        <w:rPr>
          <w:rFonts w:ascii="Times New Roman" w:cs="Times New Roman" w:eastAsia="Times New Roman" w:hAnsi="Times New Roman"/>
          <w:sz w:val="20"/>
          <w:szCs w:val="20"/>
          <w:u w:val="single" w:color="auto"/>
          <w:color w:val="auto"/>
        </w:rPr>
        <w:t>the sum of</w:t>
      </w:r>
    </w:p>
    <w:p>
      <w:pPr>
        <w:spacing w:after="0" w:line="216" w:lineRule="exact"/>
        <w:rPr>
          <w:sz w:val="20"/>
          <w:szCs w:val="20"/>
          <w:color w:val="auto"/>
        </w:rPr>
      </w:pPr>
    </w:p>
    <w:p>
      <w:pPr>
        <w:ind w:firstLine="464"/>
        <w:spacing w:after="0" w:line="247" w:lineRule="auto"/>
        <w:tabs>
          <w:tab w:leader="none" w:pos="93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extraordinary, unusual or non-recurring income or gains (including, whether or not otherwise includable as a separate item in the statement of such Consolidated Net Income for such period, gains on the sales of assets outside of the ordinary course of business), including gains from dispositions of real estate that are not to traditional consumer purchasers; (ii) income tax credits (to the extent not netted from income tax expense); and (iii) any other non-operating, non-cash income (other than non-cash income associated with “financially reportable sales less than closed sales”);</w:t>
      </w:r>
    </w:p>
    <w:p>
      <w:pPr>
        <w:spacing w:after="0" w:line="180" w:lineRule="exact"/>
        <w:rPr>
          <w:rFonts w:ascii="Times New Roman" w:cs="Times New Roman" w:eastAsia="Times New Roman" w:hAnsi="Times New Roman"/>
          <w:sz w:val="20"/>
          <w:szCs w:val="20"/>
          <w:color w:val="auto"/>
        </w:rPr>
      </w:pPr>
    </w:p>
    <w:p>
      <w:pPr>
        <w:ind w:right="160" w:firstLine="464"/>
        <w:spacing w:after="0" w:line="254" w:lineRule="auto"/>
        <w:tabs>
          <w:tab w:leader="none" w:pos="93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cash payments made during such period in respect of items described in clause (a) above subsequent to the Fiscal Quarter in which the relevant non-cash expenses or losses were reflected as a charge in the statement of Consolidated Net Income, all as determined on a consolidated basis;</w:t>
      </w:r>
    </w:p>
    <w:p>
      <w:pPr>
        <w:spacing w:after="0" w:line="174" w:lineRule="exact"/>
        <w:rPr>
          <w:rFonts w:ascii="Times New Roman" w:cs="Times New Roman" w:eastAsia="Times New Roman" w:hAnsi="Times New Roman"/>
          <w:sz w:val="20"/>
          <w:szCs w:val="20"/>
          <w:color w:val="auto"/>
        </w:rPr>
      </w:pPr>
    </w:p>
    <w:p>
      <w:pPr>
        <w:ind w:right="60" w:firstLine="464"/>
        <w:spacing w:after="0" w:line="269" w:lineRule="auto"/>
        <w:tabs>
          <w:tab w:leader="none" w:pos="979"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income (or deficit) of any Person accrued prior to the date it becomes a Subsidiary of MVWC or is merged into or consolidated with MVWC or any of its Subsidiaries;</w:t>
      </w:r>
    </w:p>
    <w:p>
      <w:pPr>
        <w:spacing w:after="0" w:line="159" w:lineRule="exact"/>
        <w:rPr>
          <w:rFonts w:ascii="Times New Roman" w:cs="Times New Roman" w:eastAsia="Times New Roman" w:hAnsi="Times New Roman"/>
          <w:sz w:val="20"/>
          <w:szCs w:val="20"/>
          <w:color w:val="auto"/>
        </w:rPr>
      </w:pPr>
    </w:p>
    <w:p>
      <w:pPr>
        <w:ind w:firstLine="464"/>
        <w:spacing w:after="0" w:line="254" w:lineRule="auto"/>
        <w:tabs>
          <w:tab w:leader="none" w:pos="93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income of any Person (other than a Subsidiary of MVWC) in which MVWC or any of its Subsidiaries has an ownership interest, except to the extent that any such income is actually received by MVWC or such Subsidiary in the form of dividends or similar distributions; and</w:t>
      </w:r>
    </w:p>
    <w:p>
      <w:pPr>
        <w:spacing w:after="0" w:line="174" w:lineRule="exact"/>
        <w:rPr>
          <w:rFonts w:ascii="Times New Roman" w:cs="Times New Roman" w:eastAsia="Times New Roman" w:hAnsi="Times New Roman"/>
          <w:sz w:val="20"/>
          <w:szCs w:val="20"/>
          <w:color w:val="auto"/>
        </w:rPr>
      </w:pPr>
    </w:p>
    <w:p>
      <w:pPr>
        <w:ind w:right="140" w:firstLine="464"/>
        <w:spacing w:after="0" w:line="249" w:lineRule="auto"/>
        <w:tabs>
          <w:tab w:leader="none" w:pos="93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undistributed earnings or income of any Subsidiary of MVWC (including any Special Purpose Subsidiary) or income attributable to any residual interest in any obligation of a Special Purpose Subsidiary to the extent that the declaration or payment of dividends or similar distributions or payment on account of such residual interest by such Subsidiary is not at the time permitted by the terms of any Contractual Obligation (other than under any Loan Document) or Requirement of Law applicable to such Subsidiary;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u w:val="single" w:color="auto"/>
          <w:color w:val="auto"/>
        </w:rPr>
        <w:t>minus</w:t>
      </w:r>
    </w:p>
    <w:p>
      <w:pPr>
        <w:spacing w:after="0" w:line="216" w:lineRule="exact"/>
        <w:rPr>
          <w:sz w:val="20"/>
          <w:szCs w:val="20"/>
          <w:color w:val="auto"/>
        </w:rPr>
      </w:pPr>
    </w:p>
    <w:p>
      <w:pPr>
        <w:ind w:left="940" w:hanging="476"/>
        <w:spacing w:after="0"/>
        <w:tabs>
          <w:tab w:leader="none" w:pos="9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Developer Capital Spending of MVWC and its Subsidiaries on a consolidated basis for such period.</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for any period, Consolidated Net Income for such period,</w:t>
      </w:r>
    </w:p>
    <w:p>
      <w:pPr>
        <w:spacing w:after="0" w:line="216" w:lineRule="exact"/>
        <w:rPr>
          <w:sz w:val="20"/>
          <w:szCs w:val="20"/>
          <w:color w:val="auto"/>
        </w:rPr>
      </w:pPr>
    </w:p>
    <w:p>
      <w:pPr>
        <w:ind w:right="360" w:firstLine="456"/>
        <w:spacing w:after="0" w:line="269" w:lineRule="auto"/>
        <w:rPr>
          <w:sz w:val="20"/>
          <w:szCs w:val="20"/>
          <w:color w:val="auto"/>
        </w:rPr>
      </w:pP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without duplication and to the extent reflected as a charge in the statement of such Consolidated Net Income for such period, </w:t>
      </w:r>
      <w:r>
        <w:rPr>
          <w:rFonts w:ascii="Times New Roman" w:cs="Times New Roman" w:eastAsia="Times New Roman" w:hAnsi="Times New Roman"/>
          <w:sz w:val="20"/>
          <w:szCs w:val="20"/>
          <w:u w:val="single" w:color="auto"/>
          <w:color w:val="auto"/>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sum of</w:t>
      </w:r>
    </w:p>
    <w:p>
      <w:pPr>
        <w:spacing w:after="0" w:line="160" w:lineRule="exact"/>
        <w:rPr>
          <w:sz w:val="20"/>
          <w:szCs w:val="20"/>
          <w:color w:val="auto"/>
        </w:rPr>
      </w:pPr>
    </w:p>
    <w:p>
      <w:pPr>
        <w:ind w:left="940" w:hanging="476"/>
        <w:spacing w:after="0"/>
        <w:tabs>
          <w:tab w:leader="none" w:pos="9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income tax expense (or minus any benefit);</w:t>
      </w:r>
    </w:p>
    <w:p>
      <w:pPr>
        <w:sectPr>
          <w:pgSz w:w="11900" w:h="16838" w:orient="portrait"/>
          <w:cols w:equalWidth="0" w:num="1">
            <w:col w:w="11420"/>
          </w:cols>
          <w:pgMar w:left="240" w:top="409" w:right="2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w:t>
      </w:r>
    </w:p>
    <w:p>
      <w:pPr>
        <w:spacing w:after="0" w:line="238" w:lineRule="exact"/>
        <w:rPr>
          <w:sz w:val="20"/>
          <w:szCs w:val="20"/>
          <w:color w:val="auto"/>
        </w:rPr>
      </w:pPr>
    </w:p>
    <w:p>
      <w:pPr>
        <w:ind w:right="280" w:firstLine="464"/>
        <w:spacing w:after="0" w:line="269" w:lineRule="auto"/>
        <w:tabs>
          <w:tab w:leader="none" w:pos="93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interest expense, amortization or write-off of debt discount and debt issuance costs and commissions, discounts and other fees and charges associated with Indebtedness (including the Loans);</w:t>
      </w:r>
    </w:p>
    <w:p>
      <w:pPr>
        <w:spacing w:after="0" w:line="159" w:lineRule="exact"/>
        <w:rPr>
          <w:rFonts w:ascii="Times New Roman" w:cs="Times New Roman" w:eastAsia="Times New Roman" w:hAnsi="Times New Roman"/>
          <w:sz w:val="20"/>
          <w:szCs w:val="20"/>
          <w:color w:val="auto"/>
        </w:rPr>
      </w:pPr>
    </w:p>
    <w:p>
      <w:pPr>
        <w:ind w:left="940" w:hanging="476"/>
        <w:spacing w:after="0"/>
        <w:tabs>
          <w:tab w:leader="none" w:pos="9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 expense; and</w:t>
      </w:r>
    </w:p>
    <w:p>
      <w:pPr>
        <w:spacing w:after="0" w:line="215" w:lineRule="exact"/>
        <w:rPr>
          <w:rFonts w:ascii="Times New Roman" w:cs="Times New Roman" w:eastAsia="Times New Roman" w:hAnsi="Times New Roman"/>
          <w:sz w:val="20"/>
          <w:szCs w:val="20"/>
          <w:color w:val="auto"/>
        </w:rPr>
      </w:pPr>
    </w:p>
    <w:p>
      <w:pPr>
        <w:ind w:left="940" w:hanging="476"/>
        <w:spacing w:after="0"/>
        <w:tabs>
          <w:tab w:leader="none" w:pos="9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of intangibles (including, but not limited to, goodwill) and organization costs.</w:t>
      </w:r>
    </w:p>
    <w:p>
      <w:pPr>
        <w:spacing w:after="0" w:line="216" w:lineRule="exact"/>
        <w:rPr>
          <w:sz w:val="20"/>
          <w:szCs w:val="20"/>
          <w:color w:val="auto"/>
        </w:rPr>
      </w:pPr>
    </w:p>
    <w:p>
      <w:pPr>
        <w:ind w:right="60" w:firstLine="1027"/>
        <w:spacing w:after="0" w:line="244" w:lineRule="auto"/>
        <w:rPr>
          <w:sz w:val="20"/>
          <w:szCs w:val="20"/>
          <w:color w:val="auto"/>
        </w:rPr>
      </w:pPr>
      <w:r>
        <w:rPr>
          <w:rFonts w:ascii="Times New Roman" w:cs="Times New Roman" w:eastAsia="Times New Roman" w:hAnsi="Times New Roman"/>
          <w:sz w:val="20"/>
          <w:szCs w:val="20"/>
          <w:color w:val="auto"/>
        </w:rPr>
        <w:t xml:space="preserve">For the purposes of calculating Consolidated EBITDA for any Reference Period pursuant to any determination of a financial covenant involving the calculation of Consolidated EBITDA, (i) if at any time during such Reference Period, MVWC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such Reference Period MVWC or any Subsidiary shall have made a Material Acquisition, Consolidated EBITDA for such Reference Period shall be calculated after giving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effect thereto as if such Material Acquisition occurred on the first day of such Reference Period.</w:t>
      </w:r>
    </w:p>
    <w:p>
      <w:pPr>
        <w:spacing w:after="0" w:line="187" w:lineRule="exact"/>
        <w:rPr>
          <w:sz w:val="20"/>
          <w:szCs w:val="20"/>
          <w:color w:val="auto"/>
        </w:rPr>
      </w:pPr>
    </w:p>
    <w:p>
      <w:pPr>
        <w:ind w:right="68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for any period, the ratio of (a) Consolidated Adjusted EBITDA for such period to (b) Consolidated Interest Expense for such period.</w:t>
      </w:r>
    </w:p>
    <w:p>
      <w:pPr>
        <w:spacing w:after="0" w:line="160" w:lineRule="exact"/>
        <w:rPr>
          <w:sz w:val="20"/>
          <w:szCs w:val="20"/>
          <w:color w:val="auto"/>
        </w:rPr>
      </w:pPr>
    </w:p>
    <w:p>
      <w:pPr>
        <w:ind w:right="60" w:firstLine="102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for any period, total cash interest expense (including that attributable to Capital Lease Obligations) of MVWC and its Subsidiaries for such period with respect to all outstanding Indebtedness of MVWC and its Subsidiaries (including (i) all commissions, discounts and other fees and charges owed with respect to letters of credit and bankers’ acceptance financing and net costs under Swap Agreements and related derivatives in respect of interest rates to the extent such net costs are allocable to such period in accordance with GAAP and (ii) dividends paid on the Preferred Stock).</w:t>
      </w:r>
    </w:p>
    <w:p>
      <w:pPr>
        <w:spacing w:after="0" w:line="181" w:lineRule="exact"/>
        <w:rPr>
          <w:sz w:val="20"/>
          <w:szCs w:val="20"/>
          <w:color w:val="auto"/>
        </w:rPr>
      </w:pPr>
    </w:p>
    <w:p>
      <w:pPr>
        <w:ind w:right="88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Leverage Ratio</w:t>
      </w:r>
      <w:r>
        <w:rPr>
          <w:rFonts w:ascii="Times New Roman" w:cs="Times New Roman" w:eastAsia="Times New Roman" w:hAnsi="Times New Roman"/>
          <w:sz w:val="20"/>
          <w:szCs w:val="20"/>
          <w:color w:val="auto"/>
        </w:rPr>
        <w:t>”: as of any date of determination, the ratio of (a) Consolidated Total Debt on such date to (b) Consolidated Adjusted EBITDA for the Reference Period most recently ended on or prior to such date.</w:t>
      </w:r>
    </w:p>
    <w:p>
      <w:pPr>
        <w:spacing w:after="0" w:line="160" w:lineRule="exact"/>
        <w:rPr>
          <w:sz w:val="20"/>
          <w:szCs w:val="20"/>
          <w:color w:val="auto"/>
        </w:rPr>
      </w:pPr>
    </w:p>
    <w:p>
      <w:pPr>
        <w:ind w:right="8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for any period, the consolidated net income (or loss) of MVWC and its Subsidiaries, determined on a consolidated basis in accordance with GAAP.</w:t>
      </w:r>
    </w:p>
    <w:p>
      <w:pPr>
        <w:spacing w:after="0" w:line="160" w:lineRule="exact"/>
        <w:rPr>
          <w:sz w:val="20"/>
          <w:szCs w:val="20"/>
          <w:color w:val="auto"/>
        </w:rPr>
      </w:pPr>
    </w:p>
    <w:p>
      <w:pPr>
        <w:ind w:right="16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Worth</w:t>
      </w:r>
      <w:r>
        <w:rPr>
          <w:rFonts w:ascii="Times New Roman" w:cs="Times New Roman" w:eastAsia="Times New Roman" w:hAnsi="Times New Roman"/>
          <w:sz w:val="20"/>
          <w:szCs w:val="20"/>
          <w:color w:val="auto"/>
        </w:rPr>
        <w:t>”: at any date, all amounts that would, in conformity with GAAP, be included on a consolidated balance sheet of MVWC under stockholders’ equity at such date.</w:t>
      </w:r>
    </w:p>
    <w:p>
      <w:pPr>
        <w:spacing w:after="0" w:line="160" w:lineRule="exact"/>
        <w:rPr>
          <w:sz w:val="20"/>
          <w:szCs w:val="20"/>
          <w:color w:val="auto"/>
        </w:rPr>
      </w:pPr>
    </w:p>
    <w:p>
      <w:pPr>
        <w:ind w:right="80" w:firstLine="102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Tangible Net Worth</w:t>
      </w:r>
      <w:r>
        <w:rPr>
          <w:rFonts w:ascii="Times New Roman" w:cs="Times New Roman" w:eastAsia="Times New Roman" w:hAnsi="Times New Roman"/>
          <w:sz w:val="20"/>
          <w:szCs w:val="20"/>
          <w:color w:val="auto"/>
        </w:rPr>
        <w:t>”: at any date, (a) Consolidated Net Worth, minus (b) the net book value of all assets on the consolidated balance sheet of MVWC used to calculate Consolidated Net Worth that would be treated as intangible assets under GAAP (including goodwill, trademarks, trade names, service marks, service names, copyrights, patents, organizational expenses and the excess of any equity in any Subsidiary over the cost of the investment in such Subsidiary), all as determined on a consolidated basis in accordance with GAAP.</w:t>
      </w:r>
    </w:p>
    <w:p>
      <w:pPr>
        <w:spacing w:after="0" w:line="181" w:lineRule="exact"/>
        <w:rPr>
          <w:sz w:val="20"/>
          <w:szCs w:val="20"/>
          <w:color w:val="auto"/>
        </w:rPr>
      </w:pPr>
    </w:p>
    <w:p>
      <w:pPr>
        <w:jc w:val="both"/>
        <w:ind w:right="6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Debt</w:t>
      </w:r>
      <w:r>
        <w:rPr>
          <w:rFonts w:ascii="Times New Roman" w:cs="Times New Roman" w:eastAsia="Times New Roman" w:hAnsi="Times New Roman"/>
          <w:sz w:val="20"/>
          <w:szCs w:val="20"/>
          <w:color w:val="auto"/>
        </w:rPr>
        <w:t>”: at any date, the aggregate principal amount of all Indebtedness of MVWC and its Subsidiaries at such date, determined using consolidation principles in accordance with GAAP, minus (A) the lesser of (x) the greater of (i) the aggregate amount of all</w:t>
      </w:r>
    </w:p>
    <w:p>
      <w:pPr>
        <w:sectPr>
          <w:pgSz w:w="11900" w:h="16838" w:orient="portrait"/>
          <w:cols w:equalWidth="0" w:num="1">
            <w:col w:w="11420"/>
          </w:cols>
          <w:pgMar w:left="240" w:top="409" w:right="2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Unrestricted cash and Cash Equivalents held by MVWC, the Borrower and the Subsidiary Guarantors at such date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$50,000,000 and</w:t>
      </w:r>
    </w:p>
    <w:p>
      <w:pPr>
        <w:spacing w:after="0" w:line="22" w:lineRule="exact"/>
        <w:rPr>
          <w:sz w:val="20"/>
          <w:szCs w:val="20"/>
          <w:color w:val="auto"/>
        </w:rPr>
      </w:pPr>
    </w:p>
    <w:p>
      <w:pPr>
        <w:ind w:right="280" w:firstLine="8"/>
        <w:spacing w:after="0" w:line="246" w:lineRule="auto"/>
        <w:tabs>
          <w:tab w:leader="none" w:pos="29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 and (y) $100,000,000, and (B) any Specified Cash on deposit in a prefunding account established and maintained for the benefit of an Indenture Trustee in connection with Qualified Securitization Transactions.</w:t>
      </w:r>
    </w:p>
    <w:p>
      <w:pPr>
        <w:spacing w:after="0" w:line="182" w:lineRule="exact"/>
        <w:rPr>
          <w:sz w:val="20"/>
          <w:szCs w:val="20"/>
          <w:color w:val="auto"/>
        </w:rPr>
      </w:pPr>
    </w:p>
    <w:p>
      <w:pPr>
        <w:ind w:right="8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Continuing Directors</w:t>
      </w:r>
      <w:r>
        <w:rPr>
          <w:rFonts w:ascii="Times New Roman" w:cs="Times New Roman" w:eastAsia="Times New Roman" w:hAnsi="Times New Roman"/>
          <w:sz w:val="20"/>
          <w:szCs w:val="20"/>
          <w:color w:val="auto"/>
        </w:rPr>
        <w:t>”: the directors of MVWC on the Closing Date, after giving effect to the Spin-Off and the other transactions contemplated by the Original Credit Agreement, and each other director, if, in each case, such other director’s nomination for election to the board of directors of MVWC is recommended by at least 66-2/3% of the then Continuing Directors.</w:t>
      </w:r>
    </w:p>
    <w:p>
      <w:pPr>
        <w:spacing w:after="0" w:line="175" w:lineRule="exact"/>
        <w:rPr>
          <w:sz w:val="20"/>
          <w:szCs w:val="20"/>
          <w:color w:val="auto"/>
        </w:rPr>
      </w:pPr>
    </w:p>
    <w:p>
      <w:pPr>
        <w:ind w:right="20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as to any Person, any provision of any security issued by such Person or of any agreement, instrument or other undertaking to which such Person is a party or by which it or any of its property is bound.</w:t>
      </w:r>
    </w:p>
    <w:p>
      <w:pPr>
        <w:spacing w:after="0" w:line="160" w:lineRule="exact"/>
        <w:rPr>
          <w:sz w:val="20"/>
          <w:szCs w:val="20"/>
          <w:color w:val="auto"/>
        </w:rPr>
      </w:pPr>
    </w:p>
    <w:p>
      <w:pPr>
        <w:ind w:right="420" w:firstLine="1027"/>
        <w:spacing w:after="0" w:line="269" w:lineRule="auto"/>
        <w:rPr>
          <w:sz w:val="20"/>
          <w:szCs w:val="20"/>
          <w:color w:val="auto"/>
        </w:rPr>
      </w:pPr>
      <w:r>
        <w:rPr>
          <w:rFonts w:ascii="Times New Roman" w:cs="Times New Roman" w:eastAsia="Times New Roman" w:hAnsi="Times New Roman"/>
          <w:sz w:val="20"/>
          <w:szCs w:val="20"/>
          <w:u w:val="single" w:color="auto"/>
          <w:color w:val="0000FF"/>
        </w:rPr>
        <w:t>“Conversion Date”: any date on which either (a) an Event of Default under Section 8(g) has occurred or (b) the Commitments shall have been terminated and/or the Loans shall have been declared immediately due and payable pursuant to Section 8.</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u w:val="single" w:color="auto"/>
          <w:color w:val="0000FF"/>
        </w:rPr>
        <w:t>“Converted Loans”: as defined in Section 2.21(a).</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the Administrative Agent, the Issuing Lender or any other Lender.</w:t>
      </w:r>
    </w:p>
    <w:p>
      <w:pPr>
        <w:spacing w:after="0" w:line="216" w:lineRule="exact"/>
        <w:rPr>
          <w:sz w:val="20"/>
          <w:szCs w:val="20"/>
          <w:color w:val="auto"/>
        </w:rPr>
      </w:pPr>
    </w:p>
    <w:p>
      <w:pPr>
        <w:ind w:right="26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any of the events specified in Section 8, whether or not any requirement for the giving of notice, the lapse of time, or both, has been satisfied.</w:t>
      </w:r>
    </w:p>
    <w:p>
      <w:pPr>
        <w:spacing w:after="0" w:line="160" w:lineRule="exact"/>
        <w:rPr>
          <w:sz w:val="20"/>
          <w:szCs w:val="20"/>
          <w:color w:val="auto"/>
        </w:rPr>
      </w:pPr>
    </w:p>
    <w:p>
      <w:pPr>
        <w:ind w:right="20" w:firstLine="1027"/>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any Lender that (a) has failed, within two Business Days of the date required to be funded or paid, to (i) fund any portion of its Loans, (ii) fund any portion of its participations in Letters of Credit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to fund prospective Loans and participations in then outstanding Letters of Credit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clause (c) upon such Credit Party’s receipt of such certification in form and substance satisfactory to it and the Administrative Agent, or (d) has become the subject of a Bankruptcy Event.</w:t>
      </w:r>
    </w:p>
    <w:p>
      <w:pPr>
        <w:spacing w:after="0" w:line="186" w:lineRule="exact"/>
        <w:rPr>
          <w:sz w:val="20"/>
          <w:szCs w:val="20"/>
          <w:color w:val="auto"/>
        </w:rPr>
      </w:pPr>
    </w:p>
    <w:p>
      <w:pPr>
        <w:ind w:right="80" w:firstLine="102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Destination Club Competitor Brand</w:t>
      </w:r>
      <w:r>
        <w:rPr>
          <w:rFonts w:ascii="Times New Roman" w:cs="Times New Roman" w:eastAsia="Times New Roman" w:hAnsi="Times New Roman"/>
          <w:sz w:val="20"/>
          <w:szCs w:val="20"/>
          <w:color w:val="auto"/>
        </w:rPr>
        <w:t>”: (i) a branded timeshare, fractional or vacation ownership resort chain with both (x) one thousand (1,000) or more timeshare units or villas and (y) five (5) or more timeshare, fractional or vacation ownership resorts; or (ii) a timeshare, fractional or vacation ownership exchange program with both (x) ten thousand (10,000) or more timeshare weeks (or weeks-equivalents, if denominated in points) affiliated with the exchange program and (y) such affiliated weeks represent three (3) or more timeshare, fractional or vacation ownership resorts.</w:t>
      </w:r>
    </w:p>
    <w:p>
      <w:pPr>
        <w:sectPr>
          <w:pgSz w:w="11900" w:h="16838" w:orient="portrait"/>
          <w:cols w:equalWidth="0" w:num="1">
            <w:col w:w="11420"/>
          </w:cols>
          <w:pgMar w:left="240" w:top="409" w:right="2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w:t>
      </w:r>
    </w:p>
    <w:p>
      <w:pPr>
        <w:spacing w:after="0" w:line="238" w:lineRule="exact"/>
        <w:rPr>
          <w:sz w:val="20"/>
          <w:szCs w:val="20"/>
          <w:color w:val="auto"/>
        </w:rPr>
      </w:pPr>
    </w:p>
    <w:p>
      <w:pPr>
        <w:ind w:right="60" w:firstLine="102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Developer Capital Spending</w:t>
      </w:r>
      <w:r>
        <w:rPr>
          <w:rFonts w:ascii="Times New Roman" w:cs="Times New Roman" w:eastAsia="Times New Roman" w:hAnsi="Times New Roman"/>
          <w:sz w:val="20"/>
          <w:szCs w:val="20"/>
          <w:color w:val="auto"/>
        </w:rPr>
        <w:t>”: for any period, the sum of (i) Capital Expenditures of MVWC and its Subsidiaries on a consolidated basis that are attributable to the acquisition of completed Time Share Interests or development of Time Share Interests (excluding, for the avoidance of doubt, any Time Share Development Property Capital Expenditures) during such period and (ii) the portion of any Time Share Development Property Capital Expenditures made during such period or in any prior period which is attributable to the portion of any Time Share Development Property (or any In-Process Property that was formerly categorized as Time Share Development Property) which is converted to Time Share Interests during such period.</w:t>
      </w:r>
    </w:p>
    <w:p>
      <w:pPr>
        <w:spacing w:after="0" w:line="185" w:lineRule="exact"/>
        <w:rPr>
          <w:sz w:val="20"/>
          <w:szCs w:val="20"/>
          <w:color w:val="auto"/>
        </w:rPr>
      </w:pPr>
    </w:p>
    <w:p>
      <w:pPr>
        <w:ind w:right="40" w:firstLine="102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Direct Competitor</w:t>
      </w:r>
      <w:r>
        <w:rPr>
          <w:rFonts w:ascii="Times New Roman" w:cs="Times New Roman" w:eastAsia="Times New Roman" w:hAnsi="Times New Roman"/>
          <w:sz w:val="20"/>
          <w:szCs w:val="20"/>
          <w:color w:val="auto"/>
        </w:rPr>
        <w:t xml:space="preserve">”: any Person, or any Person that controls or is under common control with or that is controlled by a Person, that (i) owns, directly or indirectly, a Lodging Competitor Brand or a Destination Club Competitor Brand or (ii) is a master franchisee, master franchisor or sub-franchisor for a Lodging Competitor Brand or a Destination Club Competitor Brand (for the purposes hereof, the terms master franchisee, master franchisor, and sub-franchisor each mean a Person that has been granted the right by a franchisor to offer and sell subfranchises for such Person’s own account);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prospective Assignee that is a commercial bank shall not constitute a Direct Competitor if it acquired its interest in a Person that is a Direct Competitor as a consequence of having been a lender to a Person that is a Direct Competitor. For purposes of this definition, “control” of a Person means the power, directly or indirectly, to direct or to cause the direction of the management and policies of such Person, whether by contract or otherwise.</w:t>
      </w:r>
    </w:p>
    <w:p>
      <w:pPr>
        <w:spacing w:after="0" w:line="190" w:lineRule="exact"/>
        <w:rPr>
          <w:sz w:val="20"/>
          <w:szCs w:val="20"/>
          <w:color w:val="auto"/>
        </w:rPr>
      </w:pPr>
    </w:p>
    <w:p>
      <w:pPr>
        <w:ind w:right="76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Direct-from-Consumer Time Share Interests</w:t>
      </w:r>
      <w:r>
        <w:rPr>
          <w:rFonts w:ascii="Times New Roman" w:cs="Times New Roman" w:eastAsia="Times New Roman" w:hAnsi="Times New Roman"/>
          <w:sz w:val="20"/>
          <w:szCs w:val="20"/>
          <w:color w:val="auto"/>
        </w:rPr>
        <w:t xml:space="preserve"> ”: any Time Share Interests which any Loan Party repurchases directly from consumers, forecloses on or obtains through an exchange, deed-in-lieu of foreclosure or similar process after the Closing Date.</w:t>
      </w:r>
    </w:p>
    <w:p>
      <w:pPr>
        <w:spacing w:after="0" w:line="160" w:lineRule="exact"/>
        <w:rPr>
          <w:sz w:val="20"/>
          <w:szCs w:val="20"/>
          <w:color w:val="auto"/>
        </w:rPr>
      </w:pPr>
    </w:p>
    <w:p>
      <w:pPr>
        <w:ind w:right="80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with respect to any property, any sale, lease, sale and leaseback, assignment, conveyance, transfer or other disposition thereof. The terms “</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Disposed of</w:t>
      </w:r>
      <w:r>
        <w:rPr>
          <w:rFonts w:ascii="Times New Roman" w:cs="Times New Roman" w:eastAsia="Times New Roman" w:hAnsi="Times New Roman"/>
          <w:sz w:val="20"/>
          <w:szCs w:val="20"/>
          <w:color w:val="auto"/>
        </w:rPr>
        <w:t>” shall have correlative meanings.</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Documentation Agents</w:t>
      </w:r>
      <w:r>
        <w:rPr>
          <w:rFonts w:ascii="Times New Roman" w:cs="Times New Roman" w:eastAsia="Times New Roman" w:hAnsi="Times New Roman"/>
          <w:sz w:val="20"/>
          <w:szCs w:val="20"/>
          <w:color w:val="auto"/>
        </w:rPr>
        <w:t>”: as defined in the preamble hereto.</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dollars in lawful currency of the United States.</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on any date of determination, (a) with respect to any amount denominated in Dollars, such amount and</w:t>
      </w:r>
    </w:p>
    <w:p>
      <w:pPr>
        <w:spacing w:after="0" w:line="22" w:lineRule="exact"/>
        <w:rPr>
          <w:sz w:val="20"/>
          <w:szCs w:val="20"/>
          <w:color w:val="auto"/>
        </w:rPr>
      </w:pPr>
    </w:p>
    <w:p>
      <w:pPr>
        <w:ind w:right="60" w:firstLine="8"/>
        <w:spacing w:after="0"/>
        <w:tabs>
          <w:tab w:leader="none" w:pos="2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 amount denominated in any other currency, the equivalent in Dollars of such amount determined by the Administrative Agent in accordance with normal banking industry practice using the Exchange Rate on the </w:t>
      </w:r>
      <w:r>
        <w:rPr>
          <w:rFonts w:ascii="Times New Roman" w:cs="Times New Roman" w:eastAsia="Times New Roman" w:hAnsi="Times New Roman"/>
          <w:sz w:val="20"/>
          <w:szCs w:val="20"/>
          <w:color w:val="FF0000"/>
          <w:strike w:val="1"/>
        </w:rPr>
        <w:t>date of determination of such equivalent,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such</w:t>
      </w:r>
      <w:r>
        <w:rPr>
          <w:rFonts w:ascii="Times New Roman" w:cs="Times New Roman" w:eastAsia="Times New Roman" w:hAnsi="Times New Roman"/>
          <w:sz w:val="20"/>
          <w:szCs w:val="20"/>
          <w:u w:val="single" w:color="auto"/>
          <w:color w:val="0000FF"/>
        </w:rPr>
        <w:t>most recent Calculation Date (or if such date is a Calculation Date, such date), which</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determination shall be conclusive in the absence of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manifest error. </w:t>
      </w:r>
      <w:r>
        <w:rPr>
          <w:rFonts w:ascii="Times New Roman" w:cs="Times New Roman" w:eastAsia="Times New Roman" w:hAnsi="Times New Roman"/>
          <w:sz w:val="20"/>
          <w:szCs w:val="20"/>
          <w:color w:val="FF0000"/>
          <w:strike w:val="1"/>
        </w:rPr>
        <w:t>In making any determination of the Dollar Equivalent for a particular Optional Currency, the Administrative Agent shall use the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 xml:space="preserve">relevant Exchange Rate in effect on the date on which the Borrower delivers a request for a Letter of Credit to be denominated in such currency, such amount to be adjusted thereafter on each Adjustment Date and on any other date upon which a Dollar Equivalent is required to be determined pursuant to </w:t>
      </w:r>
      <w:r>
        <w:rPr>
          <w:rFonts w:ascii="Times New Roman" w:cs="Times New Roman" w:eastAsia="Times New Roman" w:hAnsi="Times New Roman"/>
          <w:sz w:val="20"/>
          <w:szCs w:val="20"/>
          <w:color w:val="008000"/>
          <w:strike w:val="1"/>
        </w:rPr>
        <w:t>the provisions of this Agreement.</w:t>
      </w:r>
      <w:r>
        <w:rPr>
          <w:rFonts w:ascii="Times New Roman" w:cs="Times New Roman" w:eastAsia="Times New Roman" w:hAnsi="Times New Roman"/>
          <w:sz w:val="20"/>
          <w:szCs w:val="20"/>
          <w:color w:val="FF0000"/>
          <w:strike w:val="1"/>
        </w:rPr>
        <w:t xml:space="preserve"> As appropriate, amounts specified herein as amounts in Dollars shall be or include any relevant Dollar Equivalent amount.</w:t>
      </w:r>
    </w:p>
    <w:p>
      <w:pPr>
        <w:spacing w:after="0" w:line="19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u w:val="single" w:color="auto"/>
          <w:color w:val="0000FF"/>
        </w:rPr>
        <w:t xml:space="preserve">“Dollar Loans”: </w:t>
      </w:r>
      <w:r>
        <w:rPr>
          <w:rFonts w:ascii="Times New Roman" w:cs="Times New Roman" w:eastAsia="Times New Roman" w:hAnsi="Times New Roman"/>
          <w:sz w:val="20"/>
          <w:szCs w:val="20"/>
          <w:u w:val="single" w:color="auto"/>
          <w:color w:val="008000"/>
        </w:rPr>
        <w:t>as defined in Section 2.1(a)</w:t>
      </w:r>
      <w:r>
        <w:rPr>
          <w:rFonts w:ascii="Times New Roman" w:cs="Times New Roman" w:eastAsia="Times New Roman" w:hAnsi="Times New Roman"/>
          <w:sz w:val="20"/>
          <w:szCs w:val="20"/>
          <w:u w:val="single" w:color="auto"/>
          <w:color w:val="0000FF"/>
        </w:rPr>
        <w:t>.</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Documentation Agents</w:t>
      </w:r>
      <w:r>
        <w:rPr>
          <w:rFonts w:ascii="Times New Roman" w:cs="Times New Roman" w:eastAsia="Times New Roman" w:hAnsi="Times New Roman"/>
          <w:sz w:val="20"/>
          <w:szCs w:val="20"/>
          <w:color w:val="auto"/>
        </w:rPr>
        <w:t>”: as defined in the preamble hereto.</w:t>
      </w:r>
    </w:p>
    <w:p>
      <w:pPr>
        <w:sectPr>
          <w:pgSz w:w="11900" w:h="16838" w:orient="portrait"/>
          <w:cols w:equalWidth="0" w:num="1">
            <w:col w:w="11420"/>
          </w:cols>
          <w:pgMar w:left="240" w:top="409" w:right="2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w:t>
      </w:r>
    </w:p>
    <w:p>
      <w:pPr>
        <w:spacing w:after="0" w:line="238" w:lineRule="exact"/>
        <w:rPr>
          <w:sz w:val="20"/>
          <w:szCs w:val="20"/>
          <w:color w:val="auto"/>
        </w:rPr>
      </w:pPr>
    </w:p>
    <w:p>
      <w:pPr>
        <w:ind w:right="80" w:firstLine="1027"/>
        <w:spacing w:after="0" w:line="254" w:lineRule="auto"/>
        <w:rPr>
          <w:sz w:val="20"/>
          <w:szCs w:val="20"/>
          <w:color w:val="auto"/>
        </w:rPr>
      </w:pPr>
      <w:r>
        <w:rPr>
          <w:rFonts w:ascii="Times New Roman" w:cs="Times New Roman" w:eastAsia="Times New Roman" w:hAnsi="Times New Roman"/>
          <w:sz w:val="20"/>
          <w:szCs w:val="20"/>
          <w:u w:val="single" w:color="auto"/>
          <w:color w:val="0000FF"/>
        </w:rPr>
        <w:t xml:space="preserve">“Domestic </w:t>
      </w:r>
      <w:r>
        <w:rPr>
          <w:rFonts w:ascii="Times New Roman" w:cs="Times New Roman" w:eastAsia="Times New Roman" w:hAnsi="Times New Roman"/>
          <w:sz w:val="20"/>
          <w:szCs w:val="20"/>
          <w:u w:val="single" w:color="auto"/>
          <w:color w:val="008000"/>
        </w:rPr>
        <w:t>Funding Office”: the office of the Administrative Agent specified in Section 10.2 or such other office as may be</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 xml:space="preserve">specified from time to time by the Administrative Agent as its funding office </w:t>
      </w:r>
      <w:r>
        <w:rPr>
          <w:rFonts w:ascii="Times New Roman" w:cs="Times New Roman" w:eastAsia="Times New Roman" w:hAnsi="Times New Roman"/>
          <w:sz w:val="20"/>
          <w:szCs w:val="20"/>
          <w:u w:val="single" w:color="auto"/>
          <w:color w:val="0000FF"/>
        </w:rPr>
        <w:t>with respect to Loans denominated in Dollars</w:t>
      </w:r>
      <w:r>
        <w:rPr>
          <w:rFonts w:ascii="Times New Roman" w:cs="Times New Roman" w:eastAsia="Times New Roman" w:hAnsi="Times New Roman"/>
          <w:sz w:val="20"/>
          <w:szCs w:val="20"/>
          <w:u w:val="single" w:color="auto"/>
          <w:color w:val="008000"/>
        </w:rPr>
        <w:t xml:space="preserve"> by written notice to the Borrower and the Lenders.</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any Subsidiary of the Borrower organized under the laws of any jurisdiction within the United States.</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October 20, 2011.</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In-Process Property</w:t>
      </w:r>
      <w:r>
        <w:rPr>
          <w:rFonts w:ascii="Times New Roman" w:cs="Times New Roman" w:eastAsia="Times New Roman" w:hAnsi="Times New Roman"/>
          <w:sz w:val="20"/>
          <w:szCs w:val="20"/>
          <w:color w:val="auto"/>
        </w:rPr>
        <w:t>”: as defined in Schedule 1.1B.</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Time Share Interests</w:t>
      </w:r>
      <w:r>
        <w:rPr>
          <w:rFonts w:ascii="Times New Roman" w:cs="Times New Roman" w:eastAsia="Times New Roman" w:hAnsi="Times New Roman"/>
          <w:sz w:val="20"/>
          <w:szCs w:val="20"/>
          <w:color w:val="auto"/>
        </w:rPr>
        <w:t>”: as defined in Schedule 1.1B.</w:t>
      </w:r>
    </w:p>
    <w:p>
      <w:pPr>
        <w:spacing w:after="0" w:line="216" w:lineRule="exact"/>
        <w:rPr>
          <w:sz w:val="20"/>
          <w:szCs w:val="20"/>
          <w:color w:val="auto"/>
        </w:rPr>
      </w:pPr>
    </w:p>
    <w:p>
      <w:pPr>
        <w:ind w:right="780" w:firstLine="1027"/>
        <w:spacing w:after="0" w:line="269" w:lineRule="auto"/>
        <w:rPr>
          <w:sz w:val="20"/>
          <w:szCs w:val="20"/>
          <w:color w:val="auto"/>
        </w:rPr>
      </w:pPr>
      <w:r>
        <w:rPr>
          <w:rFonts w:ascii="Times New Roman" w:cs="Times New Roman" w:eastAsia="Times New Roman" w:hAnsi="Times New Roman"/>
          <w:sz w:val="20"/>
          <w:szCs w:val="20"/>
          <w:u w:val="single" w:color="auto"/>
          <w:color w:val="0000FF"/>
        </w:rPr>
        <w:t>“EMU” means the economic and monetary union in accordance with the Treaty of Rome 1957, as amended by the Single European Act 1986, the Maastricht Treaty of 1992 and the Amsterdam Treaty of 1998.</w:t>
      </w:r>
    </w:p>
    <w:p>
      <w:pPr>
        <w:spacing w:after="0" w:line="160" w:lineRule="exact"/>
        <w:rPr>
          <w:sz w:val="20"/>
          <w:szCs w:val="20"/>
          <w:color w:val="auto"/>
        </w:rPr>
      </w:pPr>
    </w:p>
    <w:p>
      <w:pPr>
        <w:ind w:right="60" w:firstLine="102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or the environment, as now or may at any time hereafter be in effect.</w:t>
      </w:r>
    </w:p>
    <w:p>
      <w:pPr>
        <w:spacing w:after="0" w:line="18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the Employee Retirement Income Security Act of 1974, as amended from time to time.</w:t>
      </w:r>
    </w:p>
    <w:p>
      <w:pPr>
        <w:spacing w:after="0" w:line="216" w:lineRule="exact"/>
        <w:rPr>
          <w:sz w:val="20"/>
          <w:szCs w:val="20"/>
          <w:color w:val="auto"/>
        </w:rPr>
      </w:pPr>
    </w:p>
    <w:p>
      <w:pPr>
        <w:ind w:right="50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any trade or business (whether or not incorporated) that, together with any Group Member, is treated as a single employer under Section 414 of the Code.</w:t>
      </w:r>
    </w:p>
    <w:p>
      <w:pPr>
        <w:spacing w:after="0" w:line="160" w:lineRule="exact"/>
        <w:rPr>
          <w:sz w:val="20"/>
          <w:szCs w:val="20"/>
          <w:color w:val="auto"/>
        </w:rPr>
      </w:pPr>
    </w:p>
    <w:p>
      <w:pPr>
        <w:ind w:right="20" w:firstLine="1027"/>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(a) the failure of any Plan to comply with any material provisions of ERISA and/or the Code (and applicable regulations under either) or with the material terms of such Plan; (b) the existence with respect to any Plan of a non-exempt Prohibited Transaction; (c) any Reportable Event; (d) the failure of any Group Member or ERISA Affiliate to make by its due date a required installment under Section 430(j) of the Code with respect to any Pension Plan or any failure by any Pension Plan to satisfy the minimum funding standards (within the meaning of Section 412 of the Code or Section 302 of ERISA) applicable to such Pension Plan, whether or not waived; (e) a determination that any Pension Plan is, or is expected to be, in “at risk” status (within the meaning of Section 430 of the Code or Section 303 of ERISA); (f) the filing pursuant to Section 412 of the Code or Section 302 of ERISA of an application for a waiver of the minimum funding standard with respect to any Pension Plan; (g) the occurrence of any event or condition which might constitute grounds under ERISA for the termination of, or the appointment of a trustee to administer, any Pension Plan or the incurrence by any Group Member or any ERISA Affiliate of any liability under Title IV of ERISA with respect to the termination of any Pension Plan, including but not limited to the imposition of any Lien in favor of the PBGC or any Pension Plan; (h) the receipt by any Group Member or any ERISA Affiliate from the PBGC or a plan administrator of any notice relating to an intention to terminate any Pension Plan or to appoint a trustee to administer any Pension Plan under Section 4042 of ERISA; (i) the failure by any Group Member or any of its ERISA Affiliates to make any required contribution to a Multiemployer Plan pursuant to Sections 431 or 432 of the Code; (j) the incurrence by any Group Member or any ERISA Affiliate of any liability with respect to the withdrawal or partial withdrawal from any Pension Plan or Multiemployer Plan; (k) the receipt by any Group Member or any ERISA Affiliate of any notice, or the receipt by any Multiemployer Plan from a Group Member or any ERISA Affiliate of any notice,</w:t>
      </w:r>
    </w:p>
    <w:p>
      <w:pPr>
        <w:sectPr>
          <w:pgSz w:w="11900" w:h="16838" w:orient="portrait"/>
          <w:cols w:equalWidth="0" w:num="1">
            <w:col w:w="11420"/>
          </w:cols>
          <w:pgMar w:left="240" w:top="409" w:right="2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w:t>
      </w:r>
    </w:p>
    <w:p>
      <w:pPr>
        <w:spacing w:after="0" w:line="23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concerning the imposition of Withdrawal Liability or a determination that a Multiemployer Plan is, or is expected to be, Insolvent, in Reorganization, in “endangered” or “critical” status (within the meaning of Section 432 of the Code or Section 305 of ERISA), or terminated (within the meaning of Section 4041A of ERISA); or (l) the failure by any Group Member or any of its ERISA Affiliates to pay when due (after expiration of any applicable grace period) any installment payment with respect to Withdrawal Liability under Section 4201 of ERISA.</w:t>
      </w:r>
    </w:p>
    <w:p>
      <w:pPr>
        <w:spacing w:after="0" w:line="180" w:lineRule="exact"/>
        <w:rPr>
          <w:sz w:val="20"/>
          <w:szCs w:val="20"/>
          <w:color w:val="auto"/>
        </w:rPr>
      </w:pPr>
    </w:p>
    <w:p>
      <w:pPr>
        <w:ind w:right="120" w:firstLine="1027"/>
        <w:spacing w:after="0" w:line="247" w:lineRule="auto"/>
        <w:rPr>
          <w:sz w:val="20"/>
          <w:szCs w:val="20"/>
          <w:color w:val="auto"/>
        </w:rPr>
      </w:pPr>
      <w:r>
        <w:rPr>
          <w:rFonts w:ascii="Times New Roman" w:cs="Times New Roman" w:eastAsia="Times New Roman" w:hAnsi="Times New Roman"/>
          <w:sz w:val="20"/>
          <w:szCs w:val="20"/>
          <w:color w:val="008000"/>
          <w:strike w:val="1"/>
        </w:rPr>
        <w:t>“</w:t>
      </w:r>
      <w:r>
        <w:rPr>
          <w:rFonts w:ascii="Times New Roman" w:cs="Times New Roman" w:eastAsia="Times New Roman" w:hAnsi="Times New Roman"/>
          <w:sz w:val="20"/>
          <w:szCs w:val="20"/>
          <w:u w:val="single" w:color="auto"/>
          <w:color w:val="008000"/>
          <w:strike w:val="1"/>
        </w:rPr>
        <w:t>Eurocurrency Reserve Requirements</w:t>
      </w:r>
      <w:r>
        <w:rPr>
          <w:rFonts w:ascii="Times New Roman" w:cs="Times New Roman" w:eastAsia="Times New Roman" w:hAnsi="Times New Roman"/>
          <w:sz w:val="20"/>
          <w:szCs w:val="20"/>
          <w:color w:val="008000"/>
          <w:strike w:val="1"/>
        </w:rPr>
        <w:t xml:space="preserve">”: for any day as applied to a </w:t>
      </w:r>
      <w:r>
        <w:rPr>
          <w:rFonts w:ascii="Times New Roman" w:cs="Times New Roman" w:eastAsia="Times New Roman" w:hAnsi="Times New Roman"/>
          <w:sz w:val="20"/>
          <w:szCs w:val="20"/>
          <w:color w:val="DE1A1E"/>
          <w:strike w:val="1"/>
        </w:rPr>
        <w:t>Eurodollar</w:t>
      </w:r>
      <w:r>
        <w:rPr>
          <w:rFonts w:ascii="Times New Roman" w:cs="Times New Roman" w:eastAsia="Times New Roman" w:hAnsi="Times New Roman"/>
          <w:sz w:val="20"/>
          <w:szCs w:val="20"/>
          <w:color w:val="008000"/>
          <w:strike w:val="1"/>
        </w:rPr>
        <w:t xml:space="preserve"> Loan, the aggregate (without duplication) of the maximum rates (expressed as a decimal fraction) of reserve requirements in effect on such day (including basic, supplemental, marginal and emergency reserves) under any regulations of the Board or other Governmental Authority having jurisdiction with respect thereto dealing with reserve requirements prescribed for eurocurrency funding (currently referred to as “Eurocurrency Liabilities” in Regulation D of the Board) maintained by a member bank of the Federal Reserve System.</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u w:val="single" w:color="auto"/>
          <w:color w:val="0000FF"/>
        </w:rPr>
        <w:t>“EURIBOR Screen Rate”: as defined in the definition of “Eurocurrency Base Rate”.</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u w:val="single" w:color="auto"/>
          <w:color w:val="0000FF"/>
        </w:rPr>
        <w:t>“Euro” or “€”: the single currency of participating member states of the European Union.</w:t>
      </w:r>
    </w:p>
    <w:p>
      <w:pPr>
        <w:spacing w:after="0" w:line="216" w:lineRule="exact"/>
        <w:rPr>
          <w:sz w:val="20"/>
          <w:szCs w:val="20"/>
          <w:color w:val="auto"/>
        </w:rPr>
      </w:pPr>
    </w:p>
    <w:p>
      <w:pPr>
        <w:ind w:right="20" w:firstLine="1027"/>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DE1A1E"/>
          <w:strike w:val="1"/>
        </w:rPr>
        <w:t>Eurodollar</w:t>
      </w:r>
      <w:r>
        <w:rPr>
          <w:rFonts w:ascii="Times New Roman" w:cs="Times New Roman" w:eastAsia="Times New Roman" w:hAnsi="Times New Roman"/>
          <w:sz w:val="19"/>
          <w:szCs w:val="19"/>
          <w:u w:val="single" w:color="auto"/>
          <w:color w:val="0000FF"/>
        </w:rPr>
        <w:t>Eurocurrency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Base Rate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(a)</w:t>
      </w:r>
      <w:r>
        <w:rPr>
          <w:rFonts w:ascii="Times New Roman" w:cs="Times New Roman" w:eastAsia="Times New Roman" w:hAnsi="Times New Roman"/>
          <w:sz w:val="19"/>
          <w:szCs w:val="19"/>
          <w:color w:val="auto"/>
        </w:rPr>
        <w:t xml:space="preserve"> with respect to any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Eurocurrency</w:t>
      </w:r>
      <w:r>
        <w:rPr>
          <w:rFonts w:ascii="Times New Roman" w:cs="Times New Roman" w:eastAsia="Times New Roman" w:hAnsi="Times New Roman"/>
          <w:sz w:val="19"/>
          <w:szCs w:val="19"/>
          <w:color w:val="auto"/>
        </w:rPr>
        <w:t xml:space="preserve"> Loan </w:t>
      </w:r>
      <w:r>
        <w:rPr>
          <w:rFonts w:ascii="Times New Roman" w:cs="Times New Roman" w:eastAsia="Times New Roman" w:hAnsi="Times New Roman"/>
          <w:sz w:val="19"/>
          <w:szCs w:val="19"/>
          <w:u w:val="single" w:color="auto"/>
          <w:color w:val="0000FF"/>
        </w:rPr>
        <w:t>denominated in Euros</w:t>
      </w:r>
      <w:r>
        <w:rPr>
          <w:rFonts w:ascii="Times New Roman" w:cs="Times New Roman" w:eastAsia="Times New Roman" w:hAnsi="Times New Roman"/>
          <w:sz w:val="19"/>
          <w:szCs w:val="19"/>
          <w:color w:val="auto"/>
        </w:rPr>
        <w:t xml:space="preserve"> for any Interest Period, the </w:t>
      </w:r>
      <w:r>
        <w:rPr>
          <w:rFonts w:ascii="Times New Roman" w:cs="Times New Roman" w:eastAsia="Times New Roman" w:hAnsi="Times New Roman"/>
          <w:sz w:val="19"/>
          <w:szCs w:val="19"/>
          <w:color w:val="FF0000"/>
          <w:strike w:val="1"/>
        </w:rPr>
        <w:t>London</w:t>
      </w:r>
      <w:r>
        <w:rPr>
          <w:rFonts w:ascii="Times New Roman" w:cs="Times New Roman" w:eastAsia="Times New Roman" w:hAnsi="Times New Roman"/>
          <w:sz w:val="19"/>
          <w:szCs w:val="19"/>
          <w:color w:val="auto"/>
        </w:rPr>
        <w:t xml:space="preserve"> interbank offered rate </w:t>
      </w:r>
      <w:r>
        <w:rPr>
          <w:rFonts w:ascii="Times New Roman" w:cs="Times New Roman" w:eastAsia="Times New Roman" w:hAnsi="Times New Roman"/>
          <w:sz w:val="19"/>
          <w:szCs w:val="19"/>
          <w:color w:val="FF0000"/>
          <w:strike w:val="1"/>
        </w:rPr>
        <w:t>as</w:t>
      </w:r>
      <w:r>
        <w:rPr>
          <w:rFonts w:ascii="Times New Roman" w:cs="Times New Roman" w:eastAsia="Times New Roman" w:hAnsi="Times New Roman"/>
          <w:sz w:val="19"/>
          <w:szCs w:val="19"/>
          <w:color w:val="auto"/>
        </w:rPr>
        <w:t xml:space="preserve"> administered by the </w:t>
      </w:r>
      <w:r>
        <w:rPr>
          <w:rFonts w:ascii="Times New Roman" w:cs="Times New Roman" w:eastAsia="Times New Roman" w:hAnsi="Times New Roman"/>
          <w:sz w:val="19"/>
          <w:szCs w:val="19"/>
          <w:color w:val="FF0000"/>
          <w:strike w:val="1"/>
        </w:rPr>
        <w:t>ICE Benchmark Administration</w:t>
      </w:r>
      <w:r>
        <w:rPr>
          <w:rFonts w:ascii="Times New Roman" w:cs="Times New Roman" w:eastAsia="Times New Roman" w:hAnsi="Times New Roman"/>
          <w:sz w:val="19"/>
          <w:szCs w:val="19"/>
          <w:u w:val="single" w:color="auto"/>
          <w:color w:val="0000FF"/>
        </w:rPr>
        <w:t>Banking Federation of the European Union</w:t>
      </w:r>
      <w:r>
        <w:rPr>
          <w:rFonts w:ascii="Times New Roman" w:cs="Times New Roman" w:eastAsia="Times New Roman" w:hAnsi="Times New Roman"/>
          <w:sz w:val="19"/>
          <w:szCs w:val="19"/>
          <w:color w:val="auto"/>
        </w:rPr>
        <w:t xml:space="preserve"> (or any other Person that takes over the administration of such rate) for </w:t>
      </w:r>
      <w:r>
        <w:rPr>
          <w:rFonts w:ascii="Times New Roman" w:cs="Times New Roman" w:eastAsia="Times New Roman" w:hAnsi="Times New Roman"/>
          <w:sz w:val="19"/>
          <w:szCs w:val="19"/>
          <w:color w:val="FF0000"/>
          <w:strike w:val="1"/>
        </w:rPr>
        <w:t>Dollars</w:t>
      </w:r>
      <w:r>
        <w:rPr>
          <w:rFonts w:ascii="Times New Roman" w:cs="Times New Roman" w:eastAsia="Times New Roman" w:hAnsi="Times New Roman"/>
          <w:sz w:val="19"/>
          <w:szCs w:val="19"/>
          <w:u w:val="single" w:color="auto"/>
          <w:color w:val="0000FF"/>
        </w:rPr>
        <w:t>Euros</w:t>
      </w:r>
      <w:r>
        <w:rPr>
          <w:rFonts w:ascii="Times New Roman" w:cs="Times New Roman" w:eastAsia="Times New Roman" w:hAnsi="Times New Roman"/>
          <w:sz w:val="19"/>
          <w:szCs w:val="19"/>
          <w:color w:val="auto"/>
        </w:rPr>
        <w:t xml:space="preserve"> for a period equal in length to such Interest Period as displayed on page</w:t>
      </w:r>
      <w:r>
        <w:rPr>
          <w:rFonts w:ascii="Times New Roman" w:cs="Times New Roman" w:eastAsia="Times New Roman" w:hAnsi="Times New Roman"/>
          <w:sz w:val="19"/>
          <w:szCs w:val="19"/>
          <w:color w:val="FF0000"/>
          <w:strike w:val="1"/>
        </w:rPr>
        <w:t>s LIBOR</w:t>
      </w:r>
      <w:r>
        <w:rPr>
          <w:rFonts w:ascii="Times New Roman" w:cs="Times New Roman" w:eastAsia="Times New Roman" w:hAnsi="Times New Roman"/>
          <w:sz w:val="19"/>
          <w:szCs w:val="19"/>
          <w:u w:val="single" w:color="auto"/>
          <w:color w:val="0000FF"/>
        </w:rPr>
        <w:t>EURIBOR</w:t>
      </w:r>
      <w:r>
        <w:rPr>
          <w:rFonts w:ascii="Times New Roman" w:cs="Times New Roman" w:eastAsia="Times New Roman" w:hAnsi="Times New Roman"/>
          <w:sz w:val="19"/>
          <w:szCs w:val="19"/>
          <w:color w:val="auto"/>
        </w:rPr>
        <w:t xml:space="preserve">01 </w:t>
      </w:r>
      <w:r>
        <w:rPr>
          <w:rFonts w:ascii="Times New Roman" w:cs="Times New Roman" w:eastAsia="Times New Roman" w:hAnsi="Times New Roman"/>
          <w:sz w:val="19"/>
          <w:szCs w:val="19"/>
          <w:color w:val="FF0000"/>
          <w:strike w:val="1"/>
        </w:rPr>
        <w:t>or LIBOR02</w:t>
      </w:r>
      <w:r>
        <w:rPr>
          <w:rFonts w:ascii="Times New Roman" w:cs="Times New Roman" w:eastAsia="Times New Roman" w:hAnsi="Times New Roman"/>
          <w:sz w:val="19"/>
          <w:szCs w:val="19"/>
          <w:color w:val="auto"/>
        </w:rPr>
        <w:t xml:space="preserve"> of the Reuters </w:t>
      </w:r>
      <w:r>
        <w:rPr>
          <w:rFonts w:ascii="Times New Roman" w:cs="Times New Roman" w:eastAsia="Times New Roman" w:hAnsi="Times New Roman"/>
          <w:sz w:val="19"/>
          <w:szCs w:val="19"/>
          <w:color w:val="FF0000"/>
          <w:strike w:val="1"/>
        </w:rPr>
        <w:t>S</w:t>
      </w:r>
      <w:r>
        <w:rPr>
          <w:rFonts w:ascii="Times New Roman" w:cs="Times New Roman" w:eastAsia="Times New Roman" w:hAnsi="Times New Roman"/>
          <w:sz w:val="19"/>
          <w:szCs w:val="19"/>
          <w:u w:val="single" w:color="auto"/>
          <w:color w:val="0000FF"/>
        </w:rPr>
        <w:t>s</w:t>
      </w:r>
      <w:r>
        <w:rPr>
          <w:rFonts w:ascii="Times New Roman" w:cs="Times New Roman" w:eastAsia="Times New Roman" w:hAnsi="Times New Roman"/>
          <w:sz w:val="19"/>
          <w:szCs w:val="19"/>
          <w:color w:val="auto"/>
        </w:rPr>
        <w:t xml:space="preserve">creen </w:t>
      </w:r>
      <w:r>
        <w:rPr>
          <w:rFonts w:ascii="Times New Roman" w:cs="Times New Roman" w:eastAsia="Times New Roman" w:hAnsi="Times New Roman"/>
          <w:sz w:val="19"/>
          <w:szCs w:val="19"/>
          <w:color w:val="FF0000"/>
        </w:rPr>
        <w:t>that displays such rate</w:t>
      </w:r>
      <w:r>
        <w:rPr>
          <w:rFonts w:ascii="Times New Roman" w:cs="Times New Roman" w:eastAsia="Times New Roman" w:hAnsi="Times New Roman"/>
          <w:sz w:val="19"/>
          <w:szCs w:val="19"/>
          <w:color w:val="auto"/>
        </w:rPr>
        <w:t xml:space="preserve"> (or, in the event such rate does not appear on </w:t>
      </w:r>
      <w:r>
        <w:rPr>
          <w:rFonts w:ascii="Times New Roman" w:cs="Times New Roman" w:eastAsia="Times New Roman" w:hAnsi="Times New Roman"/>
          <w:sz w:val="19"/>
          <w:szCs w:val="19"/>
          <w:color w:val="FF0000"/>
          <w:strike w:val="1"/>
        </w:rPr>
        <w:t>a</w:t>
      </w:r>
      <w:r>
        <w:rPr>
          <w:rFonts w:ascii="Times New Roman" w:cs="Times New Roman" w:eastAsia="Times New Roman" w:hAnsi="Times New Roman"/>
          <w:sz w:val="19"/>
          <w:szCs w:val="19"/>
          <w:u w:val="single" w:color="auto"/>
          <w:color w:val="0000FF"/>
        </w:rPr>
        <w:t>such</w:t>
      </w:r>
      <w:r>
        <w:rPr>
          <w:rFonts w:ascii="Times New Roman" w:cs="Times New Roman" w:eastAsia="Times New Roman" w:hAnsi="Times New Roman"/>
          <w:sz w:val="19"/>
          <w:szCs w:val="19"/>
          <w:color w:val="auto"/>
        </w:rPr>
        <w:t xml:space="preserve"> Reuters page </w:t>
      </w:r>
      <w:r>
        <w:rPr>
          <w:rFonts w:ascii="Times New Roman" w:cs="Times New Roman" w:eastAsia="Times New Roman" w:hAnsi="Times New Roman"/>
          <w:sz w:val="19"/>
          <w:szCs w:val="19"/>
          <w:color w:val="FF0000"/>
        </w:rPr>
        <w:t>or screen</w:t>
      </w:r>
      <w:r>
        <w:rPr>
          <w:rFonts w:ascii="Times New Roman" w:cs="Times New Roman" w:eastAsia="Times New Roman" w:hAnsi="Times New Roman"/>
          <w:sz w:val="19"/>
          <w:szCs w:val="19"/>
          <w:color w:val="auto"/>
        </w:rPr>
        <w:t>, on any successor or substitute page on such screen that displays such rate, or on the appropriate page of such other information service that publishes such rate from time to time as selected by the Administrative Agent in its reasonable discretion; in each case, the “</w:t>
      </w:r>
      <w:r>
        <w:rPr>
          <w:rFonts w:ascii="Times New Roman" w:cs="Times New Roman" w:eastAsia="Times New Roman" w:hAnsi="Times New Roman"/>
          <w:sz w:val="19"/>
          <w:szCs w:val="19"/>
          <w:u w:val="single" w:color="auto"/>
          <w:color w:val="0000FF"/>
        </w:rPr>
        <w:t>EURIBOR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Screen Rate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at approximately 11:00 A.M., London time, two Business Days prior to the commencement of</w:t>
      </w:r>
      <w:r>
        <w:rPr>
          <w:rFonts w:ascii="Times New Roman" w:cs="Times New Roman" w:eastAsia="Times New Roman" w:hAnsi="Times New Roman"/>
          <w:sz w:val="19"/>
          <w:szCs w:val="19"/>
          <w:u w:val="single" w:color="auto"/>
          <w:color w:val="0000FF"/>
        </w:rPr>
        <w:t>as of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Specified Time on the Quotation Day for such Interest Period, (b) with respect to any Eurocurrency Loan denominated in Australian Dollars for any Interest Period, the average bid reference rate as administered by the Australian Financial Markets Association (or any other Person that takes over the administration of such rate) for Australian Dollar bills of exchange with a tenor equal in length to such Interest Period as displayed on page BBSY of the Reuters screen (or, in the event such rate does not appear on such Reuters page, on any successor or substitute page on such screen that displays such rate, or on the appropriate page of such other information service that publishes such rate from time to time as selected by the Administrative Agent in its reasonable discretion; in each case, the “BBSY Screen Rate”) as of the Specified Time on the Quotation Day for such Interest Period, (c) with respect to any Eurocurrency Loan denominated in Singapore Dollars for any Interest Period, the rate administered by the Association of Banks in Singapore (or any other Person that takes over the administration of such rate) for deposits in Singapore Dollars for a period equal in length to such Interest Period as displayed on page SIBOR of the Reuters screen (or, in the event such rate does not appear on such Reuters page, on any successor or substitute page on such screen that displays such rate, or on the appropriate page of such other information service that publishes such rate from time to time as selected by the Administrative Agent in its reasonable discretion; in each case, the “SIBOR Screen Rate”) as of the Specified Time on the Quotation Day for such Interest Period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3876040</wp:posOffset>
            </wp:positionH>
            <wp:positionV relativeFrom="paragraph">
              <wp:posOffset>-2249170</wp:posOffset>
            </wp:positionV>
            <wp:extent cx="11760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76020" cy="889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-2103120</wp:posOffset>
            </wp:positionV>
            <wp:extent cx="4883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ind w:right="80" w:firstLine="8"/>
        <w:spacing w:after="0" w:line="241" w:lineRule="auto"/>
        <w:tabs>
          <w:tab w:leader="none" w:pos="280" w:val="left"/>
        </w:tabs>
        <w:numPr>
          <w:ilvl w:val="0"/>
          <w:numId w:val="56"/>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with respect to any Eurocurrency Loan (other than any Eurocurrency Loan denominated in Euros, Australian Dollars or Singapore Dollars), the London interbank offered rate as administered by the ICE Benchmark Administration (or any other Person that takes over the administration of such rate) for deposits in the relevant currency for a period equal in length to such Interest Period as displayed on pages LIBOR01 or LIBOR02 of the Reuters screen that displays such rate (or, in the event such rate does not appear on either of such Reuters pages, on any successor or substitute page on such screen that displays</w:t>
      </w:r>
    </w:p>
    <w:p>
      <w:pPr>
        <w:sectPr>
          <w:pgSz w:w="11900" w:h="16838" w:orient="portrait"/>
          <w:cols w:equalWidth="0" w:num="1">
            <w:col w:w="11420"/>
          </w:cols>
          <w:pgMar w:left="240" w:top="409" w:right="2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w:t>
      </w:r>
    </w:p>
    <w:p>
      <w:pPr>
        <w:spacing w:after="0" w:line="238"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0"/>
          <w:szCs w:val="20"/>
          <w:u w:val="single" w:color="auto"/>
          <w:color w:val="0000FF"/>
        </w:rPr>
        <w:t xml:space="preserve">such rate, or on the appropriate page of such other information service that publishes such rate from time to time as selected by the Administrative Agent in its reasonable discretion; in each case the “LIBOR Screen Rate”) as of the Specified Time on the Quotation Day for </w:t>
      </w:r>
      <w:r>
        <w:rPr>
          <w:rFonts w:ascii="Times New Roman" w:cs="Times New Roman" w:eastAsia="Times New Roman" w:hAnsi="Times New Roman"/>
          <w:sz w:val="20"/>
          <w:szCs w:val="20"/>
          <w:color w:val="000000"/>
        </w:rPr>
        <w:t xml:space="preserve">such Interest Period;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if the </w:t>
      </w:r>
      <w:r>
        <w:rPr>
          <w:rFonts w:ascii="Times New Roman" w:cs="Times New Roman" w:eastAsia="Times New Roman" w:hAnsi="Times New Roman"/>
          <w:sz w:val="20"/>
          <w:szCs w:val="20"/>
          <w:color w:val="FF0000"/>
          <w:strike w:val="1"/>
        </w:rPr>
        <w:t>Screen</w:t>
      </w:r>
      <w:r>
        <w:rPr>
          <w:rFonts w:ascii="Times New Roman" w:cs="Times New Roman" w:eastAsia="Times New Roman" w:hAnsi="Times New Roman"/>
          <w:sz w:val="20"/>
          <w:szCs w:val="20"/>
          <w:u w:val="single" w:color="auto"/>
          <w:color w:val="0000FF"/>
        </w:rPr>
        <w:t>applicable Screen Rate is less than zero, such rate shall be deemed to be zero for purposes of</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this Agreement; provided, further, that if the applicable Screen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Rate shall not be available at such time for such Interest Period (an “</w:t>
      </w:r>
      <w:r>
        <w:rPr>
          <w:rFonts w:ascii="Times New Roman" w:cs="Times New Roman" w:eastAsia="Times New Roman" w:hAnsi="Times New Roman"/>
          <w:sz w:val="20"/>
          <w:szCs w:val="20"/>
          <w:u w:val="single" w:color="auto"/>
          <w:color w:val="000000"/>
        </w:rPr>
        <w:t>Impacted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Interest Period</w:t>
      </w:r>
      <w:r>
        <w:rPr>
          <w:rFonts w:ascii="Times New Roman" w:cs="Times New Roman" w:eastAsia="Times New Roman" w:hAnsi="Times New Roman"/>
          <w:sz w:val="20"/>
          <w:szCs w:val="20"/>
          <w:color w:val="000000"/>
        </w:rPr>
        <w:t xml:space="preserve">”) with respect to </w:t>
      </w:r>
      <w:r>
        <w:rPr>
          <w:rFonts w:ascii="Times New Roman" w:cs="Times New Roman" w:eastAsia="Times New Roman" w:hAnsi="Times New Roman"/>
          <w:sz w:val="20"/>
          <w:szCs w:val="20"/>
          <w:color w:val="FF0000"/>
          <w:strike w:val="1"/>
        </w:rPr>
        <w:t>Dollars</w:t>
      </w:r>
      <w:r>
        <w:rPr>
          <w:rFonts w:ascii="Times New Roman" w:cs="Times New Roman" w:eastAsia="Times New Roman" w:hAnsi="Times New Roman"/>
          <w:sz w:val="20"/>
          <w:szCs w:val="20"/>
          <w:u w:val="single" w:color="auto"/>
          <w:color w:val="0000FF"/>
        </w:rPr>
        <w:t>the relevant currency (the “Impacted Currency”)</w:t>
      </w:r>
      <w:r>
        <w:rPr>
          <w:rFonts w:ascii="Times New Roman" w:cs="Times New Roman" w:eastAsia="Times New Roman" w:hAnsi="Times New Roman"/>
          <w:sz w:val="20"/>
          <w:szCs w:val="20"/>
          <w:color w:val="000000"/>
        </w:rPr>
        <w:t xml:space="preserve">, then the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000000"/>
        </w:rPr>
        <w:t xml:space="preserve"> Base Rate shall be the Interpolated Rate at such time</w:t>
      </w:r>
      <w:r>
        <w:rPr>
          <w:rFonts w:ascii="Times New Roman" w:cs="Times New Roman" w:eastAsia="Times New Roman" w:hAnsi="Times New Roman"/>
          <w:sz w:val="20"/>
          <w:szCs w:val="20"/>
          <w:color w:val="DE1A1E"/>
          <w:strike w:val="1"/>
        </w:rPr>
        <w: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FF0000"/>
        </w:rPr>
        <w:t>provided</w:t>
      </w:r>
      <w:r>
        <w:rPr>
          <w:rFonts w:ascii="Times New Roman" w:cs="Times New Roman" w:eastAsia="Times New Roman" w:hAnsi="Times New Roman"/>
          <w:sz w:val="20"/>
          <w:szCs w:val="20"/>
          <w:color w:val="FF0000"/>
        </w:rPr>
        <w: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FF0000"/>
        </w:rPr>
        <w:t>further</w:t>
      </w:r>
      <w:r>
        <w:rPr>
          <w:rFonts w:ascii="Times New Roman" w:cs="Times New Roman" w:eastAsia="Times New Roman" w:hAnsi="Times New Roman"/>
          <w:sz w:val="20"/>
          <w:szCs w:val="20"/>
          <w:color w:val="FF0000"/>
        </w:rPr>
        <w:t>, that if the Screen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008000"/>
          <w:strike w:val="1"/>
        </w:rPr>
        <w:t>Rate shall be less than zero, such rate shall be deemed to be zero for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008000"/>
          <w:strike w:val="1"/>
        </w:rPr>
        <w:t>purposes of this Agreement</w:t>
      </w:r>
      <w:r>
        <w:rPr>
          <w:rFonts w:ascii="Times New Roman" w:cs="Times New Roman" w:eastAsia="Times New Roman" w:hAnsi="Times New Roman"/>
          <w:sz w:val="20"/>
          <w:szCs w:val="20"/>
          <w:color w:val="FF0000"/>
          <w:strike w:val="1"/>
        </w:rPr>
        <w:t>. “</w:t>
      </w:r>
      <w:r>
        <w:rPr>
          <w:rFonts w:ascii="Times New Roman" w:cs="Times New Roman" w:eastAsia="Times New Roman" w:hAnsi="Times New Roman"/>
          <w:sz w:val="20"/>
          <w:szCs w:val="20"/>
          <w:u w:val="single" w:color="auto"/>
          <w:color w:val="FF0000"/>
          <w:strike w:val="1"/>
        </w:rPr>
        <w:t>Interpolated Rate</w:t>
      </w:r>
      <w:r>
        <w:rPr>
          <w:rFonts w:ascii="Times New Roman" w:cs="Times New Roman" w:eastAsia="Times New Roman" w:hAnsi="Times New Roman"/>
          <w:sz w:val="20"/>
          <w:szCs w:val="20"/>
          <w:color w:val="FF0000"/>
          <w:strike w:val="1"/>
        </w:rPr>
        <w:t>” means, at any time, the rate per annum</w:t>
      </w:r>
      <w:r>
        <w:rPr>
          <w:rFonts w:ascii="Times New Roman" w:cs="Times New Roman" w:eastAsia="Times New Roman" w:hAnsi="Times New Roman"/>
          <w:sz w:val="20"/>
          <w:szCs w:val="20"/>
          <w:color w:val="008000"/>
          <w:strike w:val="1"/>
        </w:rPr>
        <w:t xml:space="preserve"> determined by the Administrative Agent (which determination shall be conclusive and binding absent manifest error) to be equal to the rate that results from interpolating on a linear basis between: (a) the Screen Rate for the longest period </w:t>
      </w:r>
      <w:r>
        <w:rPr>
          <w:rFonts w:ascii="Times New Roman" w:cs="Times New Roman" w:eastAsia="Times New Roman" w:hAnsi="Times New Roman"/>
          <w:sz w:val="20"/>
          <w:szCs w:val="20"/>
          <w:color w:val="FF0000"/>
          <w:strike w:val="1"/>
        </w:rPr>
        <w:t>(for which that Screen Rate is available in Dollars)</w:t>
      </w:r>
      <w:r>
        <w:rPr>
          <w:rFonts w:ascii="Times New Roman" w:cs="Times New Roman" w:eastAsia="Times New Roman" w:hAnsi="Times New Roman"/>
          <w:sz w:val="20"/>
          <w:szCs w:val="20"/>
          <w:color w:val="008000"/>
          <w:strike w:val="1"/>
        </w:rPr>
        <w:t xml:space="preserve"> that is shorter than the Impacted Interest Period and (b) the Screen Rate for the shortest period </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008000"/>
          <w:strike w:val="1"/>
        </w:rPr>
        <w:t xml:space="preserve">for which that Screen Rate is available for </w:t>
      </w:r>
      <w:r>
        <w:rPr>
          <w:rFonts w:ascii="Times New Roman" w:cs="Times New Roman" w:eastAsia="Times New Roman" w:hAnsi="Times New Roman"/>
          <w:sz w:val="20"/>
          <w:szCs w:val="20"/>
          <w:color w:val="FF0000"/>
          <w:strike w:val="1"/>
        </w:rPr>
        <w:t>Dollars) that exceeds</w:t>
      </w:r>
      <w:r>
        <w:rPr>
          <w:rFonts w:ascii="Times New Roman" w:cs="Times New Roman" w:eastAsia="Times New Roman" w:hAnsi="Times New Roman"/>
          <w:sz w:val="20"/>
          <w:szCs w:val="20"/>
          <w:color w:val="008000"/>
          <w:strike w:val="1"/>
        </w:rPr>
        <w:t xml:space="preserve"> the Impacted Interest Period, in each case, </w:t>
      </w:r>
      <w:r>
        <w:rPr>
          <w:rFonts w:ascii="Times New Roman" w:cs="Times New Roman" w:eastAsia="Times New Roman" w:hAnsi="Times New Roman"/>
          <w:sz w:val="20"/>
          <w:szCs w:val="20"/>
          <w:color w:val="FF0000"/>
          <w:strike w:val="1"/>
        </w:rPr>
        <w:t>at such time,</w:t>
      </w:r>
      <w:r>
        <w:rPr>
          <w:rFonts w:ascii="Times New Roman" w:cs="Times New Roman" w:eastAsia="Times New Roman" w:hAnsi="Times New Roman"/>
          <w:sz w:val="20"/>
          <w:szCs w:val="20"/>
          <w:u w:val="single" w:color="auto"/>
          <w:color w:val="0000FF"/>
          <w:strike w:val="1"/>
        </w:rPr>
        <w:t>(</w:t>
      </w:r>
      <w:r>
        <w:rPr>
          <w:rFonts w:ascii="Times New Roman" w:cs="Times New Roman" w:eastAsia="Times New Roman" w:hAnsi="Times New Roman"/>
          <w:sz w:val="20"/>
          <w:szCs w:val="20"/>
          <w:color w:val="000000"/>
          <w:strike w:val="1"/>
        </w:rPr>
        <w:t>provided that if the Interpolated Rate shall be less than zero, such rate shall be deemed to be zero for</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color w:val="000000"/>
          <w:strike w:val="1"/>
        </w:rPr>
        <w:t>purposes of this Agreement</w:t>
      </w:r>
      <w:r>
        <w:rPr>
          <w:rFonts w:ascii="Times New Roman" w:cs="Times New Roman" w:eastAsia="Times New Roman" w:hAnsi="Times New Roman"/>
          <w:sz w:val="20"/>
          <w:szCs w:val="20"/>
          <w:u w:val="single" w:color="auto"/>
          <w:color w:val="0000FF"/>
          <w:strike w:val="1"/>
        </w:rPr>
        <w:t>); provided, further, that all of the foregoing shall be subject to Section 2.11(a)</w:t>
      </w:r>
      <w:r>
        <w:rPr>
          <w:rFonts w:ascii="Times New Roman" w:cs="Times New Roman" w:eastAsia="Times New Roman" w:hAnsi="Times New Roman"/>
          <w:sz w:val="20"/>
          <w:szCs w:val="20"/>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1764030</wp:posOffset>
            </wp:positionH>
            <wp:positionV relativeFrom="paragraph">
              <wp:posOffset>-945515</wp:posOffset>
            </wp:positionV>
            <wp:extent cx="176911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69110" cy="8890"/>
                    </a:xfrm>
                    <a:prstGeom prst="rect">
                      <a:avLst/>
                    </a:prstGeom>
                    <a:noFill/>
                  </pic:spPr>
                </pic:pic>
              </a:graphicData>
            </a:graphic>
          </wp:anchor>
        </w:drawing>
      </w:r>
    </w:p>
    <w:p>
      <w:pPr>
        <w:spacing w:after="0" w:line="168" w:lineRule="exact"/>
        <w:rPr>
          <w:sz w:val="20"/>
          <w:szCs w:val="20"/>
          <w:color w:val="auto"/>
        </w:rPr>
      </w:pPr>
    </w:p>
    <w:p>
      <w:pPr>
        <w:ind w:right="120" w:firstLine="1027"/>
        <w:spacing w:after="0" w:line="247" w:lineRule="auto"/>
        <w:rPr>
          <w:sz w:val="20"/>
          <w:szCs w:val="20"/>
          <w:color w:val="auto"/>
        </w:rPr>
      </w:pPr>
      <w:r>
        <w:rPr>
          <w:rFonts w:ascii="Times New Roman" w:cs="Times New Roman" w:eastAsia="Times New Roman" w:hAnsi="Times New Roman"/>
          <w:sz w:val="20"/>
          <w:szCs w:val="20"/>
          <w:u w:val="single" w:color="auto"/>
          <w:color w:val="008000"/>
        </w:rPr>
        <w:t xml:space="preserve">“Eurocurrency Reserve Requirements”: for any day as applied to a </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u w:val="single" w:color="auto"/>
          <w:color w:val="008000"/>
        </w:rPr>
        <w:t xml:space="preserve"> Loan, the aggregate (without duplication) of the maximum rates (expressed as a decimal fraction) of reserve requirements in effect on such day (including basic, supplemental, marginal and emergency reserves) under any regulations of the Board or other Governmental Authority having jurisdiction with respect thereto dealing with reserve requirements prescribed for eurocurrency funding (currently referred to as “Eurocurrency Liabilities” in Regulation D of the Board) maintained by a member bank of the Federal Reserve System.</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xml:space="preserve">”: Loans the rate of interest applicable to which is based upon the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Rate.</w:t>
      </w:r>
    </w:p>
    <w:p>
      <w:pPr>
        <w:spacing w:after="0" w:line="216" w:lineRule="exact"/>
        <w:rPr>
          <w:sz w:val="20"/>
          <w:szCs w:val="20"/>
          <w:color w:val="auto"/>
        </w:rPr>
      </w:pPr>
    </w:p>
    <w:p>
      <w:pPr>
        <w:ind w:right="50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Rate</w:t>
      </w:r>
      <w:r>
        <w:rPr>
          <w:rFonts w:ascii="Times New Roman" w:cs="Times New Roman" w:eastAsia="Times New Roman" w:hAnsi="Times New Roman"/>
          <w:sz w:val="20"/>
          <w:szCs w:val="20"/>
          <w:color w:val="auto"/>
        </w:rPr>
        <w:t xml:space="preserve">”: with respect to each day during each Interest Period pertaining to a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 a rate per annum determined for such day in accordance with the following formula: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13970</wp:posOffset>
            </wp:positionV>
            <wp:extent cx="2898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1.00 - Eurocurrency Reserve Requirements</w:t>
      </w:r>
    </w:p>
    <w:p>
      <w:pPr>
        <w:spacing w:after="0" w:line="200" w:lineRule="exact"/>
        <w:rPr>
          <w:sz w:val="20"/>
          <w:szCs w:val="20"/>
          <w:color w:val="auto"/>
        </w:rPr>
      </w:pPr>
    </w:p>
    <w:p>
      <w:pPr>
        <w:ind w:right="16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Tranche</w:t>
      </w:r>
      <w:r>
        <w:rPr>
          <w:rFonts w:ascii="Times New Roman" w:cs="Times New Roman" w:eastAsia="Times New Roman" w:hAnsi="Times New Roman"/>
          <w:sz w:val="20"/>
          <w:szCs w:val="20"/>
          <w:color w:val="auto"/>
        </w:rPr>
        <w:t xml:space="preserve">”: the collective reference to </w:t>
      </w:r>
      <w:r>
        <w:rPr>
          <w:rFonts w:ascii="Times New Roman" w:cs="Times New Roman" w:eastAsia="Times New Roman" w:hAnsi="Times New Roman"/>
          <w:sz w:val="20"/>
          <w:szCs w:val="20"/>
          <w:color w:val="FF0000"/>
          <w:strike w:val="1"/>
        </w:rPr>
        <w:t>Eurodollar Loans</w:t>
      </w:r>
      <w:r>
        <w:rPr>
          <w:rFonts w:ascii="Times New Roman" w:cs="Times New Roman" w:eastAsia="Times New Roman" w:hAnsi="Times New Roman"/>
          <w:sz w:val="20"/>
          <w:szCs w:val="20"/>
          <w:u w:val="single" w:color="auto"/>
          <w:color w:val="0000FF"/>
        </w:rPr>
        <w:t>Eurocurrency Loans denominated in a single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currency and as to which</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then current Interest Periods with respect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to all of which</w:t>
      </w:r>
      <w:r>
        <w:rPr>
          <w:rFonts w:ascii="Times New Roman" w:cs="Times New Roman" w:eastAsia="Times New Roman" w:hAnsi="Times New Roman"/>
          <w:sz w:val="20"/>
          <w:szCs w:val="20"/>
          <w:u w:val="single" w:color="auto"/>
          <w:color w:val="0000FF"/>
        </w:rPr>
        <w:t>thereto</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begin on the same date and end on the same later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date (whether or not such Loans shall originally have been made on the same day).</w:t>
      </w:r>
    </w:p>
    <w:p>
      <w:pPr>
        <w:spacing w:after="0" w:line="175" w:lineRule="exact"/>
        <w:rPr>
          <w:sz w:val="20"/>
          <w:szCs w:val="20"/>
          <w:color w:val="auto"/>
        </w:rPr>
      </w:pPr>
    </w:p>
    <w:p>
      <w:pPr>
        <w:ind w:right="30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any of the events specified in Section 8,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requirement for the giving of notice, the lapse of time, or both, has been satisfied.</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the Securities Exchange Act of 1934, as amended.</w:t>
      </w:r>
    </w:p>
    <w:p>
      <w:pPr>
        <w:spacing w:after="0" w:line="216" w:lineRule="exact"/>
        <w:rPr>
          <w:sz w:val="20"/>
          <w:szCs w:val="20"/>
          <w:color w:val="auto"/>
        </w:rPr>
      </w:pPr>
    </w:p>
    <w:p>
      <w:pPr>
        <w:ind w:right="20" w:firstLine="102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Rate</w:t>
      </w:r>
      <w:r>
        <w:rPr>
          <w:rFonts w:ascii="Times New Roman" w:cs="Times New Roman" w:eastAsia="Times New Roman" w:hAnsi="Times New Roman"/>
          <w:sz w:val="20"/>
          <w:szCs w:val="20"/>
          <w:color w:val="auto"/>
        </w:rPr>
        <w:t xml:space="preserve">”: for any day with respect to any currency (other than Dollars), the rate at which such currency may be exchanged into Dollars </w:t>
      </w:r>
      <w:r>
        <w:rPr>
          <w:rFonts w:ascii="Times New Roman" w:cs="Times New Roman" w:eastAsia="Times New Roman" w:hAnsi="Times New Roman"/>
          <w:sz w:val="20"/>
          <w:szCs w:val="20"/>
          <w:color w:val="0000FF"/>
        </w:rPr>
        <w:t>in the London foreign exchange market for delivery two Business Days later (or, with respect to Pounds Sterling, such 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Business Day as the Administrative Agent shall reasonably deem applicable with respect to such currency)</w:t>
      </w:r>
      <w:r>
        <w:rPr>
          <w:rFonts w:ascii="Times New Roman" w:cs="Times New Roman" w:eastAsia="Times New Roman" w:hAnsi="Times New Roman"/>
          <w:sz w:val="20"/>
          <w:szCs w:val="20"/>
          <w:color w:val="000000"/>
        </w:rPr>
        <w:t>, as set forth at 11:00 A.M., London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time, on such day on the applicable Reuters </w:t>
      </w:r>
      <w:r>
        <w:rPr>
          <w:rFonts w:ascii="Times New Roman" w:cs="Times New Roman" w:eastAsia="Times New Roman" w:hAnsi="Times New Roman"/>
          <w:sz w:val="20"/>
          <w:szCs w:val="20"/>
          <w:color w:val="FF0000"/>
          <w:strike w:val="1"/>
        </w:rPr>
        <w:t>currency</w:t>
      </w:r>
      <w:r>
        <w:rPr>
          <w:rFonts w:ascii="Times New Roman" w:cs="Times New Roman" w:eastAsia="Times New Roman" w:hAnsi="Times New Roman"/>
          <w:sz w:val="20"/>
          <w:szCs w:val="20"/>
          <w:u w:val="single" w:color="auto"/>
          <w:color w:val="0000FF"/>
        </w:rPr>
        <w:t>WRLD</w:t>
      </w:r>
      <w:r>
        <w:rPr>
          <w:rFonts w:ascii="Times New Roman" w:cs="Times New Roman" w:eastAsia="Times New Roman" w:hAnsi="Times New Roman"/>
          <w:sz w:val="20"/>
          <w:szCs w:val="20"/>
          <w:color w:val="000000"/>
        </w:rPr>
        <w:t xml:space="preserve"> page </w:t>
      </w:r>
      <w:r>
        <w:rPr>
          <w:rFonts w:ascii="Times New Roman" w:cs="Times New Roman" w:eastAsia="Times New Roman" w:hAnsi="Times New Roman"/>
          <w:sz w:val="20"/>
          <w:szCs w:val="20"/>
          <w:u w:val="single" w:color="auto"/>
          <w:color w:val="0000FF"/>
        </w:rPr>
        <w:t>(or equivalent)</w:t>
      </w:r>
      <w:r>
        <w:rPr>
          <w:rFonts w:ascii="Times New Roman" w:cs="Times New Roman" w:eastAsia="Times New Roman" w:hAnsi="Times New Roman"/>
          <w:sz w:val="20"/>
          <w:szCs w:val="20"/>
          <w:color w:val="000000"/>
        </w:rPr>
        <w:t xml:space="preserve"> with respect to such currency. In the event that such rate does not appear on the applicable Reuters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-444500</wp:posOffset>
            </wp:positionV>
            <wp:extent cx="62687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-470535</wp:posOffset>
            </wp:positionV>
            <wp:extent cx="62706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70625" cy="88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09" w:name="page110"/>
    <w:bookmarkEnd w:id="109"/>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w:t>
      </w:r>
    </w:p>
    <w:p>
      <w:pPr>
        <w:spacing w:after="0" w:line="21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FF0000"/>
          <w:strike w:val="1"/>
        </w:rPr>
        <w:t>currency</w:t>
      </w:r>
      <w:r>
        <w:rPr>
          <w:rFonts w:ascii="Times New Roman" w:cs="Times New Roman" w:eastAsia="Times New Roman" w:hAnsi="Times New Roman"/>
          <w:sz w:val="20"/>
          <w:szCs w:val="20"/>
          <w:u w:val="single" w:color="auto"/>
          <w:color w:val="0000FF"/>
        </w:rPr>
        <w:t>WRLD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page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FF"/>
        </w:rPr>
        <w:t>(or equivalent)</w:t>
      </w:r>
      <w:r>
        <w:rPr>
          <w:rFonts w:ascii="Times New Roman" w:cs="Times New Roman" w:eastAsia="Times New Roman" w:hAnsi="Times New Roman"/>
          <w:sz w:val="20"/>
          <w:szCs w:val="20"/>
          <w:color w:val="000000"/>
        </w:rPr>
        <w:t>, the Exchange Rate with respect to such currency shall be determined by reference to such other publicly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available service for displaying exchange rates as may be agreed upon by the Administrative Agent and the Borrower or, in the absence of such agreement, such Exchange Rate shall instead be the spot rate of exchange of the Administrative Agent in the London </w:t>
      </w:r>
      <w:r>
        <w:rPr>
          <w:rFonts w:ascii="Times New Roman" w:cs="Times New Roman" w:eastAsia="Times New Roman" w:hAnsi="Times New Roman"/>
          <w:sz w:val="20"/>
          <w:szCs w:val="20"/>
          <w:color w:val="FF0000"/>
          <w:strike w:val="1"/>
        </w:rPr>
        <w:t>I</w:t>
      </w:r>
      <w:r>
        <w:rPr>
          <w:rFonts w:ascii="Times New Roman" w:cs="Times New Roman" w:eastAsia="Times New Roman" w:hAnsi="Times New Roman"/>
          <w:sz w:val="20"/>
          <w:szCs w:val="20"/>
          <w:u w:val="single" w:color="auto"/>
          <w:color w:val="0000FF"/>
        </w:rPr>
        <w:t>i</w:t>
      </w:r>
      <w:r>
        <w:rPr>
          <w:rFonts w:ascii="Times New Roman" w:cs="Times New Roman" w:eastAsia="Times New Roman" w:hAnsi="Times New Roman"/>
          <w:sz w:val="20"/>
          <w:szCs w:val="20"/>
          <w:color w:val="000000"/>
        </w:rPr>
        <w:t xml:space="preserve">nterbank market or other market where its foreign currency exchange operations in respect of such currency are then being conducted, at or about 11:00 A.M., London time, on such day for the purchase of Dollars with such currency, for delivery two Business Days later </w:t>
      </w:r>
      <w:r>
        <w:rPr>
          <w:rFonts w:ascii="Times New Roman" w:cs="Times New Roman" w:eastAsia="Times New Roman" w:hAnsi="Times New Roman"/>
          <w:sz w:val="20"/>
          <w:szCs w:val="20"/>
          <w:color w:val="0000FF"/>
        </w:rPr>
        <w:t>(or, with respect to Pounds Sterling, such</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other Business Day as the Administrative Agent shall reasonably deem applicable with respect to such currency)</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however</w:t>
      </w:r>
      <w:r>
        <w:rPr>
          <w:rFonts w:ascii="Times New Roman" w:cs="Times New Roman" w:eastAsia="Times New Roman" w:hAnsi="Times New Roman"/>
          <w:sz w:val="20"/>
          <w:szCs w:val="20"/>
          <w:color w:val="000000"/>
        </w:rPr>
        <w:t>, that if at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time of any such determination, for any reason, no such spot rate is being quoted, the Administrative Agent may use any method it reasonably deems appropriate to determine such rate, and such determination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-1013460</wp:posOffset>
            </wp:positionV>
            <wp:extent cx="7715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-1047750</wp:posOffset>
            </wp:positionV>
            <wp:extent cx="774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0" cy="889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-430530</wp:posOffset>
            </wp:positionV>
            <wp:extent cx="210121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5145405</wp:posOffset>
            </wp:positionH>
            <wp:positionV relativeFrom="paragraph">
              <wp:posOffset>-464820</wp:posOffset>
            </wp:positionV>
            <wp:extent cx="209994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170" w:lineRule="exact"/>
        <w:rPr>
          <w:sz w:val="20"/>
          <w:szCs w:val="20"/>
          <w:color w:val="auto"/>
        </w:rPr>
      </w:pPr>
    </w:p>
    <w:p>
      <w:pPr>
        <w:ind w:right="4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Foreign Subsidiary</w:t>
      </w:r>
      <w:r>
        <w:rPr>
          <w:rFonts w:ascii="Times New Roman" w:cs="Times New Roman" w:eastAsia="Times New Roman" w:hAnsi="Times New Roman"/>
          <w:sz w:val="20"/>
          <w:szCs w:val="20"/>
          <w:color w:val="auto"/>
        </w:rPr>
        <w:t>”: any Foreign Subsidiary in respect of which either (a) the pledge of all of the Capital Stock of such Subsidiary as Collateral or (b) the guaranteeing by such Subsidiary of the Obligations, would, in the good faith judgment of the Borrower, result in adverse tax consequences to the Borrower.</w:t>
      </w:r>
    </w:p>
    <w:p>
      <w:pPr>
        <w:spacing w:after="0" w:line="175" w:lineRule="exact"/>
        <w:rPr>
          <w:sz w:val="20"/>
          <w:szCs w:val="20"/>
          <w:color w:val="auto"/>
        </w:rPr>
      </w:pPr>
    </w:p>
    <w:p>
      <w:pPr>
        <w:ind w:right="100" w:firstLine="1027"/>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Property</w:t>
      </w:r>
      <w:r>
        <w:rPr>
          <w:rFonts w:ascii="Times New Roman" w:cs="Times New Roman" w:eastAsia="Times New Roman" w:hAnsi="Times New Roman"/>
          <w:sz w:val="20"/>
          <w:szCs w:val="20"/>
          <w:color w:val="auto"/>
        </w:rPr>
        <w:t xml:space="preserve">”: (i) raw land, (ii) real property that is not yet at a stage of development such that it would be classified as In-Process Property, (iii) Time Share Receivables and Related Assets that constitute collateral for the Receivables Warehouse Facility or that secure a Qualified Securitization Transaction, (iv) any property (excluding In-Process Property, Time Share Receivables, residual interests in Qualified Securitization Transactions and any Intercompany Agreement) to the extent that such grant of a security interest in such property is prohibited by any Requirements of Law, requires a consent not obtained of any Governmental Authority pursuant to such Requirement of Law or is prohibited by, or constitutes a breach or default under or results in the termination of, or requires any consent not obtained under, any contract, license, agreement, instrument or other document evidencing or giving rise to such property (provided that at the time such contract, license, agreement, instrument or other document became effective it did not violate Section 7.14) or, in the case of any such property that constitutes Investment Property, Pledged Stock or Pledged Notes, any applicable shareholder or similar agreement (provided that at the time such agreement became effective it did not violate Section 7.14), except to the extent that such Requirement of Law or the term in such contract, license, agreement, instrument or other document or shareholder or similar agreement providing for such prohibition, breach, default or termination or requiring such consent is ineffective under applicable law, (v) any real property (a) with respect to which no management contract exists with any Group Member or (b) to the extent that no Group Member has the contractual right to name the Administrative Agent as an additional insured or loss payee on any insurance policies insuring such real property, as contemplated by Section 6.6(b)(iii), (vi) any Direct-from-Consumer Time Share Interests (other than any Direct-from-Consumer Time Share Interests that the Borrower elects to include in the Borrowing Base as Eligible Time Share Interests pursuant to Section 6.10(c)(iii)), (vii) any other real property (other than In-Process Property, Time Share Receivables or Time Share Interests), if such real property is not subject to a Mortgage as of the Second Amendment </w:t>
      </w:r>
      <w:r>
        <w:rPr>
          <w:rFonts w:ascii="Times New Roman" w:cs="Times New Roman" w:eastAsia="Times New Roman" w:hAnsi="Times New Roman"/>
          <w:sz w:val="20"/>
          <w:szCs w:val="20"/>
          <w:u w:val="single" w:color="auto"/>
          <w:color w:val="0000FF"/>
        </w:rPr>
        <w:t>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Restatement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Effective Date and (viii) the properties listed on Schedule 1.1F hereto.</w:t>
      </w:r>
    </w:p>
    <w:p>
      <w:pPr>
        <w:spacing w:after="0" w:line="192" w:lineRule="exact"/>
        <w:rPr>
          <w:sz w:val="20"/>
          <w:szCs w:val="20"/>
          <w:color w:val="auto"/>
        </w:rPr>
      </w:pPr>
    </w:p>
    <w:p>
      <w:pPr>
        <w:ind w:right="20" w:firstLine="102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with respect to any Guarantor, (a) any Swap Obligation if, and to the extent that, and only for so long as, all or a portion of the guarantee of such Guarantor of, or the grant by such Guarantor of a security interest to secure, as applicable, such Swap Obligation (or any guarantee thereof) is or becomes illegal under the Commodity Exchange Act or any rule, regulation or order of the Commodity Futures Trading Commission (or the application or official interpretation of any thereof) by virtue of such Guarantor’s failure to constitute an “eligible contract participant,” as defined in the Commodity Exchange Act and the regulations thereunder, at the time the guarantee of (or grant of such security interest by, as applicable) such Guarantor becomes or would become effective with respect to such Swap Obligation or (b) any other Swap Obligation designated as an “Excluded Swap Obligation”</w:t>
      </w:r>
    </w:p>
    <w:p>
      <w:pPr>
        <w:sectPr>
          <w:pgSz w:w="11900" w:h="16838" w:orient="portrait"/>
          <w:cols w:equalWidth="0" w:num="1">
            <w:col w:w="11420"/>
          </w:cols>
          <w:pgMar w:left="240" w:top="409" w:right="2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w:t>
      </w:r>
    </w:p>
    <w:p>
      <w:pPr>
        <w:spacing w:after="0" w:line="211"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20"/>
          <w:szCs w:val="20"/>
          <w:color w:val="auto"/>
        </w:rPr>
        <w:t>of such Guarantor as specified in any agreement between the relevant Loan Parties and hedge counterparty applicable to such Swap Obligations, and agreed by the Administrative Agent.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0" w:lineRule="exact"/>
        <w:rPr>
          <w:sz w:val="20"/>
          <w:szCs w:val="20"/>
          <w:color w:val="auto"/>
        </w:rPr>
      </w:pPr>
    </w:p>
    <w:p>
      <w:pPr>
        <w:ind w:right="80" w:firstLine="102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with respect to any payment made by any Loan Party under any Loan Document, any of the following Taxes imposed on or with respect to a Credit Party: (a) income or franchise Taxes imposed on (or measured by) net income by any jurisdiction under the laws of which such Credit Party is organized or in which its principal office is located or, in the case of any Lender, in which its applicable lending office is located, (b) any branch profits Taxes or similar Taxes imposed by any jurisdiction described in clause (a) above and (c) in the case of a Non-U.S. Lender (other than an assignee pursuant to a request by the Borrower under Section 2.17), any U.S. Federal withholding Taxes resulting from any Requirement of Law in effect (including FATCA) on the date such Non-U.S. Lender becomes a party to this Agreement (or designates a new lending office) or is attributable to such Non-U.S. Lender’s failure to comply with Section 2.14(f), except to the extent that such Non-U.S. Lender (or its assignor, if any) was entitled, at the time of designation of a new lending office (or assignment), to receive additional amounts from any Loan Party with respect to such withholding Taxes pursuant to Section 2.14(a).</w:t>
      </w:r>
    </w:p>
    <w:p>
      <w:pPr>
        <w:spacing w:after="0" w:line="187" w:lineRule="exact"/>
        <w:rPr>
          <w:sz w:val="20"/>
          <w:szCs w:val="20"/>
          <w:color w:val="auto"/>
        </w:rPr>
      </w:pPr>
    </w:p>
    <w:p>
      <w:pPr>
        <w:ind w:right="100" w:firstLine="1027"/>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Extensions of Credit</w:t>
      </w:r>
      <w:r>
        <w:rPr>
          <w:rFonts w:ascii="Times New Roman" w:cs="Times New Roman" w:eastAsia="Times New Roman" w:hAnsi="Times New Roman"/>
          <w:sz w:val="19"/>
          <w:szCs w:val="19"/>
          <w:color w:val="auto"/>
        </w:rPr>
        <w:t xml:space="preserve">”: as to any Lender at any time, an amount equal to the sum of (a) the aggregate principal amount of all </w:t>
      </w:r>
      <w:r>
        <w:rPr>
          <w:rFonts w:ascii="Times New Roman" w:cs="Times New Roman" w:eastAsia="Times New Roman" w:hAnsi="Times New Roman"/>
          <w:sz w:val="19"/>
          <w:szCs w:val="19"/>
          <w:u w:val="single" w:color="auto"/>
          <w:color w:val="0000FF"/>
        </w:rPr>
        <w:t>Dollar Loans held by such Lender then outstanding, (b) the Dollar Equivalent of the aggregate principal amount of all Foreign Currency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Loans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held by such Lender then outstanding and (</w:t>
      </w:r>
      <w:r>
        <w:rPr>
          <w:rFonts w:ascii="Times New Roman" w:cs="Times New Roman" w:eastAsia="Times New Roman" w:hAnsi="Times New Roman"/>
          <w:sz w:val="19"/>
          <w:szCs w:val="19"/>
          <w:color w:val="FF0000"/>
          <w:strike w:val="1"/>
        </w:rPr>
        <w:t>b</w:t>
      </w:r>
      <w:r>
        <w:rPr>
          <w:rFonts w:ascii="Times New Roman" w:cs="Times New Roman" w:eastAsia="Times New Roman" w:hAnsi="Times New Roman"/>
          <w:sz w:val="19"/>
          <w:szCs w:val="19"/>
          <w:u w:val="single" w:color="auto"/>
          <w:color w:val="0000FF"/>
        </w:rPr>
        <w:t>c</w:t>
      </w:r>
      <w:r>
        <w:rPr>
          <w:rFonts w:ascii="Times New Roman" w:cs="Times New Roman" w:eastAsia="Times New Roman" w:hAnsi="Times New Roman"/>
          <w:sz w:val="19"/>
          <w:szCs w:val="19"/>
          <w:color w:val="000000"/>
        </w:rPr>
        <w:t xml:space="preserve">) such Lender’s </w:t>
      </w:r>
      <w:r>
        <w:rPr>
          <w:rFonts w:ascii="Times New Roman" w:cs="Times New Roman" w:eastAsia="Times New Roman" w:hAnsi="Times New Roman"/>
          <w:sz w:val="19"/>
          <w:szCs w:val="19"/>
          <w:color w:val="FF0000"/>
          <w:strike w:val="1"/>
        </w:rPr>
        <w:t>Percentage of the</w:t>
      </w:r>
      <w:r>
        <w:rPr>
          <w:rFonts w:ascii="Times New Roman" w:cs="Times New Roman" w:eastAsia="Times New Roman" w:hAnsi="Times New Roman"/>
          <w:sz w:val="19"/>
          <w:szCs w:val="19"/>
          <w:color w:val="000000"/>
        </w:rPr>
        <w:t xml:space="preserve"> L/C </w:t>
      </w:r>
      <w:r>
        <w:rPr>
          <w:rFonts w:ascii="Times New Roman" w:cs="Times New Roman" w:eastAsia="Times New Roman" w:hAnsi="Times New Roman"/>
          <w:sz w:val="19"/>
          <w:szCs w:val="19"/>
          <w:color w:val="FF0000"/>
          <w:strike w:val="1"/>
        </w:rPr>
        <w:t>Obligations</w:t>
      </w:r>
      <w:r>
        <w:rPr>
          <w:rFonts w:ascii="Times New Roman" w:cs="Times New Roman" w:eastAsia="Times New Roman" w:hAnsi="Times New Roman"/>
          <w:sz w:val="19"/>
          <w:szCs w:val="19"/>
          <w:u w:val="single" w:color="auto"/>
          <w:color w:val="0000FF"/>
        </w:rPr>
        <w:t>Participation Amount</w:t>
      </w:r>
      <w:r>
        <w:rPr>
          <w:rFonts w:ascii="Times New Roman" w:cs="Times New Roman" w:eastAsia="Times New Roman" w:hAnsi="Times New Roman"/>
          <w:sz w:val="19"/>
          <w:szCs w:val="19"/>
          <w:color w:val="000000"/>
        </w:rPr>
        <w:t xml:space="preserve"> then outstanding.</w:t>
      </w:r>
    </w:p>
    <w:p>
      <w:pPr>
        <w:spacing w:after="0" w:line="157" w:lineRule="exact"/>
        <w:rPr>
          <w:sz w:val="20"/>
          <w:szCs w:val="20"/>
          <w:color w:val="auto"/>
        </w:rPr>
      </w:pPr>
    </w:p>
    <w:p>
      <w:pPr>
        <w:ind w:right="20" w:firstLine="1027"/>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Commitment</w:t>
      </w:r>
      <w:r>
        <w:rPr>
          <w:rFonts w:ascii="Times New Roman" w:cs="Times New Roman" w:eastAsia="Times New Roman" w:hAnsi="Times New Roman"/>
          <w:sz w:val="19"/>
          <w:szCs w:val="19"/>
          <w:color w:val="auto"/>
        </w:rPr>
        <w:t xml:space="preserve">”: each “Commitment” (as defined in the Existing Credit Agreement as in effect immediately prior to the Second Amendment </w:t>
      </w:r>
      <w:r>
        <w:rPr>
          <w:rFonts w:ascii="Times New Roman" w:cs="Times New Roman" w:eastAsia="Times New Roman" w:hAnsi="Times New Roman"/>
          <w:sz w:val="19"/>
          <w:szCs w:val="19"/>
          <w:u w:val="single" w:color="auto"/>
          <w:color w:val="0000FF"/>
        </w:rPr>
        <w:t>and Restatement</w:t>
      </w:r>
      <w:r>
        <w:rPr>
          <w:rFonts w:ascii="Times New Roman" w:cs="Times New Roman" w:eastAsia="Times New Roman" w:hAnsi="Times New Roman"/>
          <w:sz w:val="19"/>
          <w:szCs w:val="19"/>
          <w:color w:val="auto"/>
        </w:rPr>
        <w:t xml:space="preserve"> Effective Date) as in effect immediately prior to the Second Amendment </w:t>
      </w:r>
      <w:r>
        <w:rPr>
          <w:rFonts w:ascii="Times New Roman" w:cs="Times New Roman" w:eastAsia="Times New Roman" w:hAnsi="Times New Roman"/>
          <w:sz w:val="19"/>
          <w:szCs w:val="19"/>
          <w:u w:val="single" w:color="auto"/>
          <w:color w:val="0000FF"/>
        </w:rPr>
        <w:t>and Restatement</w:t>
      </w:r>
      <w:r>
        <w:rPr>
          <w:rFonts w:ascii="Times New Roman" w:cs="Times New Roman" w:eastAsia="Times New Roman" w:hAnsi="Times New Roman"/>
          <w:sz w:val="19"/>
          <w:szCs w:val="19"/>
          <w:color w:val="auto"/>
        </w:rPr>
        <w:t xml:space="preserve"> Effective Date.</w:t>
      </w:r>
    </w:p>
    <w:p>
      <w:pPr>
        <w:spacing w:after="0" w:line="13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as defined in the recitals hereto.</w:t>
      </w:r>
    </w:p>
    <w:p>
      <w:pPr>
        <w:spacing w:after="0" w:line="216" w:lineRule="exact"/>
        <w:rPr>
          <w:sz w:val="20"/>
          <w:szCs w:val="20"/>
          <w:color w:val="auto"/>
        </w:rPr>
      </w:pPr>
    </w:p>
    <w:p>
      <w:pPr>
        <w:ind w:right="2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Guarantee and Collateral Agreement</w:t>
      </w:r>
      <w:r>
        <w:rPr>
          <w:rFonts w:ascii="Times New Roman" w:cs="Times New Roman" w:eastAsia="Times New Roman" w:hAnsi="Times New Roman"/>
          <w:sz w:val="20"/>
          <w:szCs w:val="20"/>
          <w:color w:val="auto"/>
        </w:rPr>
        <w:t>”: that certain Amended and Restated Guarantee and Collateral Agreement, dated as of November 30, 2012, among the Borrower, Guarantors and the Administrative Agent.</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the Commitments and the extensions of credit made hereunder.</w:t>
      </w:r>
    </w:p>
    <w:p>
      <w:pPr>
        <w:spacing w:after="0" w:line="216" w:lineRule="exact"/>
        <w:rPr>
          <w:sz w:val="20"/>
          <w:szCs w:val="20"/>
          <w:color w:val="auto"/>
        </w:rPr>
      </w:pPr>
    </w:p>
    <w:p>
      <w:pPr>
        <w:ind w:right="10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Sections 1471 through 1474 of the Code, as of the date of this Agreement (or any amended or successor version that is substantively comparable and not materially more onerous to comply with), and any regulations issued thereunder or official interpretations thereof and any agreements entered into pursuant to Section 1472(b)(1) of the Code.</w:t>
      </w:r>
    </w:p>
    <w:p>
      <w:pPr>
        <w:spacing w:after="0" w:line="175" w:lineRule="exact"/>
        <w:rPr>
          <w:sz w:val="20"/>
          <w:szCs w:val="20"/>
          <w:color w:val="auto"/>
        </w:rPr>
      </w:pPr>
    </w:p>
    <w:p>
      <w:pPr>
        <w:ind w:right="140" w:firstLine="102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of the quotations for the day of such transactions received by the Administrative Agent from three federal funds brokers of recognized standing selected by it</w:t>
      </w:r>
      <w:r>
        <w:rPr>
          <w:rFonts w:ascii="Times New Roman" w:cs="Times New Roman" w:eastAsia="Times New Roman" w:hAnsi="Times New Roman"/>
          <w:sz w:val="20"/>
          <w:szCs w:val="20"/>
          <w:u w:val="single" w:color="auto"/>
          <w:color w:val="0000FF"/>
        </w:rPr>
        <w:t>; provided that if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the Federal Funds Effective Rate is less than zero, such rate shall be deemed to be zero for purposes of this Agreement</w:t>
      </w:r>
      <w:r>
        <w:rPr>
          <w:rFonts w:ascii="Times New Roman" w:cs="Times New Roman" w:eastAsia="Times New Roman" w:hAnsi="Times New Roman"/>
          <w:sz w:val="20"/>
          <w:szCs w:val="20"/>
          <w:color w:val="000000"/>
        </w:rPr>
        <w:t>.</w:t>
      </w:r>
    </w:p>
    <w:p>
      <w:pPr>
        <w:sectPr>
          <w:pgSz w:w="11900" w:h="16838" w:orient="portrait"/>
          <w:cols w:equalWidth="0" w:num="1">
            <w:col w:w="11420"/>
          </w:cols>
          <w:pgMar w:left="240" w:top="409" w:right="239" w:bottom="1440" w:gutter="0" w:footer="0" w:header="0"/>
        </w:sectPr>
      </w:pPr>
    </w:p>
    <w:bookmarkStart w:id="111" w:name="page112"/>
    <w:bookmarkEnd w:id="111"/>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w:t>
      </w:r>
    </w:p>
    <w:p>
      <w:pPr>
        <w:spacing w:after="0" w:line="211" w:lineRule="exact"/>
        <w:rPr>
          <w:sz w:val="20"/>
          <w:szCs w:val="20"/>
          <w:color w:val="auto"/>
        </w:rPr>
      </w:pPr>
    </w:p>
    <w:p>
      <w:pPr>
        <w:ind w:right="12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Payment Date</w:t>
      </w:r>
      <w:r>
        <w:rPr>
          <w:rFonts w:ascii="Times New Roman" w:cs="Times New Roman" w:eastAsia="Times New Roman" w:hAnsi="Times New Roman"/>
          <w:sz w:val="20"/>
          <w:szCs w:val="20"/>
          <w:color w:val="auto"/>
        </w:rPr>
        <w:t>”: (a) the third Business Day following the last day of each March, June, September and December and (b) the last day of the Commitment Period.</w:t>
      </w:r>
    </w:p>
    <w:p>
      <w:pPr>
        <w:spacing w:after="0" w:line="160" w:lineRule="exact"/>
        <w:rPr>
          <w:sz w:val="20"/>
          <w:szCs w:val="20"/>
          <w:color w:val="auto"/>
        </w:rPr>
      </w:pPr>
    </w:p>
    <w:p>
      <w:pPr>
        <w:ind w:right="14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Payment Period</w:t>
      </w:r>
      <w:r>
        <w:rPr>
          <w:rFonts w:ascii="Times New Roman" w:cs="Times New Roman" w:eastAsia="Times New Roman" w:hAnsi="Times New Roman"/>
          <w:sz w:val="20"/>
          <w:szCs w:val="20"/>
          <w:color w:val="auto"/>
        </w:rPr>
        <w:t xml:space="preserve">”: initially, the period from and including the Effective Date to and including the last day of the month preceding the initial Fee Payment Date, and thereafter, each calendar quarter;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final Fee Payment Period shall end on the final Fee Payment Date.</w:t>
      </w:r>
    </w:p>
    <w:p>
      <w:pPr>
        <w:spacing w:after="0" w:line="175" w:lineRule="exact"/>
        <w:rPr>
          <w:sz w:val="20"/>
          <w:szCs w:val="20"/>
          <w:color w:val="auto"/>
        </w:rPr>
      </w:pPr>
    </w:p>
    <w:p>
      <w:pPr>
        <w:ind w:right="680" w:firstLine="1027"/>
        <w:spacing w:after="0" w:line="269" w:lineRule="auto"/>
        <w:rPr>
          <w:sz w:val="20"/>
          <w:szCs w:val="20"/>
          <w:color w:val="auto"/>
        </w:rPr>
      </w:pPr>
      <w:r>
        <w:rPr>
          <w:rFonts w:ascii="Times New Roman" w:cs="Times New Roman" w:eastAsia="Times New Roman" w:hAnsi="Times New Roman"/>
          <w:sz w:val="20"/>
          <w:szCs w:val="20"/>
          <w:u w:val="single" w:color="auto"/>
          <w:color w:val="0000FF"/>
        </w:rPr>
        <w:t>“First Amendment”: the First Amendment, dated as of June 26, 2015, among the Borrower, Marriott Vacations Worldwide Corporation, the Administrative Agent and the Lenders party thereto.</w:t>
      </w:r>
    </w:p>
    <w:p>
      <w:pPr>
        <w:spacing w:after="0" w:line="160" w:lineRule="exact"/>
        <w:rPr>
          <w:sz w:val="20"/>
          <w:szCs w:val="20"/>
          <w:color w:val="auto"/>
        </w:rPr>
      </w:pPr>
    </w:p>
    <w:p>
      <w:pPr>
        <w:ind w:right="8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Amendment and Restatement Agreement</w:t>
      </w:r>
      <w:r>
        <w:rPr>
          <w:rFonts w:ascii="Times New Roman" w:cs="Times New Roman" w:eastAsia="Times New Roman" w:hAnsi="Times New Roman"/>
          <w:sz w:val="20"/>
          <w:szCs w:val="20"/>
          <w:color w:val="auto"/>
        </w:rPr>
        <w:t>”: that certain Amendment and Restatement Agreement, dated as of November 30, 2012 among the Borrower, the Administrative Agent, the Lenders party thereto and the other parties thereto.</w:t>
      </w:r>
    </w:p>
    <w:p>
      <w:pPr>
        <w:spacing w:after="0" w:line="160" w:lineRule="exact"/>
        <w:rPr>
          <w:sz w:val="20"/>
          <w:szCs w:val="20"/>
          <w:color w:val="auto"/>
        </w:rPr>
      </w:pPr>
    </w:p>
    <w:p>
      <w:pPr>
        <w:ind w:right="32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Amendment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and Restatement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“Amendment Effective Date” (as defined in the First Amendment and Restatement Agreement), which date is November 30, 2012.</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u w:val="single" w:color="auto"/>
          <w:color w:val="0000FF"/>
        </w:rPr>
        <w:t>“First Amendment Effective Date”: as defined in the First Amendment.</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Month</w:t>
      </w:r>
      <w:r>
        <w:rPr>
          <w:rFonts w:ascii="Times New Roman" w:cs="Times New Roman" w:eastAsia="Times New Roman" w:hAnsi="Times New Roman"/>
          <w:sz w:val="20"/>
          <w:szCs w:val="20"/>
          <w:color w:val="auto"/>
        </w:rPr>
        <w:t>”: in relation to any Group Member, the relevant fiscal month as determined in accordance with Schedule 1.1E.</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 in relation to any Group Member, the relevant fiscal quarter as determined in accordance with Schedule 1.1E.</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in relation to any Group Member, the relevant fiscal year as determined in accordance with Schedule 1.1E.</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Area</w:t>
      </w:r>
      <w:r>
        <w:rPr>
          <w:rFonts w:ascii="Times New Roman" w:cs="Times New Roman" w:eastAsia="Times New Roman" w:hAnsi="Times New Roman"/>
          <w:sz w:val="20"/>
          <w:szCs w:val="20"/>
          <w:color w:val="auto"/>
        </w:rPr>
        <w:t>”: as defined in Section 4.21.</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any Subsidiary of MVWC or the Borrower that is not a Domestic Subsidiary.</w:t>
      </w:r>
    </w:p>
    <w:p>
      <w:pPr>
        <w:spacing w:after="0" w:line="216" w:lineRule="exact"/>
        <w:rPr>
          <w:sz w:val="20"/>
          <w:szCs w:val="20"/>
          <w:color w:val="auto"/>
        </w:rPr>
      </w:pPr>
    </w:p>
    <w:p>
      <w:pPr>
        <w:ind w:right="12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Benefit Arrangement</w:t>
      </w:r>
      <w:r>
        <w:rPr>
          <w:rFonts w:ascii="Times New Roman" w:cs="Times New Roman" w:eastAsia="Times New Roman" w:hAnsi="Times New Roman"/>
          <w:sz w:val="20"/>
          <w:szCs w:val="20"/>
          <w:color w:val="auto"/>
        </w:rPr>
        <w:t>”: any employee benefit arrangement mandated by non-US law that is maintained or contributed to by any Group Member or any ERISA Affiliate.</w:t>
      </w:r>
    </w:p>
    <w:p>
      <w:pPr>
        <w:spacing w:after="0" w:line="160" w:lineRule="exact"/>
        <w:rPr>
          <w:sz w:val="20"/>
          <w:szCs w:val="20"/>
          <w:color w:val="auto"/>
        </w:rPr>
      </w:pPr>
    </w:p>
    <w:p>
      <w:pPr>
        <w:ind w:right="240" w:firstLine="1027"/>
        <w:spacing w:after="0" w:line="249" w:lineRule="auto"/>
        <w:rPr>
          <w:sz w:val="20"/>
          <w:szCs w:val="20"/>
          <w:color w:val="auto"/>
        </w:rPr>
      </w:pPr>
      <w:r>
        <w:rPr>
          <w:rFonts w:ascii="Times New Roman" w:cs="Times New Roman" w:eastAsia="Times New Roman" w:hAnsi="Times New Roman"/>
          <w:sz w:val="20"/>
          <w:szCs w:val="20"/>
          <w:u w:val="single" w:color="auto"/>
          <w:color w:val="0000FF"/>
        </w:rPr>
        <w:t>“Foreign Currency”: Australian Dollars, Euros, Japanese Yen, Pounds Sterling, Singapore Dollars and any additional currencies determined after the First Amendment Effective Date by mutual agreement of the Borrower, the Foreign Currency Lenders and the Administrative Agent, provided each such currency is a lawful currency that is freely convertible into Dollars and is freely traded and readily available in the London interbank eurocurrency market.</w:t>
      </w:r>
    </w:p>
    <w:p>
      <w:pPr>
        <w:spacing w:after="0" w:line="180" w:lineRule="exact"/>
        <w:rPr>
          <w:sz w:val="20"/>
          <w:szCs w:val="20"/>
          <w:color w:val="auto"/>
        </w:rPr>
      </w:pPr>
    </w:p>
    <w:p>
      <w:pPr>
        <w:ind w:right="120" w:firstLine="1027"/>
        <w:spacing w:after="0" w:line="245" w:lineRule="auto"/>
        <w:rPr>
          <w:sz w:val="20"/>
          <w:szCs w:val="20"/>
          <w:color w:val="auto"/>
        </w:rPr>
      </w:pPr>
      <w:r>
        <w:rPr>
          <w:rFonts w:ascii="Times New Roman" w:cs="Times New Roman" w:eastAsia="Times New Roman" w:hAnsi="Times New Roman"/>
          <w:sz w:val="20"/>
          <w:szCs w:val="20"/>
          <w:u w:val="single" w:color="auto"/>
          <w:color w:val="0000FF"/>
        </w:rPr>
        <w:t>“Foreign Currency Commitment”: the obligation of a Foreign Currency Lender, if any, to make Foreign Currency Loans in an aggregate principal and/or face amount the Dollar Equivalent of which does not exceed the amount set forth under the heading “Foreign Currency Commitment” opposite such Lender’s name on Schedule 1.1A or in the Assignment and Assumption pursuant to which such Lender became a party hereto after the First Amendment Effective Date, or in an Increased Facility Activation Notice or in a New Lender Supplement pursuant to which such Lender became a party hereto, as applicable, as the same may be changed from time to time pursuant to the terms hereof. As of the First Amendment Effective Date, the total amount of Foreign Currency Commitments is $130,000,000.</w:t>
      </w:r>
    </w:p>
    <w:p>
      <w:pPr>
        <w:sectPr>
          <w:pgSz w:w="11900" w:h="16838" w:orient="portrait"/>
          <w:cols w:equalWidth="0" w:num="1">
            <w:col w:w="11420"/>
          </w:cols>
          <w:pgMar w:left="240" w:top="409" w:right="239" w:bottom="1440" w:gutter="0" w:footer="0" w:header="0"/>
        </w:sectPr>
      </w:pPr>
    </w:p>
    <w:bookmarkStart w:id="112" w:name="page113"/>
    <w:bookmarkEnd w:id="112"/>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w:t>
      </w:r>
    </w:p>
    <w:p>
      <w:pPr>
        <w:spacing w:after="0" w:line="211" w:lineRule="exact"/>
        <w:rPr>
          <w:sz w:val="20"/>
          <w:szCs w:val="20"/>
          <w:color w:val="auto"/>
        </w:rPr>
      </w:pPr>
    </w:p>
    <w:p>
      <w:pPr>
        <w:ind w:right="60" w:firstLine="1027"/>
        <w:spacing w:after="0" w:line="249" w:lineRule="auto"/>
        <w:rPr>
          <w:sz w:val="20"/>
          <w:szCs w:val="20"/>
          <w:color w:val="auto"/>
        </w:rPr>
      </w:pPr>
      <w:r>
        <w:rPr>
          <w:rFonts w:ascii="Times New Roman" w:cs="Times New Roman" w:eastAsia="Times New Roman" w:hAnsi="Times New Roman"/>
          <w:sz w:val="20"/>
          <w:szCs w:val="20"/>
          <w:u w:val="single" w:color="auto"/>
          <w:color w:val="0000FF"/>
        </w:rPr>
        <w:t>“Foreign Currency Commitment Percentage”: as to any Foreign Currency Lender at any time, the percentage which such Foreign Currency Lender’s Foreign Currency Commitment at such time constitutes of the Total Foreign Currency Commitments (or if the Foreign Currency Commitments have terminated or expired, the percentage which the Foreign Currency Extensions of Credit of such Foreign Currency Lender at such time constitutes of the Total Foreign Currency Extensions of Credit at such time).</w:t>
      </w:r>
    </w:p>
    <w:p>
      <w:pPr>
        <w:spacing w:after="0" w:line="180" w:lineRule="exact"/>
        <w:rPr>
          <w:sz w:val="20"/>
          <w:szCs w:val="20"/>
          <w:color w:val="auto"/>
        </w:rPr>
      </w:pPr>
    </w:p>
    <w:p>
      <w:pPr>
        <w:ind w:right="880" w:firstLine="1027"/>
        <w:spacing w:after="0" w:line="269" w:lineRule="auto"/>
        <w:rPr>
          <w:sz w:val="20"/>
          <w:szCs w:val="20"/>
          <w:color w:val="auto"/>
        </w:rPr>
      </w:pPr>
      <w:r>
        <w:rPr>
          <w:rFonts w:ascii="Times New Roman" w:cs="Times New Roman" w:eastAsia="Times New Roman" w:hAnsi="Times New Roman"/>
          <w:sz w:val="20"/>
          <w:szCs w:val="20"/>
          <w:u w:val="single" w:color="auto"/>
          <w:color w:val="0000FF"/>
        </w:rPr>
        <w:t>“Foreign Currency Extensions of Credit”: as to any Foreign Currency Lender at any time, an amount equal to the Dollar Equivalent of the aggregate principal amount of all Foreign Currency Loans held by such Lender then outstanding.</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u w:val="single" w:color="auto"/>
          <w:color w:val="0000FF"/>
        </w:rPr>
        <w:t>“Foreign Currency Lender”: at any time, each Lender with a Foreign Currency Commitment of greater than zero.</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u w:val="single" w:color="auto"/>
          <w:color w:val="0000FF"/>
        </w:rPr>
        <w:t>“Foreign Currency Loans”: as defined in Section 2.1(b).</w:t>
      </w:r>
    </w:p>
    <w:p>
      <w:pPr>
        <w:spacing w:after="0" w:line="216" w:lineRule="exact"/>
        <w:rPr>
          <w:sz w:val="20"/>
          <w:szCs w:val="20"/>
          <w:color w:val="auto"/>
        </w:rPr>
      </w:pPr>
    </w:p>
    <w:p>
      <w:pPr>
        <w:ind w:right="10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Plan</w:t>
      </w:r>
      <w:r>
        <w:rPr>
          <w:rFonts w:ascii="Times New Roman" w:cs="Times New Roman" w:eastAsia="Times New Roman" w:hAnsi="Times New Roman"/>
          <w:sz w:val="20"/>
          <w:szCs w:val="20"/>
          <w:color w:val="auto"/>
        </w:rPr>
        <w:t>”: each employee benefit plan (within the meaning of Section 3(3) of ERISA, whether or not subject to ERISA) that is not subject to US law and is maintained or contributed to by any Group Member or any ERISA Affiliate.</w:t>
      </w:r>
    </w:p>
    <w:p>
      <w:pPr>
        <w:spacing w:after="0" w:line="160" w:lineRule="exact"/>
        <w:rPr>
          <w:sz w:val="20"/>
          <w:szCs w:val="20"/>
          <w:color w:val="auto"/>
        </w:rPr>
      </w:pPr>
    </w:p>
    <w:p>
      <w:pPr>
        <w:ind w:right="160" w:firstLine="102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Plan Event</w:t>
      </w:r>
      <w:r>
        <w:rPr>
          <w:rFonts w:ascii="Times New Roman" w:cs="Times New Roman" w:eastAsia="Times New Roman" w:hAnsi="Times New Roman"/>
          <w:sz w:val="20"/>
          <w:szCs w:val="20"/>
          <w:color w:val="auto"/>
        </w:rPr>
        <w:t>”: with respect to any Foreign Benefit Arrangement or Foreign Plan, (a) the failure to make or, if applicable, accrue in accordance with normal accounting practices, any employer or employee contributions required by applicable law or by the terms of such Foreign Benefit Arrangement or Foreign Plan; (b) the failure to register or loss of good standing with applicable regulatory authorities of any such Foreign Benefit Arrangement or Foreign Plan required to be registered; or (c) the failure of any Foreign Benefit Arrangement or Foreign Plan to comply with any material provisions of applicable law and regulations or with the material terms of such Foreign Benefit Arrangement or Foreign Plan.</w:t>
      </w:r>
    </w:p>
    <w:p>
      <w:pPr>
        <w:spacing w:after="0" w:line="185" w:lineRule="exact"/>
        <w:rPr>
          <w:sz w:val="20"/>
          <w:szCs w:val="20"/>
          <w:color w:val="auto"/>
        </w:rPr>
      </w:pPr>
    </w:p>
    <w:p>
      <w:pPr>
        <w:ind w:right="74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Time Share Receivable</w:t>
      </w:r>
      <w:r>
        <w:rPr>
          <w:rFonts w:ascii="Times New Roman" w:cs="Times New Roman" w:eastAsia="Times New Roman" w:hAnsi="Times New Roman"/>
          <w:sz w:val="20"/>
          <w:szCs w:val="20"/>
          <w:color w:val="auto"/>
        </w:rPr>
        <w:t>”: a note receivable held by a Foreign Subsidiary arising from the financing of the sale of timeshare intervals and fractional products to a retail customer outside of the United States.</w:t>
      </w:r>
    </w:p>
    <w:p>
      <w:pPr>
        <w:spacing w:after="0" w:line="160" w:lineRule="exact"/>
        <w:rPr>
          <w:sz w:val="20"/>
          <w:szCs w:val="20"/>
          <w:color w:val="auto"/>
        </w:rPr>
      </w:pPr>
    </w:p>
    <w:p>
      <w:pPr>
        <w:ind w:right="10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Form 10</w:t>
      </w:r>
      <w:r>
        <w:rPr>
          <w:rFonts w:ascii="Times New Roman" w:cs="Times New Roman" w:eastAsia="Times New Roman" w:hAnsi="Times New Roman"/>
          <w:sz w:val="20"/>
          <w:szCs w:val="20"/>
          <w:color w:val="auto"/>
        </w:rPr>
        <w:t>”: the registration statement of MVWC in respect of its common stock on Form 10 under the Exchange Act as filed with the SEC, including the Exhibits thereto, as amended.</w:t>
      </w:r>
    </w:p>
    <w:p>
      <w:pPr>
        <w:spacing w:after="0" w:line="160" w:lineRule="exact"/>
        <w:rPr>
          <w:sz w:val="20"/>
          <w:szCs w:val="20"/>
          <w:color w:val="auto"/>
        </w:rPr>
      </w:pPr>
    </w:p>
    <w:p>
      <w:pPr>
        <w:ind w:right="240" w:firstLine="1027"/>
        <w:spacing w:after="0" w:line="269"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8000"/>
        </w:rPr>
        <w:t>Funding Office</w:t>
      </w:r>
      <w:r>
        <w:rPr>
          <w:rFonts w:ascii="Times New Roman" w:cs="Times New Roman" w:eastAsia="Times New Roman" w:hAnsi="Times New Roman"/>
          <w:sz w:val="20"/>
          <w:szCs w:val="20"/>
          <w:color w:val="008000"/>
        </w:rPr>
        <w:t>”: the office of the Administrative Agent specified in Section 10.2 or such other office as may be specified from</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8000"/>
          <w:strike w:val="1"/>
        </w:rPr>
        <w:t>time to time by the Administrative Agent as its funding office by written notice to the Borrower and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-234950</wp:posOffset>
            </wp:positionV>
            <wp:extent cx="639064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390640" cy="8890"/>
                    </a:xfrm>
                    <a:prstGeom prst="rect">
                      <a:avLst/>
                    </a:prstGeom>
                    <a:noFill/>
                  </pic:spPr>
                </pic:pic>
              </a:graphicData>
            </a:graphic>
          </wp:anchor>
        </w:drawing>
      </w:r>
    </w:p>
    <w:p>
      <w:pPr>
        <w:spacing w:after="0" w:line="140" w:lineRule="exact"/>
        <w:rPr>
          <w:sz w:val="20"/>
          <w:szCs w:val="20"/>
          <w:color w:val="auto"/>
        </w:rPr>
      </w:pPr>
    </w:p>
    <w:p>
      <w:pPr>
        <w:ind w:right="100" w:firstLine="102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generally accepted accounting principles in the United States as in effect from time to time, except that for purposes of Section 7.1, GAAP shall be determined on the basis of such principles in effect on the Effective Date and consistent with those used in the preparation of the most recent audited financial statements referred to in Section 4.1(a). In the event that any “Accounting Change” (as defined below) shall occur and such change results in a change in the method of calculation of financial covenants, standards or terms in this Agreement, then the Borrower and the Administrative Agent agree to enter into negotiations in order to amend such provisions of this Agreement so as to reflect equitably such Accounting Changes with the desired result that the criteria for evaluating the Borrower’s financial condition shall be the same after such Accounting Changes as if such Accounting Changes had not been made. Until such time as such an amendment shall have been executed and delivered by the Borrower, the Administrative Agent and the Required Lenders, all financial covenants, standards and</w:t>
      </w:r>
    </w:p>
    <w:p>
      <w:pPr>
        <w:sectPr>
          <w:pgSz w:w="11900" w:h="16838" w:orient="portrait"/>
          <w:cols w:equalWidth="0" w:num="1">
            <w:col w:w="11420"/>
          </w:cols>
          <w:pgMar w:left="240" w:top="409" w:right="239" w:bottom="1440" w:gutter="0" w:footer="0" w:header="0"/>
        </w:sectPr>
      </w:pPr>
    </w:p>
    <w:bookmarkStart w:id="113" w:name="page114"/>
    <w:bookmarkEnd w:id="113"/>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18</w:t>
      </w:r>
    </w:p>
    <w:p>
      <w:pPr>
        <w:spacing w:after="0" w:line="17"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20"/>
          <w:szCs w:val="20"/>
          <w:color w:val="auto"/>
        </w:rPr>
        <w:t>terms in this Agreement shall continue to be calculated or construed as if such Accounting Changes had not occurred. “Accounting Changes” refers to changes in accounting principles required by the promulgation of any rule, regulation, pronouncement or opinion by the Financial Accounting Standards Board, the American Institute of Certified Public Accountants or, if applicable, the SEC.</w:t>
      </w:r>
    </w:p>
    <w:p>
      <w:pPr>
        <w:spacing w:after="0" w:line="187" w:lineRule="exact"/>
        <w:rPr>
          <w:sz w:val="20"/>
          <w:szCs w:val="20"/>
          <w:color w:val="auto"/>
        </w:rPr>
      </w:pPr>
    </w:p>
    <w:p>
      <w:pPr>
        <w:ind w:right="240" w:firstLine="102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 (including the National Association of Insurance Commissioners).</w:t>
      </w:r>
    </w:p>
    <w:p>
      <w:pPr>
        <w:spacing w:after="0" w:line="18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Group Members</w:t>
      </w:r>
      <w:r>
        <w:rPr>
          <w:rFonts w:ascii="Times New Roman" w:cs="Times New Roman" w:eastAsia="Times New Roman" w:hAnsi="Times New Roman"/>
          <w:sz w:val="20"/>
          <w:szCs w:val="20"/>
          <w:color w:val="auto"/>
        </w:rPr>
        <w:t>”: the collective reference to MVWC, the Borrower and their respective Subsidiaries.</w:t>
      </w:r>
    </w:p>
    <w:p>
      <w:pPr>
        <w:spacing w:after="0" w:line="216" w:lineRule="exact"/>
        <w:rPr>
          <w:sz w:val="20"/>
          <w:szCs w:val="20"/>
          <w:color w:val="auto"/>
        </w:rPr>
      </w:pPr>
    </w:p>
    <w:p>
      <w:pPr>
        <w:ind w:right="180" w:firstLine="102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 and Collateral Agreement</w:t>
      </w:r>
      <w:r>
        <w:rPr>
          <w:rFonts w:ascii="Times New Roman" w:cs="Times New Roman" w:eastAsia="Times New Roman" w:hAnsi="Times New Roman"/>
          <w:sz w:val="20"/>
          <w:szCs w:val="20"/>
          <w:color w:val="auto"/>
        </w:rPr>
        <w:t xml:space="preserve">”: (i) prior to the First Amendment </w:t>
      </w:r>
      <w:r>
        <w:rPr>
          <w:rFonts w:ascii="Times New Roman" w:cs="Times New Roman" w:eastAsia="Times New Roman" w:hAnsi="Times New Roman"/>
          <w:sz w:val="20"/>
          <w:szCs w:val="20"/>
          <w:u w:val="single" w:color="auto"/>
          <w:color w:val="0000FF"/>
        </w:rPr>
        <w:t>and Restatement</w:t>
      </w:r>
      <w:r>
        <w:rPr>
          <w:rFonts w:ascii="Times New Roman" w:cs="Times New Roman" w:eastAsia="Times New Roman" w:hAnsi="Times New Roman"/>
          <w:sz w:val="20"/>
          <w:szCs w:val="20"/>
          <w:color w:val="auto"/>
        </w:rPr>
        <w:t xml:space="preserve"> Effective Date, the Original Guarantee and Collateral Agreement, (ii) on or after the First Amendment </w:t>
      </w:r>
      <w:r>
        <w:rPr>
          <w:rFonts w:ascii="Times New Roman" w:cs="Times New Roman" w:eastAsia="Times New Roman" w:hAnsi="Times New Roman"/>
          <w:sz w:val="20"/>
          <w:szCs w:val="20"/>
          <w:u w:val="single" w:color="auto"/>
          <w:color w:val="0000FF"/>
        </w:rPr>
        <w:t>and Restatement</w:t>
      </w:r>
      <w:r>
        <w:rPr>
          <w:rFonts w:ascii="Times New Roman" w:cs="Times New Roman" w:eastAsia="Times New Roman" w:hAnsi="Times New Roman"/>
          <w:sz w:val="20"/>
          <w:szCs w:val="20"/>
          <w:color w:val="auto"/>
        </w:rPr>
        <w:t xml:space="preserve"> Effective Date and prior to the Second Amendment </w:t>
      </w:r>
      <w:r>
        <w:rPr>
          <w:rFonts w:ascii="Times New Roman" w:cs="Times New Roman" w:eastAsia="Times New Roman" w:hAnsi="Times New Roman"/>
          <w:sz w:val="20"/>
          <w:szCs w:val="20"/>
          <w:u w:val="single" w:color="auto"/>
          <w:color w:val="0000FF"/>
        </w:rPr>
        <w:t>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Restatement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Effective Date, the Existing Guarantee and Collateral Agreement and (iii) on or after the Second Amendment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and Restatement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Effective Date, the Second Amended and Restated Guarantee and Collateral Agreement.</w:t>
      </w:r>
    </w:p>
    <w:p>
      <w:pPr>
        <w:spacing w:after="0" w:line="180" w:lineRule="exact"/>
        <w:rPr>
          <w:sz w:val="20"/>
          <w:szCs w:val="20"/>
          <w:color w:val="auto"/>
        </w:rPr>
      </w:pPr>
    </w:p>
    <w:p>
      <w:pPr>
        <w:ind w:right="20" w:firstLine="1027"/>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 Obligation</w:t>
      </w:r>
      <w:r>
        <w:rPr>
          <w:rFonts w:ascii="Times New Roman" w:cs="Times New Roman" w:eastAsia="Times New Roman" w:hAnsi="Times New Roman"/>
          <w:sz w:val="20"/>
          <w:szCs w:val="20"/>
          <w:color w:val="auto"/>
        </w:rPr>
        <w:t>”: as to any Person (the “guaranteeing person”),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leases, dividends or other obligations (the “primary obligations”) of any other third Person (the “primary obligor”)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provided, however,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 For the avoidance of doubt, the inclusion of a “cap” or other limit on the maximum total exposure under any such Guarantee Obligation shall not, in and of itself, mean that the liability is either “stated” or “determinable.”</w:t>
      </w:r>
    </w:p>
    <w:p>
      <w:pPr>
        <w:spacing w:after="0" w:line="1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the collective reference to MVWC and the Subsidiary Guarantors.</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u w:val="single" w:color="auto"/>
          <w:color w:val="0000FF"/>
        </w:rPr>
        <w:t>“Impacted Currency”: as defined in the definition of “Eurocurrency Base Rate”.</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u w:val="single" w:color="auto"/>
          <w:color w:val="0000FF"/>
        </w:rPr>
        <w:t>“Impacted Interest Period”: as defined in the definition of “Eurocurrency Base Rate”.</w:t>
      </w:r>
    </w:p>
    <w:p>
      <w:pPr>
        <w:sectPr>
          <w:pgSz w:w="11900" w:h="16838" w:orient="portrait"/>
          <w:cols w:equalWidth="0" w:num="1">
            <w:col w:w="11420"/>
          </w:cols>
          <w:pgMar w:left="240" w:top="409" w:right="2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w:t>
      </w:r>
    </w:p>
    <w:p>
      <w:pPr>
        <w:spacing w:after="0" w:line="211" w:lineRule="exact"/>
        <w:rPr>
          <w:sz w:val="20"/>
          <w:szCs w:val="20"/>
          <w:color w:val="auto"/>
        </w:rPr>
      </w:pPr>
    </w:p>
    <w:p>
      <w:pPr>
        <w:ind w:right="50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Increased Facility Activation Date</w:t>
      </w:r>
      <w:r>
        <w:rPr>
          <w:rFonts w:ascii="Times New Roman" w:cs="Times New Roman" w:eastAsia="Times New Roman" w:hAnsi="Times New Roman"/>
          <w:sz w:val="20"/>
          <w:szCs w:val="20"/>
          <w:color w:val="auto"/>
        </w:rPr>
        <w:t>”: any Business Day on which any Lender shall execute and deliver to the Administrative Agents an Increased Facility Activation Notice pursuant to Section 2.19(a) and, in the case of a New Lender, a New Lender Supplement pursuant to Section 2.19(b).</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Increased Facility Activation Notice</w:t>
      </w:r>
      <w:r>
        <w:rPr>
          <w:rFonts w:ascii="Times New Roman" w:cs="Times New Roman" w:eastAsia="Times New Roman" w:hAnsi="Times New Roman"/>
          <w:sz w:val="20"/>
          <w:szCs w:val="20"/>
          <w:color w:val="auto"/>
        </w:rPr>
        <w:t>”: a notice substantially in the form of Exhibit J-1.</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Increased Facility Closing Date</w:t>
      </w:r>
      <w:r>
        <w:rPr>
          <w:rFonts w:ascii="Times New Roman" w:cs="Times New Roman" w:eastAsia="Times New Roman" w:hAnsi="Times New Roman"/>
          <w:sz w:val="20"/>
          <w:szCs w:val="20"/>
          <w:color w:val="auto"/>
        </w:rPr>
        <w:t>”: any Business Day designated as such in an Increased Facility Activation Notice.</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of any Person at any date, without duplication:</w:t>
      </w:r>
    </w:p>
    <w:p>
      <w:pPr>
        <w:spacing w:after="0" w:line="216" w:lineRule="exact"/>
        <w:rPr>
          <w:sz w:val="20"/>
          <w:szCs w:val="20"/>
          <w:color w:val="auto"/>
        </w:rPr>
      </w:pPr>
    </w:p>
    <w:p>
      <w:pPr>
        <w:ind w:left="1300" w:hanging="265"/>
        <w:spacing w:after="0"/>
        <w:tabs>
          <w:tab w:leader="none" w:pos="13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of such Person for borrowed money;</w:t>
      </w:r>
    </w:p>
    <w:p>
      <w:pPr>
        <w:spacing w:after="0" w:line="215" w:lineRule="exact"/>
        <w:rPr>
          <w:rFonts w:ascii="Times New Roman" w:cs="Times New Roman" w:eastAsia="Times New Roman" w:hAnsi="Times New Roman"/>
          <w:sz w:val="20"/>
          <w:szCs w:val="20"/>
          <w:color w:val="auto"/>
        </w:rPr>
      </w:pPr>
    </w:p>
    <w:p>
      <w:pPr>
        <w:ind w:right="140" w:firstLine="1035"/>
        <w:spacing w:after="0" w:line="249" w:lineRule="auto"/>
        <w:tabs>
          <w:tab w:leader="none" w:pos="1307"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for the deferred purchase price of property or services (other than trade payables incurred in the ordinary course of such Person’s business); provided that, for the avoidance of doubt, any obligation to pay for Marriott Rewards points that arises prior to the effective date of the Spin-Off and the payment of which is deferred pursuant to the Marriott Rewards Affiliation Agreement shall be Indebtedness);</w:t>
      </w:r>
    </w:p>
    <w:p>
      <w:pPr>
        <w:spacing w:after="0" w:line="180" w:lineRule="exact"/>
        <w:rPr>
          <w:rFonts w:ascii="Times New Roman" w:cs="Times New Roman" w:eastAsia="Times New Roman" w:hAnsi="Times New Roman"/>
          <w:sz w:val="20"/>
          <w:szCs w:val="20"/>
          <w:color w:val="auto"/>
        </w:rPr>
      </w:pPr>
    </w:p>
    <w:p>
      <w:pPr>
        <w:ind w:left="1300" w:hanging="265"/>
        <w:spacing w:after="0"/>
        <w:tabs>
          <w:tab w:leader="none" w:pos="13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evidenced by notes, bonds, debentures or other similar instruments,</w:t>
      </w:r>
    </w:p>
    <w:p>
      <w:pPr>
        <w:spacing w:after="0" w:line="215" w:lineRule="exact"/>
        <w:rPr>
          <w:rFonts w:ascii="Times New Roman" w:cs="Times New Roman" w:eastAsia="Times New Roman" w:hAnsi="Times New Roman"/>
          <w:sz w:val="20"/>
          <w:szCs w:val="20"/>
          <w:color w:val="auto"/>
        </w:rPr>
      </w:pPr>
    </w:p>
    <w:p>
      <w:pPr>
        <w:ind w:right="80" w:firstLine="1035"/>
        <w:spacing w:after="0" w:line="254" w:lineRule="auto"/>
        <w:tabs>
          <w:tab w:leader="none" w:pos="1307"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w:t>
      </w:r>
    </w:p>
    <w:p>
      <w:pPr>
        <w:spacing w:after="0" w:line="174" w:lineRule="exact"/>
        <w:rPr>
          <w:rFonts w:ascii="Times New Roman" w:cs="Times New Roman" w:eastAsia="Times New Roman" w:hAnsi="Times New Roman"/>
          <w:sz w:val="20"/>
          <w:szCs w:val="20"/>
          <w:color w:val="auto"/>
        </w:rPr>
      </w:pPr>
    </w:p>
    <w:p>
      <w:pPr>
        <w:ind w:left="1300" w:hanging="265"/>
        <w:spacing w:after="0"/>
        <w:tabs>
          <w:tab w:leader="none" w:pos="13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Capital Lease Obligations (but not operating leases) of such Person;</w:t>
      </w:r>
    </w:p>
    <w:p>
      <w:pPr>
        <w:spacing w:after="0" w:line="215" w:lineRule="exact"/>
        <w:rPr>
          <w:rFonts w:ascii="Times New Roman" w:cs="Times New Roman" w:eastAsia="Times New Roman" w:hAnsi="Times New Roman"/>
          <w:sz w:val="20"/>
          <w:szCs w:val="20"/>
          <w:color w:val="auto"/>
        </w:rPr>
      </w:pPr>
    </w:p>
    <w:p>
      <w:pPr>
        <w:ind w:left="1280" w:hanging="245"/>
        <w:spacing w:after="0"/>
        <w:tabs>
          <w:tab w:leader="none" w:pos="128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including recorded loss contingency under GAAP, as an account party or applicant under or in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respect of:</w:t>
      </w:r>
    </w:p>
    <w:p>
      <w:pPr>
        <w:spacing w:after="0" w:line="193" w:lineRule="exact"/>
        <w:rPr>
          <w:rFonts w:ascii="Times New Roman" w:cs="Times New Roman" w:eastAsia="Times New Roman" w:hAnsi="Times New Roman"/>
          <w:sz w:val="20"/>
          <w:szCs w:val="20"/>
          <w:color w:val="auto"/>
        </w:rPr>
      </w:pPr>
    </w:p>
    <w:p>
      <w:pPr>
        <w:ind w:left="1680" w:hanging="230"/>
        <w:spacing w:after="0"/>
        <w:tabs>
          <w:tab w:leader="none" w:pos="1680"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bankers acceptances,</w:t>
      </w:r>
    </w:p>
    <w:p>
      <w:pPr>
        <w:spacing w:after="0" w:line="215" w:lineRule="exact"/>
        <w:rPr>
          <w:rFonts w:ascii="Times New Roman" w:cs="Times New Roman" w:eastAsia="Times New Roman" w:hAnsi="Times New Roman"/>
          <w:sz w:val="20"/>
          <w:szCs w:val="20"/>
          <w:color w:val="auto"/>
        </w:rPr>
      </w:pPr>
    </w:p>
    <w:p>
      <w:pPr>
        <w:ind w:left="1040" w:right="220" w:firstLine="410"/>
        <w:spacing w:after="0" w:line="296" w:lineRule="auto"/>
        <w:tabs>
          <w:tab w:leader="none" w:pos="1747" w:val="left"/>
        </w:tabs>
        <w:numPr>
          <w:ilvl w:val="2"/>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surety bonds (excluding surety bonds that support, or are in lieu of, obligations to escrow funds or that are performance bonds, bonds for operating licenses or maintenance fee subsidy bonds, in each case that have not been drawn), and</w:t>
      </w:r>
    </w:p>
    <w:p>
      <w:pPr>
        <w:spacing w:after="0" w:line="136" w:lineRule="exact"/>
        <w:rPr>
          <w:rFonts w:ascii="Times New Roman" w:cs="Times New Roman" w:eastAsia="Times New Roman" w:hAnsi="Times New Roman"/>
          <w:sz w:val="19"/>
          <w:szCs w:val="19"/>
          <w:color w:val="auto"/>
        </w:rPr>
      </w:pPr>
    </w:p>
    <w:p>
      <w:pPr>
        <w:ind w:left="1800" w:hanging="350"/>
        <w:spacing w:after="0"/>
        <w:tabs>
          <w:tab w:leader="none" w:pos="1800"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outstanding face amount of letters of credit;</w:t>
      </w:r>
    </w:p>
    <w:p>
      <w:pPr>
        <w:spacing w:after="0" w:line="215" w:lineRule="exact"/>
        <w:rPr>
          <w:rFonts w:ascii="Times New Roman" w:cs="Times New Roman" w:eastAsia="Times New Roman" w:hAnsi="Times New Roman"/>
          <w:sz w:val="20"/>
          <w:szCs w:val="20"/>
          <w:color w:val="auto"/>
        </w:rPr>
      </w:pPr>
    </w:p>
    <w:p>
      <w:pPr>
        <w:ind w:left="1320" w:hanging="285"/>
        <w:spacing w:after="0"/>
        <w:tabs>
          <w:tab w:leader="none" w:pos="132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liquidation value of all redeemable preferred Capital Stock of such Person, including the Preferred Stock;</w:t>
      </w:r>
    </w:p>
    <w:p>
      <w:pPr>
        <w:spacing w:after="0" w:line="215" w:lineRule="exact"/>
        <w:rPr>
          <w:rFonts w:ascii="Times New Roman" w:cs="Times New Roman" w:eastAsia="Times New Roman" w:hAnsi="Times New Roman"/>
          <w:sz w:val="20"/>
          <w:szCs w:val="20"/>
          <w:color w:val="auto"/>
        </w:rPr>
      </w:pPr>
    </w:p>
    <w:p>
      <w:pPr>
        <w:ind w:left="1320" w:hanging="285"/>
        <w:spacing w:after="0"/>
        <w:tabs>
          <w:tab w:leader="none" w:pos="1320"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Guarantee Obligations of such Person in respect of obligations that constitute Indebtedness of the kind referred to in clauses</w:t>
      </w:r>
    </w:p>
    <w:p>
      <w:pPr>
        <w:spacing w:after="0" w:line="33" w:lineRule="exact"/>
        <w:rPr>
          <w:rFonts w:ascii="Times New Roman" w:cs="Times New Roman" w:eastAsia="Times New Roman" w:hAnsi="Times New Roman"/>
          <w:sz w:val="19"/>
          <w:szCs w:val="19"/>
          <w:color w:val="auto"/>
        </w:rPr>
      </w:pPr>
    </w:p>
    <w:p>
      <w:pPr>
        <w:ind w:left="280" w:hanging="272"/>
        <w:spacing w:after="0"/>
        <w:tabs>
          <w:tab w:leader="none" w:pos="2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(g) above;</w:t>
      </w:r>
    </w:p>
    <w:p>
      <w:pPr>
        <w:spacing w:after="0" w:line="193" w:lineRule="exact"/>
        <w:rPr>
          <w:rFonts w:ascii="Times New Roman" w:cs="Times New Roman" w:eastAsia="Times New Roman" w:hAnsi="Times New Roman"/>
          <w:sz w:val="20"/>
          <w:szCs w:val="20"/>
          <w:color w:val="auto"/>
        </w:rPr>
      </w:pPr>
    </w:p>
    <w:p>
      <w:pPr>
        <w:ind w:right="20" w:firstLine="1035"/>
        <w:spacing w:after="0" w:line="254" w:lineRule="auto"/>
        <w:tabs>
          <w:tab w:leader="none" w:pos="1263"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that constitute Indebtedness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w:t>
      </w:r>
    </w:p>
    <w:p>
      <w:pPr>
        <w:sectPr>
          <w:pgSz w:w="11900" w:h="16838" w:orient="portrait"/>
          <w:cols w:equalWidth="0" w:num="1">
            <w:col w:w="11420"/>
          </w:cols>
          <w:pgMar w:left="240" w:top="409" w:right="2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w:t>
      </w:r>
    </w:p>
    <w:p>
      <w:pPr>
        <w:spacing w:after="0" w:line="2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(j) for the purposes of Section 8(e) only, all obligations of such Person in respect of Swap Agreements and related derivatives.</w:t>
      </w:r>
    </w:p>
    <w:p>
      <w:pPr>
        <w:spacing w:after="0" w:line="216" w:lineRule="exact"/>
        <w:rPr>
          <w:sz w:val="20"/>
          <w:szCs w:val="20"/>
          <w:color w:val="auto"/>
        </w:rPr>
      </w:pPr>
    </w:p>
    <w:p>
      <w:pPr>
        <w:ind w:right="20" w:firstLine="1027"/>
        <w:spacing w:after="0" w:line="242" w:lineRule="auto"/>
        <w:rPr>
          <w:sz w:val="20"/>
          <w:szCs w:val="20"/>
          <w:color w:val="auto"/>
        </w:rPr>
      </w:pPr>
      <w:r>
        <w:rPr>
          <w:rFonts w:ascii="Times New Roman" w:cs="Times New Roman" w:eastAsia="Times New Roman" w:hAnsi="Times New Roman"/>
          <w:sz w:val="20"/>
          <w:szCs w:val="20"/>
          <w:color w:val="auto"/>
        </w:rPr>
        <w:t>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indebtedness is non-recourse to such Person. For the avoidance of doubt, Indebtedness of the type described in the preceding sentence shall not be considered to be recourse to a Person if recourse is contingent upon the occurrence of specified events that have not yet occurred in circumstances in which the occurrence of such events is within the control of such Person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provisions commonly known as “bad boy” provisions). Notwithstanding anything herein to the contrary, Indebtedness shall not include (i) any payment obligation or other liability of such Person under the Marriott International, Inc. Executive Deferred Compensation Plan or the Marriott Vacations Worldwide Corporation Executive Deferred Compensation Plan, each a non-qualified deferred compensation plan within the meaning of IRC Section 409A, and (ii) any amounts relating to full membership agreements in The Ritz-Carlton Golf Club &amp; Spa, Jupiter (Florida) which are refundable, without interest, to full members in good standing after thirty years of continuous membership and which do not, in any case, have a redemption date earlier than the year 2029.</w:t>
      </w:r>
    </w:p>
    <w:p>
      <w:pPr>
        <w:spacing w:after="0" w:line="19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Liabilities</w:t>
      </w:r>
      <w:r>
        <w:rPr>
          <w:rFonts w:ascii="Times New Roman" w:cs="Times New Roman" w:eastAsia="Times New Roman" w:hAnsi="Times New Roman"/>
          <w:sz w:val="20"/>
          <w:szCs w:val="20"/>
          <w:color w:val="auto"/>
        </w:rPr>
        <w:t>”: as defined in Section 10.5.</w:t>
      </w:r>
    </w:p>
    <w:p>
      <w:pPr>
        <w:spacing w:after="0" w:line="216" w:lineRule="exact"/>
        <w:rPr>
          <w:sz w:val="20"/>
          <w:szCs w:val="20"/>
          <w:color w:val="auto"/>
        </w:rPr>
      </w:pPr>
    </w:p>
    <w:p>
      <w:pPr>
        <w:jc w:val="both"/>
        <w:ind w:right="20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(a) Taxes, other than Excluded Taxes, imposed on or with respect to any payment made by any Loan Party under any Loan Document and (b) Other Taxes.</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as defined in Section 10.5.</w:t>
      </w:r>
    </w:p>
    <w:p>
      <w:pPr>
        <w:spacing w:after="0" w:line="216" w:lineRule="exact"/>
        <w:rPr>
          <w:sz w:val="20"/>
          <w:szCs w:val="20"/>
          <w:color w:val="auto"/>
        </w:rPr>
      </w:pPr>
    </w:p>
    <w:p>
      <w:pPr>
        <w:ind w:right="12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Indenture Trustee</w:t>
      </w:r>
      <w:r>
        <w:rPr>
          <w:rFonts w:ascii="Times New Roman" w:cs="Times New Roman" w:eastAsia="Times New Roman" w:hAnsi="Times New Roman"/>
          <w:sz w:val="20"/>
          <w:szCs w:val="20"/>
          <w:color w:val="auto"/>
        </w:rPr>
        <w:t>”: with respect to a Qualified Securitization Transaction, any entity designated as trustee or indenture trustee in the documents relating to such Qualified Securitization Transaction.</w:t>
      </w:r>
    </w:p>
    <w:p>
      <w:pPr>
        <w:spacing w:after="0" w:line="160" w:lineRule="exact"/>
        <w:rPr>
          <w:sz w:val="20"/>
          <w:szCs w:val="20"/>
          <w:color w:val="auto"/>
        </w:rPr>
      </w:pPr>
    </w:p>
    <w:p>
      <w:pPr>
        <w:jc w:val="both"/>
        <w:ind w:right="22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Independent Financial Advisor</w:t>
      </w:r>
      <w:r>
        <w:rPr>
          <w:rFonts w:ascii="Times New Roman" w:cs="Times New Roman" w:eastAsia="Times New Roman" w:hAnsi="Times New Roman"/>
          <w:sz w:val="20"/>
          <w:szCs w:val="20"/>
          <w:color w:val="auto"/>
        </w:rPr>
        <w:t>”: an accounting, appraisal, investment banking firm or consultant to Persons engaged in similar businesses of nationally recognized standing that is, in the good faith judgment of the Borrower, qualified to perform the task for which it has been engaged.</w:t>
      </w:r>
    </w:p>
    <w:p>
      <w:pPr>
        <w:spacing w:after="0" w:line="175" w:lineRule="exact"/>
        <w:rPr>
          <w:sz w:val="20"/>
          <w:szCs w:val="20"/>
          <w:color w:val="auto"/>
        </w:rPr>
      </w:pPr>
    </w:p>
    <w:p>
      <w:pPr>
        <w:ind w:firstLine="102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In-Process Property</w:t>
      </w:r>
      <w:r>
        <w:rPr>
          <w:rFonts w:ascii="Times New Roman" w:cs="Times New Roman" w:eastAsia="Times New Roman" w:hAnsi="Times New Roman"/>
          <w:sz w:val="20"/>
          <w:szCs w:val="20"/>
          <w:color w:val="auto"/>
        </w:rPr>
        <w:t xml:space="preserve">”: real property owned by a Loan Party that such Loan Party intends to convert into Time Share Interests for which the Preliminary Construction Stage has commenced;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raw land shall not be considered In-Process Property. For purposes of this definition, the “Preliminary Construction Stage has commenced” when each of the following is true regarding the applicable real property: (a) the engineering and design work is complete; (b) all material construction contracts relating to the applicable real property have been executed; (c) the portion of the site related to the real property has been cleared, prepared and excavated; and (d) construction of the building substructure has commenced.</w:t>
      </w:r>
    </w:p>
    <w:p>
      <w:pPr>
        <w:spacing w:after="0" w:line="18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Insolvent</w:t>
      </w:r>
      <w:r>
        <w:rPr>
          <w:rFonts w:ascii="Times New Roman" w:cs="Times New Roman" w:eastAsia="Times New Roman" w:hAnsi="Times New Roman"/>
          <w:sz w:val="19"/>
          <w:szCs w:val="19"/>
          <w:color w:val="auto"/>
        </w:rPr>
        <w:t>”: with respect to any Multiemployer Plan, the condition that such plan is insolvent within the meaning of Section 4245</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ERISA.</w:t>
      </w:r>
    </w:p>
    <w:p>
      <w:pPr>
        <w:spacing w:after="0" w:line="194" w:lineRule="exact"/>
        <w:rPr>
          <w:sz w:val="20"/>
          <w:szCs w:val="20"/>
          <w:color w:val="auto"/>
        </w:rPr>
      </w:pPr>
    </w:p>
    <w:p>
      <w:pPr>
        <w:ind w:right="400" w:firstLine="102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the collective reference to all rights, priorities and privileges relating to intellectual property, whether arising under United States, multinational or foreign laws or otherwise,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ectPr>
          <w:pgSz w:w="11900" w:h="16838" w:orient="portrait"/>
          <w:cols w:equalWidth="0" w:num="1">
            <w:col w:w="11420"/>
          </w:cols>
          <w:pgMar w:left="240" w:top="409" w:right="2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w:t>
      </w:r>
    </w:p>
    <w:p>
      <w:pPr>
        <w:spacing w:after="0" w:line="238" w:lineRule="exact"/>
        <w:rPr>
          <w:sz w:val="20"/>
          <w:szCs w:val="20"/>
          <w:color w:val="auto"/>
        </w:rPr>
      </w:pPr>
    </w:p>
    <w:p>
      <w:pPr>
        <w:ind w:right="360" w:firstLine="1027"/>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Intercompany Agreements</w:t>
      </w:r>
      <w:r>
        <w:rPr>
          <w:rFonts w:ascii="Times New Roman" w:cs="Times New Roman" w:eastAsia="Times New Roman" w:hAnsi="Times New Roman"/>
          <w:sz w:val="19"/>
          <w:szCs w:val="19"/>
          <w:color w:val="auto"/>
        </w:rPr>
        <w:t>”: collectively, the Marriott License Agreement, the Ritz-Carlton License Agreement, the Noncompetition Agreement, the Marriott Rewards Affiliation Agreement, the Marriott Comfort Letter and the Ritz-Carlton Comfort Letter.</w:t>
      </w:r>
    </w:p>
    <w:p>
      <w:pPr>
        <w:spacing w:after="0" w:line="136" w:lineRule="exact"/>
        <w:rPr>
          <w:sz w:val="20"/>
          <w:szCs w:val="20"/>
          <w:color w:val="auto"/>
        </w:rPr>
      </w:pPr>
    </w:p>
    <w:p>
      <w:pPr>
        <w:jc w:val="both"/>
        <w:ind w:right="200" w:firstLine="1027"/>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(a) as to any ABR Loan, the last day of each March, June, September and December (or, if an Event of Default is in existence, the last day of each calendar month) to occur while such Loan is outstanding and the final maturity date of such Loan,</w:t>
      </w:r>
    </w:p>
    <w:p>
      <w:pPr>
        <w:spacing w:after="0" w:line="1" w:lineRule="exact"/>
        <w:rPr>
          <w:sz w:val="20"/>
          <w:szCs w:val="20"/>
          <w:color w:val="auto"/>
        </w:rPr>
      </w:pPr>
    </w:p>
    <w:p>
      <w:pPr>
        <w:jc w:val="both"/>
        <w:ind w:right="200" w:firstLine="8"/>
        <w:spacing w:after="0" w:line="241" w:lineRule="auto"/>
        <w:tabs>
          <w:tab w:leader="none" w:pos="2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to any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 having an Interest Period of three months or less, the last day of such Interest Period, (c) as to any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having an Interest Period longer than three months, each day that is three months, or a whole multiple thereof,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after the first day of such Interest Period and the last day of such Interest Period and (d) as to any Loan (other than any Loan that is an ABR Loan), the date of any repayment or prepayment made in respect thereof.</w:t>
      </w:r>
    </w:p>
    <w:p>
      <w:pPr>
        <w:spacing w:after="0" w:line="18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as to any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 (a) initially, the period commencing on the borrowing or conversion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 as the case may be, with respect to such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 and ending one, two, three or six months thereafter, as selected by</w:t>
      </w:r>
    </w:p>
    <w:p>
      <w:pPr>
        <w:spacing w:after="0"/>
        <w:rPr>
          <w:sz w:val="20"/>
          <w:szCs w:val="20"/>
          <w:color w:val="auto"/>
        </w:rPr>
      </w:pPr>
      <w:r>
        <w:rPr>
          <w:rFonts w:ascii="Times New Roman" w:cs="Times New Roman" w:eastAsia="Times New Roman" w:hAnsi="Times New Roman"/>
          <w:sz w:val="19"/>
          <w:szCs w:val="19"/>
          <w:color w:val="auto"/>
        </w:rPr>
        <w:t>the Borrower in its Notice of Borrowing, substantially in the form of Exhibit N, or notice of conversion, as the case may be, given with respect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thereto; and (b) thereafter, each period commencing on the last day of the next preceding Interest Period applicable to such</w:t>
      </w:r>
    </w:p>
    <w:p>
      <w:pPr>
        <w:spacing w:after="0"/>
        <w:rPr>
          <w:sz w:val="20"/>
          <w:szCs w:val="20"/>
          <w:color w:val="auto"/>
        </w:rPr>
      </w:pP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and ending one, two, three or six months thereafter, as selected by the Borrower by irrevocable notice to the</w:t>
      </w:r>
    </w:p>
    <w:p>
      <w:pPr>
        <w:spacing w:after="0"/>
        <w:rPr>
          <w:sz w:val="20"/>
          <w:szCs w:val="20"/>
          <w:color w:val="auto"/>
        </w:rPr>
      </w:pPr>
      <w:r>
        <w:rPr>
          <w:rFonts w:ascii="Times New Roman" w:cs="Times New Roman" w:eastAsia="Times New Roman" w:hAnsi="Times New Roman"/>
          <w:sz w:val="20"/>
          <w:szCs w:val="20"/>
          <w:color w:val="auto"/>
        </w:rPr>
        <w:t>Administrative Agent not later than 11:00 A.M., New York City time, on the date that is three Business Days prior to the last day of the then</w:t>
      </w:r>
    </w:p>
    <w:p>
      <w:pPr>
        <w:spacing w:after="0"/>
        <w:rPr>
          <w:sz w:val="20"/>
          <w:szCs w:val="20"/>
          <w:color w:val="auto"/>
        </w:rPr>
      </w:pPr>
      <w:r>
        <w:rPr>
          <w:rFonts w:ascii="Times New Roman" w:cs="Times New Roman" w:eastAsia="Times New Roman" w:hAnsi="Times New Roman"/>
          <w:sz w:val="20"/>
          <w:szCs w:val="20"/>
          <w:color w:val="auto"/>
        </w:rPr>
        <w:t xml:space="preserve">current Interest Period with respect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of the foregoing provisions relating to Interest Periods are subject to the</w:t>
      </w:r>
    </w:p>
    <w:p>
      <w:pPr>
        <w:spacing w:after="0"/>
        <w:rPr>
          <w:sz w:val="20"/>
          <w:szCs w:val="20"/>
          <w:color w:val="auto"/>
        </w:rPr>
      </w:pPr>
      <w:r>
        <w:rPr>
          <w:rFonts w:ascii="Times New Roman" w:cs="Times New Roman" w:eastAsia="Times New Roman" w:hAnsi="Times New Roman"/>
          <w:sz w:val="20"/>
          <w:szCs w:val="20"/>
          <w:color w:val="auto"/>
        </w:rPr>
        <w:t>following:</w:t>
      </w:r>
    </w:p>
    <w:p>
      <w:pPr>
        <w:spacing w:after="0" w:line="194" w:lineRule="exact"/>
        <w:rPr>
          <w:sz w:val="20"/>
          <w:szCs w:val="20"/>
          <w:color w:val="auto"/>
        </w:rPr>
      </w:pPr>
    </w:p>
    <w:p>
      <w:pPr>
        <w:ind w:left="460" w:right="80" w:firstLine="542"/>
        <w:spacing w:after="0" w:line="254" w:lineRule="auto"/>
        <w:tabs>
          <w:tab w:leader="none" w:pos="15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74" w:lineRule="exact"/>
        <w:rPr>
          <w:rFonts w:ascii="Times New Roman" w:cs="Times New Roman" w:eastAsia="Times New Roman" w:hAnsi="Times New Roman"/>
          <w:sz w:val="20"/>
          <w:szCs w:val="20"/>
          <w:color w:val="auto"/>
        </w:rPr>
      </w:pPr>
    </w:p>
    <w:p>
      <w:pPr>
        <w:ind w:left="1640" w:hanging="638"/>
        <w:spacing w:after="0"/>
        <w:tabs>
          <w:tab w:leader="none" w:pos="16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not select an Interest Period that would extend beyond the Termination Date; and</w:t>
      </w:r>
    </w:p>
    <w:p>
      <w:pPr>
        <w:spacing w:after="0" w:line="215" w:lineRule="exact"/>
        <w:rPr>
          <w:rFonts w:ascii="Times New Roman" w:cs="Times New Roman" w:eastAsia="Times New Roman" w:hAnsi="Times New Roman"/>
          <w:sz w:val="20"/>
          <w:szCs w:val="20"/>
          <w:color w:val="auto"/>
        </w:rPr>
      </w:pPr>
    </w:p>
    <w:p>
      <w:pPr>
        <w:ind w:left="460" w:right="20" w:firstLine="542"/>
        <w:spacing w:after="0" w:line="296" w:lineRule="auto"/>
        <w:tabs>
          <w:tab w:leader="none" w:pos="169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136" w:lineRule="exact"/>
        <w:rPr>
          <w:sz w:val="20"/>
          <w:szCs w:val="20"/>
          <w:color w:val="auto"/>
        </w:rPr>
      </w:pPr>
    </w:p>
    <w:p>
      <w:pPr>
        <w:ind w:right="120" w:firstLine="1027"/>
        <w:spacing w:after="0" w:line="257" w:lineRule="auto"/>
        <w:rPr>
          <w:sz w:val="20"/>
          <w:szCs w:val="20"/>
          <w:color w:val="auto"/>
        </w:rPr>
      </w:pPr>
      <w:r>
        <w:rPr>
          <w:rFonts w:ascii="Times New Roman" w:cs="Times New Roman" w:eastAsia="Times New Roman" w:hAnsi="Times New Roman"/>
          <w:sz w:val="19"/>
          <w:szCs w:val="19"/>
          <w:u w:val="single" w:color="auto"/>
          <w:color w:val="0000FF"/>
        </w:rPr>
        <w:t xml:space="preserve">“Interpolated Rate”: at any time and with respect to any Impacted Currency for any Impacted Interest Period, the rate per annum (rounded to the same number of decimal places as the applicable Screen Rate) determined by the Administrative Agent </w:t>
      </w:r>
      <w:r>
        <w:rPr>
          <w:rFonts w:ascii="Times New Roman" w:cs="Times New Roman" w:eastAsia="Times New Roman" w:hAnsi="Times New Roman"/>
          <w:sz w:val="19"/>
          <w:szCs w:val="19"/>
          <w:u w:val="single" w:color="auto"/>
          <w:color w:val="008000"/>
        </w:rPr>
        <w:t>(which determination</w:t>
      </w:r>
      <w:r>
        <w:rPr>
          <w:rFonts w:ascii="Times New Roman" w:cs="Times New Roman" w:eastAsia="Times New Roman" w:hAnsi="Times New Roman"/>
          <w:sz w:val="19"/>
          <w:szCs w:val="19"/>
          <w:u w:val="single" w:color="auto"/>
          <w:color w:val="0000FF"/>
        </w:rPr>
        <w:t xml:space="preserve"> </w:t>
      </w:r>
      <w:r>
        <w:rPr>
          <w:rFonts w:ascii="Times New Roman" w:cs="Times New Roman" w:eastAsia="Times New Roman" w:hAnsi="Times New Roman"/>
          <w:sz w:val="19"/>
          <w:szCs w:val="19"/>
          <w:u w:val="single" w:color="auto"/>
          <w:color w:val="008000"/>
        </w:rPr>
        <w:t xml:space="preserve">shall be conclusive and binding absent manifest error) to be equal to the rate that results from interpolating on a linear basis between: (a) the </w:t>
      </w:r>
      <w:r>
        <w:rPr>
          <w:rFonts w:ascii="Times New Roman" w:cs="Times New Roman" w:eastAsia="Times New Roman" w:hAnsi="Times New Roman"/>
          <w:sz w:val="19"/>
          <w:szCs w:val="19"/>
          <w:u w:val="single" w:color="auto"/>
          <w:color w:val="0000FF"/>
        </w:rPr>
        <w:t xml:space="preserve">applicable </w:t>
      </w:r>
      <w:r>
        <w:rPr>
          <w:rFonts w:ascii="Times New Roman" w:cs="Times New Roman" w:eastAsia="Times New Roman" w:hAnsi="Times New Roman"/>
          <w:sz w:val="19"/>
          <w:szCs w:val="19"/>
          <w:u w:val="single" w:color="auto"/>
          <w:color w:val="008000"/>
        </w:rPr>
        <w:t>Screen Rate for the longest period</w:t>
      </w:r>
      <w:r>
        <w:rPr>
          <w:rFonts w:ascii="Times New Roman" w:cs="Times New Roman" w:eastAsia="Times New Roman" w:hAnsi="Times New Roman"/>
          <w:sz w:val="19"/>
          <w:szCs w:val="19"/>
          <w:u w:val="single" w:color="auto"/>
          <w:color w:val="0000FF"/>
        </w:rPr>
        <w:t xml:space="preserve"> for which such Screen Rate is available for the Impacted Currency </w:t>
      </w:r>
      <w:r>
        <w:rPr>
          <w:rFonts w:ascii="Times New Roman" w:cs="Times New Roman" w:eastAsia="Times New Roman" w:hAnsi="Times New Roman"/>
          <w:sz w:val="19"/>
          <w:szCs w:val="19"/>
          <w:u w:val="single" w:color="auto"/>
          <w:color w:val="008000"/>
        </w:rPr>
        <w:t>that is shorter than the</w:t>
      </w:r>
      <w:r>
        <w:rPr>
          <w:rFonts w:ascii="Times New Roman" w:cs="Times New Roman" w:eastAsia="Times New Roman" w:hAnsi="Times New Roman"/>
          <w:sz w:val="19"/>
          <w:szCs w:val="19"/>
          <w:u w:val="single" w:color="auto"/>
          <w:color w:val="0000FF"/>
        </w:rPr>
        <w:t xml:space="preserve"> </w:t>
      </w:r>
      <w:r>
        <w:rPr>
          <w:rFonts w:ascii="Times New Roman" w:cs="Times New Roman" w:eastAsia="Times New Roman" w:hAnsi="Times New Roman"/>
          <w:sz w:val="19"/>
          <w:szCs w:val="19"/>
          <w:u w:val="single" w:color="auto"/>
          <w:color w:val="008000"/>
        </w:rPr>
        <w:t xml:space="preserve">Impacted Interest Period and (b) the Screen Rate for the shortest period for which that Screen Rate is available for </w:t>
      </w:r>
      <w:r>
        <w:rPr>
          <w:rFonts w:ascii="Times New Roman" w:cs="Times New Roman" w:eastAsia="Times New Roman" w:hAnsi="Times New Roman"/>
          <w:sz w:val="19"/>
          <w:szCs w:val="19"/>
          <w:u w:val="single" w:color="auto"/>
          <w:color w:val="0000FF"/>
        </w:rPr>
        <w:t>the Impacted Currency is</w:t>
      </w:r>
      <w:r>
        <w:rPr>
          <w:rFonts w:ascii="Times New Roman" w:cs="Times New Roman" w:eastAsia="Times New Roman" w:hAnsi="Times New Roman"/>
          <w:sz w:val="19"/>
          <w:szCs w:val="19"/>
          <w:u w:val="single" w:color="auto"/>
          <w:color w:val="008000"/>
        </w:rPr>
        <w:t xml:space="preserve"> </w:t>
      </w:r>
      <w:r>
        <w:rPr>
          <w:rFonts w:ascii="Times New Roman" w:cs="Times New Roman" w:eastAsia="Times New Roman" w:hAnsi="Times New Roman"/>
          <w:sz w:val="19"/>
          <w:szCs w:val="19"/>
          <w:u w:val="single" w:color="auto"/>
          <w:color w:val="0000FF"/>
        </w:rPr>
        <w:t xml:space="preserve">longer than </w:t>
      </w:r>
      <w:r>
        <w:rPr>
          <w:rFonts w:ascii="Times New Roman" w:cs="Times New Roman" w:eastAsia="Times New Roman" w:hAnsi="Times New Roman"/>
          <w:sz w:val="19"/>
          <w:szCs w:val="19"/>
          <w:u w:val="single" w:color="auto"/>
          <w:color w:val="008000"/>
        </w:rPr>
        <w:t>the Impacted Interest Period, in each case,</w:t>
      </w:r>
      <w:r>
        <w:rPr>
          <w:rFonts w:ascii="Times New Roman" w:cs="Times New Roman" w:eastAsia="Times New Roman" w:hAnsi="Times New Roman"/>
          <w:sz w:val="19"/>
          <w:szCs w:val="19"/>
          <w:u w:val="single" w:color="auto"/>
          <w:color w:val="0000FF"/>
        </w:rPr>
        <w:t xml:space="preserve"> as of the Specified Time on the Quotation Day. When determining the rate for a period which is shorter than the shortest period for which the applicable Screen Rate is available, such Screen Rate for purposes of clause (a) above shall be deemed to be (i) if the Impacted Currency is Dollars, the overnight rate for Dollars determined by the Administrative Agent from such service as the Administrative Agent may select in its reasonable discretion and (ii) otherwise, the Overnight Eurocurrency Rate.</w:t>
      </w:r>
    </w:p>
    <w:p>
      <w:pPr>
        <w:sectPr>
          <w:pgSz w:w="11900" w:h="16838" w:orient="portrait"/>
          <w:cols w:equalWidth="0" w:num="1">
            <w:col w:w="11420"/>
          </w:cols>
          <w:pgMar w:left="240" w:top="409" w:right="2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p>
    <w:p>
      <w:pPr>
        <w:spacing w:after="0" w:line="23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as defined in Section 7.9.</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the United States Internal Revenue Service.</w:t>
      </w:r>
    </w:p>
    <w:p>
      <w:pPr>
        <w:spacing w:after="0" w:line="216" w:lineRule="exact"/>
        <w:rPr>
          <w:sz w:val="20"/>
          <w:szCs w:val="20"/>
          <w:color w:val="auto"/>
        </w:rPr>
      </w:pPr>
    </w:p>
    <w:p>
      <w:pPr>
        <w:ind w:right="120" w:firstLine="102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Lender</w:t>
      </w:r>
      <w:r>
        <w:rPr>
          <w:rFonts w:ascii="Times New Roman" w:cs="Times New Roman" w:eastAsia="Times New Roman" w:hAnsi="Times New Roman"/>
          <w:sz w:val="20"/>
          <w:szCs w:val="20"/>
          <w:color w:val="auto"/>
        </w:rPr>
        <w:t>”: each of JPMorgan Chase Bank, N.A., Bank of America, N.A., Deutsche Bank AG New York Branch and any other Lender (i) approved by the Administrative Agent and the Borrower and (ii) that has agreed in its sole discretion to act as an “Issuing Lender” hereunder, or any of their respective affiliates, in each case in its capacity as issuer of any Letter of Credit. Each reference herein to “the Issuing Lender” shall be deemed to be a reference to the relevant Issuing Lender. Upon its termination as an Issuing Lender in accordance with Section 3.9, such Lender shall cease to be an “Issuing Lender”.</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u w:val="single" w:color="auto"/>
          <w:color w:val="0000FF"/>
        </w:rPr>
        <w:t>“Japanese Yen”: the official legal currency of Japan.</w:t>
      </w:r>
    </w:p>
    <w:p>
      <w:pPr>
        <w:spacing w:after="0" w:line="216" w:lineRule="exact"/>
        <w:rPr>
          <w:sz w:val="20"/>
          <w:szCs w:val="20"/>
          <w:color w:val="auto"/>
        </w:rPr>
      </w:pPr>
    </w:p>
    <w:p>
      <w:pPr>
        <w:ind w:right="16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Land Trust</w:t>
      </w:r>
      <w:r>
        <w:rPr>
          <w:rFonts w:ascii="Times New Roman" w:cs="Times New Roman" w:eastAsia="Times New Roman" w:hAnsi="Times New Roman"/>
          <w:sz w:val="20"/>
          <w:szCs w:val="20"/>
          <w:color w:val="auto"/>
        </w:rPr>
        <w:t>”: the land trust number 1082-0300-00 established pursuant to Section 689.071 of the Florida Statutes pursuant to the Trust Agreement, effective as of March 11, 2010, by and among First American Trust FSB, as trustee, the Borrower, as developer, and MVC Trust Owners Association, Inc., a Florida not-for-profit company.</w:t>
      </w:r>
    </w:p>
    <w:p>
      <w:pPr>
        <w:spacing w:after="0" w:line="175" w:lineRule="exact"/>
        <w:rPr>
          <w:sz w:val="20"/>
          <w:szCs w:val="20"/>
          <w:color w:val="auto"/>
        </w:rPr>
      </w:pPr>
    </w:p>
    <w:p>
      <w:pPr>
        <w:ind w:right="40" w:firstLine="102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Commitment</w:t>
      </w:r>
      <w:r>
        <w:rPr>
          <w:rFonts w:ascii="Times New Roman" w:cs="Times New Roman" w:eastAsia="Times New Roman" w:hAnsi="Times New Roman"/>
          <w:sz w:val="20"/>
          <w:szCs w:val="20"/>
          <w:color w:val="auto"/>
        </w:rPr>
        <w:t>”: as to any Issuing Lender, the amount agreed from time to time by such Issuing Lender and the Borrower (and notified to the Administrative Agent) as the maximum amount of Letters of Credit that such Issuing Lender is willing to issue at any time for the account of the Group Members hereunder, such amount to be based upon the amount of L/C Obligations attributable to Letters of Credit issued by such Issuing Lender at such time. The L/C Commitment of (i) JPMorgan Chase Bank, N.A. is $20,000,000, (ii) Bank of America, N.A. is $20,000,000 and (iii) Deutsche Bank AG New York Branch is $20,000,000.</w:t>
      </w:r>
    </w:p>
    <w:p>
      <w:pPr>
        <w:spacing w:after="0" w:line="181" w:lineRule="exact"/>
        <w:rPr>
          <w:sz w:val="20"/>
          <w:szCs w:val="20"/>
          <w:color w:val="auto"/>
        </w:rPr>
      </w:pPr>
    </w:p>
    <w:p>
      <w:pPr>
        <w:ind w:right="8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Exposure</w:t>
      </w:r>
      <w:r>
        <w:rPr>
          <w:rFonts w:ascii="Times New Roman" w:cs="Times New Roman" w:eastAsia="Times New Roman" w:hAnsi="Times New Roman"/>
          <w:sz w:val="20"/>
          <w:szCs w:val="20"/>
          <w:color w:val="auto"/>
        </w:rPr>
        <w:t xml:space="preserve">”: at any time, the total L/C Obligations. The L/C Exposure of any Lender at any time shall be its </w:t>
      </w:r>
      <w:r>
        <w:rPr>
          <w:rFonts w:ascii="Times New Roman" w:cs="Times New Roman" w:eastAsia="Times New Roman" w:hAnsi="Times New Roman"/>
          <w:sz w:val="20"/>
          <w:szCs w:val="20"/>
          <w:color w:val="FF0000"/>
          <w:strike w:val="1"/>
        </w:rPr>
        <w:t>Percentage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total</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L/C</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Exposure</w:t>
      </w:r>
      <w:r>
        <w:rPr>
          <w:rFonts w:ascii="Times New Roman" w:cs="Times New Roman" w:eastAsia="Times New Roman" w:hAnsi="Times New Roman"/>
          <w:sz w:val="20"/>
          <w:szCs w:val="20"/>
          <w:u w:val="single" w:color="auto"/>
          <w:color w:val="0000FF"/>
        </w:rPr>
        <w:t>Participation Amount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at such time.</w:t>
      </w:r>
    </w:p>
    <w:p>
      <w:pPr>
        <w:spacing w:after="0" w:line="160" w:lineRule="exact"/>
        <w:rPr>
          <w:sz w:val="20"/>
          <w:szCs w:val="20"/>
          <w:color w:val="auto"/>
        </w:rPr>
      </w:pPr>
    </w:p>
    <w:p>
      <w:pPr>
        <w:ind w:right="40" w:firstLine="1027"/>
        <w:spacing w:after="0" w:line="249" w:lineRule="auto"/>
        <w:rPr>
          <w:sz w:val="20"/>
          <w:szCs w:val="20"/>
          <w:color w:val="auto"/>
        </w:rPr>
      </w:pPr>
      <w:r>
        <w:rPr>
          <w:rFonts w:ascii="Times New Roman" w:cs="Times New Roman" w:eastAsia="Times New Roman" w:hAnsi="Times New Roman"/>
          <w:sz w:val="20"/>
          <w:szCs w:val="20"/>
          <w:u w:val="single" w:color="auto"/>
          <w:color w:val="0000FF"/>
        </w:rPr>
        <w:t xml:space="preserve">“L/C Foreign </w:t>
      </w:r>
      <w:r>
        <w:rPr>
          <w:rFonts w:ascii="Times New Roman" w:cs="Times New Roman" w:eastAsia="Times New Roman" w:hAnsi="Times New Roman"/>
          <w:sz w:val="20"/>
          <w:szCs w:val="20"/>
          <w:u w:val="single" w:color="auto"/>
          <w:color w:val="008000"/>
        </w:rPr>
        <w:t>Currency”: at any time, United Arab Emirates Dirham, Bahraini Dinar, Hong Kong Dollars, Euros, South African</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 xml:space="preserve">Rand, Singapore Dollars and any other currency that is </w:t>
      </w:r>
      <w:r>
        <w:rPr>
          <w:rFonts w:ascii="Times New Roman" w:cs="Times New Roman" w:eastAsia="Times New Roman" w:hAnsi="Times New Roman"/>
          <w:sz w:val="20"/>
          <w:szCs w:val="20"/>
          <w:u w:val="single" w:color="auto"/>
          <w:color w:val="0000FF"/>
        </w:rPr>
        <w:t>a lawful currency that is freely</w:t>
      </w:r>
      <w:r>
        <w:rPr>
          <w:rFonts w:ascii="Times New Roman" w:cs="Times New Roman" w:eastAsia="Times New Roman" w:hAnsi="Times New Roman"/>
          <w:sz w:val="20"/>
          <w:szCs w:val="20"/>
          <w:u w:val="single" w:color="auto"/>
          <w:color w:val="008000"/>
        </w:rPr>
        <w:t xml:space="preserve"> convertible into Dollars and is freely traded and </w:t>
      </w:r>
      <w:r>
        <w:rPr>
          <w:rFonts w:ascii="Times New Roman" w:cs="Times New Roman" w:eastAsia="Times New Roman" w:hAnsi="Times New Roman"/>
          <w:sz w:val="20"/>
          <w:szCs w:val="20"/>
          <w:u w:val="single" w:color="auto"/>
          <w:color w:val="0000FF"/>
        </w:rPr>
        <w:t>readily</w:t>
      </w:r>
      <w:r>
        <w:rPr>
          <w:rFonts w:ascii="Times New Roman" w:cs="Times New Roman" w:eastAsia="Times New Roman" w:hAnsi="Times New Roman"/>
          <w:sz w:val="20"/>
          <w:szCs w:val="20"/>
          <w:u w:val="single" w:color="auto"/>
          <w:color w:val="008000"/>
        </w:rPr>
        <w:t xml:space="preserve"> available in the London interbank eurocurrency market that has been designated by the Borrower (with the consent of the Administrative Agent and the relevant Issuing Lender) to be an “</w:t>
      </w:r>
      <w:r>
        <w:rPr>
          <w:rFonts w:ascii="Times New Roman" w:cs="Times New Roman" w:eastAsia="Times New Roman" w:hAnsi="Times New Roman"/>
          <w:sz w:val="20"/>
          <w:szCs w:val="20"/>
          <w:u w:val="single" w:color="auto"/>
          <w:color w:val="0000FF"/>
        </w:rPr>
        <w:t>L/C Foreign Currency”.</w:t>
      </w:r>
    </w:p>
    <w:p>
      <w:pPr>
        <w:spacing w:after="0" w:line="180" w:lineRule="exact"/>
        <w:rPr>
          <w:sz w:val="20"/>
          <w:szCs w:val="20"/>
          <w:color w:val="auto"/>
        </w:rPr>
      </w:pPr>
    </w:p>
    <w:p>
      <w:pPr>
        <w:ind w:right="140" w:firstLine="102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xml:space="preserve">”: at any time, an amount equal to the sum of (a) the aggregate then undrawn and unexpired amount of the then outstanding Letters of Credit </w:t>
      </w:r>
      <w:r>
        <w:rPr>
          <w:rFonts w:ascii="Times New Roman" w:cs="Times New Roman" w:eastAsia="Times New Roman" w:hAnsi="Times New Roman"/>
          <w:sz w:val="20"/>
          <w:szCs w:val="20"/>
          <w:u w:val="single" w:color="auto"/>
          <w:color w:val="0000FF"/>
        </w:rPr>
        <w:t>(including the Dollar Equivalent of the undrawn and unexpired amount of the then outstanding Letters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denominated in L/C Foreign Currencies)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and (b) the aggregate amount of drawings under Letters of Credit that have not then been reimbursed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pursuant to Section 3.5 </w:t>
      </w:r>
      <w:r>
        <w:rPr>
          <w:rFonts w:ascii="Times New Roman" w:cs="Times New Roman" w:eastAsia="Times New Roman" w:hAnsi="Times New Roman"/>
          <w:sz w:val="20"/>
          <w:szCs w:val="20"/>
          <w:u w:val="single" w:color="auto"/>
          <w:color w:val="0000FF"/>
        </w:rPr>
        <w:t>(including the Dollar Equivalent of the aggregate amount of drawings under Letters of Credit denominated in L/C</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Foreign Currencies that have not then been reimbursed pursuant to Section 3.5 )</w:t>
      </w:r>
      <w:r>
        <w:rPr>
          <w:rFonts w:ascii="Times New Roman" w:cs="Times New Roman" w:eastAsia="Times New Roman" w:hAnsi="Times New Roman"/>
          <w:sz w:val="20"/>
          <w:szCs w:val="20"/>
          <w:color w:val="000000"/>
        </w:rPr>
        <w:t>.</w:t>
      </w:r>
    </w:p>
    <w:p>
      <w:pPr>
        <w:spacing w:after="0" w:line="181" w:lineRule="exact"/>
        <w:rPr>
          <w:sz w:val="20"/>
          <w:szCs w:val="20"/>
          <w:color w:val="auto"/>
        </w:rPr>
      </w:pPr>
    </w:p>
    <w:p>
      <w:pPr>
        <w:ind w:right="20" w:firstLine="1027"/>
        <w:spacing w:after="0" w:line="254" w:lineRule="auto"/>
        <w:rPr>
          <w:sz w:val="20"/>
          <w:szCs w:val="20"/>
          <w:color w:val="auto"/>
        </w:rPr>
      </w:pPr>
      <w:r>
        <w:rPr>
          <w:rFonts w:ascii="Times New Roman" w:cs="Times New Roman" w:eastAsia="Times New Roman" w:hAnsi="Times New Roman"/>
          <w:sz w:val="20"/>
          <w:szCs w:val="20"/>
          <w:u w:val="single" w:color="auto"/>
          <w:color w:val="0000FF"/>
        </w:rPr>
        <w:t>“L/C Participation Amount”: as to any L/C Participant at any time, an amount equal to (a) the lesser of (i) (x) the percentage which such L/C Participant’s Commitment then constitutes of the Total Commitments multiplied by (y) the aggregate L/C Obligations at such time and (ii) the excess, if any, of (x) such L/C Participant’s Commitment then in effect over (y) the sum of (I) the aggregate principal</w:t>
      </w:r>
    </w:p>
    <w:p>
      <w:pPr>
        <w:sectPr>
          <w:pgSz w:w="11900" w:h="16838" w:orient="portrait"/>
          <w:cols w:equalWidth="0" w:num="1">
            <w:col w:w="11420"/>
          </w:cols>
          <w:pgMar w:left="240" w:top="409" w:right="239" w:bottom="1440" w:gutter="0" w:footer="0" w:header="0"/>
        </w:sectPr>
      </w:pPr>
    </w:p>
    <w:bookmarkStart w:id="118" w:name="page119"/>
    <w:bookmarkEnd w:id="118"/>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w:t>
      </w:r>
    </w:p>
    <w:p>
      <w:pPr>
        <w:spacing w:after="0" w:line="238"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u w:val="single" w:color="auto"/>
          <w:color w:val="0000FF"/>
        </w:rPr>
        <w:t>amount of all Dollar Loans held by such L/C Participant then outstanding plus (II) the Dollar Equivalent of the aggregate principal amount of all Foreign Currency Loans held by such L/C Participant then outstanding, plus (b) for each L/C Participant that is a Non-Foreign Currency Lender (i) the percentage which such Non-Foreign Currency Lender’s Commitment then constitutes of the aggregate Commitments of all Non-Foreign Currency Lenders multiplied by (ii) the aggregate amount of the L/C Obligations which cannot be allocated in accordance with clause (a).</w:t>
      </w:r>
    </w:p>
    <w:p>
      <w:pPr>
        <w:spacing w:after="0" w:line="181" w:lineRule="exact"/>
        <w:rPr>
          <w:sz w:val="20"/>
          <w:szCs w:val="20"/>
          <w:color w:val="auto"/>
        </w:rPr>
      </w:pPr>
    </w:p>
    <w:p>
      <w:pPr>
        <w:ind w:right="980" w:firstLine="1027"/>
        <w:spacing w:after="0" w:line="269" w:lineRule="auto"/>
        <w:rPr>
          <w:sz w:val="20"/>
          <w:szCs w:val="20"/>
          <w:color w:val="auto"/>
        </w:rPr>
      </w:pPr>
      <w:r>
        <w:rPr>
          <w:rFonts w:ascii="Times New Roman" w:cs="Times New Roman" w:eastAsia="Times New Roman" w:hAnsi="Times New Roman"/>
          <w:sz w:val="20"/>
          <w:szCs w:val="20"/>
          <w:u w:val="single" w:color="auto"/>
          <w:color w:val="0000FF"/>
        </w:rPr>
        <w:t>“L/C Participation Percentage”: as to any L/C Participant at any time, the percentage which such L/C Participant’s L/C Participation Amount then constitutes of the total L/C Obligations at such time.</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Participants</w:t>
      </w:r>
      <w:r>
        <w:rPr>
          <w:rFonts w:ascii="Times New Roman" w:cs="Times New Roman" w:eastAsia="Times New Roman" w:hAnsi="Times New Roman"/>
          <w:sz w:val="20"/>
          <w:szCs w:val="20"/>
          <w:color w:val="auto"/>
        </w:rPr>
        <w:t>”: in respect of any Letter of Credit, the collective reference to all the Lenders other than the Issuing Lender.</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Sublimit</w:t>
      </w:r>
      <w:r>
        <w:rPr>
          <w:rFonts w:ascii="Times New Roman" w:cs="Times New Roman" w:eastAsia="Times New Roman" w:hAnsi="Times New Roman"/>
          <w:sz w:val="20"/>
          <w:szCs w:val="20"/>
          <w:color w:val="auto"/>
        </w:rPr>
        <w:t>”: $100,000,000.</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Parent</w:t>
      </w:r>
      <w:r>
        <w:rPr>
          <w:rFonts w:ascii="Times New Roman" w:cs="Times New Roman" w:eastAsia="Times New Roman" w:hAnsi="Times New Roman"/>
          <w:sz w:val="20"/>
          <w:szCs w:val="20"/>
          <w:color w:val="auto"/>
        </w:rPr>
        <w:t>”: with respect to any Lender, any Person as to which such Lender is, directly or indirectly, a Subsidiary.</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as defined in the preamble hereto.</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as defined in Section 3.1(a).</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Level</w:t>
      </w:r>
      <w:r>
        <w:rPr>
          <w:rFonts w:ascii="Times New Roman" w:cs="Times New Roman" w:eastAsia="Times New Roman" w:hAnsi="Times New Roman"/>
          <w:sz w:val="20"/>
          <w:szCs w:val="20"/>
          <w:color w:val="auto"/>
        </w:rPr>
        <w:t>”: as defined in the Pricing Grid.</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u w:val="single" w:color="auto"/>
          <w:color w:val="0000FF"/>
        </w:rPr>
        <w:t>“LIBOR Screen Rate”: as defined in the definition of “Eurocurrency Base Rate”.</w:t>
      </w:r>
    </w:p>
    <w:p>
      <w:pPr>
        <w:spacing w:after="0" w:line="216" w:lineRule="exact"/>
        <w:rPr>
          <w:sz w:val="20"/>
          <w:szCs w:val="20"/>
          <w:color w:val="auto"/>
        </w:rPr>
      </w:pPr>
    </w:p>
    <w:p>
      <w:pPr>
        <w:ind w:right="160" w:firstLine="102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any mortgage, pledge, hypothecation,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 of the foregoing).</w:t>
      </w:r>
    </w:p>
    <w:p>
      <w:pPr>
        <w:spacing w:after="0" w:line="18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8000"/>
          <w:strike w:val="1"/>
        </w:rPr>
        <w:t>as defined in Section 2.1(a)</w:t>
      </w:r>
      <w:r>
        <w:rPr>
          <w:rFonts w:ascii="Times New Roman" w:cs="Times New Roman" w:eastAsia="Times New Roman" w:hAnsi="Times New Roman"/>
          <w:sz w:val="20"/>
          <w:szCs w:val="20"/>
          <w:u w:val="single" w:color="auto"/>
          <w:color w:val="0000FF"/>
        </w:rPr>
        <w:t>Dollar Loans and Foreign Currency Loans, collectively and individually, as context may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require</w:t>
      </w:r>
      <w:r>
        <w:rPr>
          <w:rFonts w:ascii="Times New Roman" w:cs="Times New Roman" w:eastAsia="Times New Roman" w:hAnsi="Times New Roman"/>
          <w:sz w:val="20"/>
          <w:szCs w:val="20"/>
          <w:color w:val="FF0000"/>
        </w:rPr>
        <w:t>.</w:t>
      </w:r>
    </w:p>
    <w:p>
      <w:pPr>
        <w:spacing w:after="0" w:line="194" w:lineRule="exact"/>
        <w:rPr>
          <w:sz w:val="20"/>
          <w:szCs w:val="20"/>
          <w:color w:val="auto"/>
        </w:rPr>
      </w:pPr>
    </w:p>
    <w:p>
      <w:pPr>
        <w:ind w:right="72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this Agreement, the Security Documents, the Notes and any amendment, waiver, supplement or other modification to any of the foregoing.</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each Group Member that is a party to a Loan Document.</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u w:val="single" w:color="auto"/>
          <w:color w:val="0000FF"/>
        </w:rPr>
        <w:t>“Local Time”: (i) with respect to Foreign Currency Loans denominated in Euros and Pounds Sterling, local time in London and</w:t>
      </w:r>
    </w:p>
    <w:p>
      <w:pPr>
        <w:spacing w:after="0" w:line="22" w:lineRule="exact"/>
        <w:rPr>
          <w:sz w:val="20"/>
          <w:szCs w:val="20"/>
          <w:color w:val="auto"/>
        </w:rPr>
      </w:pPr>
    </w:p>
    <w:p>
      <w:pPr>
        <w:ind w:right="740" w:firstLine="8"/>
        <w:spacing w:after="0" w:line="246" w:lineRule="auto"/>
        <w:tabs>
          <w:tab w:leader="none" w:pos="291" w:val="left"/>
        </w:tabs>
        <w:numPr>
          <w:ilvl w:val="0"/>
          <w:numId w:val="61"/>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with respect to Foreign Currency Loans denominated in Foreign Currencies other than Euros and Pounds Sterling, local time in the Principal Financial Center for such Foreign Currency.</w:t>
      </w:r>
    </w:p>
    <w:p>
      <w:pPr>
        <w:spacing w:after="0" w:line="182" w:lineRule="exact"/>
        <w:rPr>
          <w:sz w:val="20"/>
          <w:szCs w:val="20"/>
          <w:color w:val="auto"/>
        </w:rPr>
      </w:pPr>
    </w:p>
    <w:p>
      <w:pPr>
        <w:ind w:right="24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Lodging Competitor Brand</w:t>
      </w:r>
      <w:r>
        <w:rPr>
          <w:rFonts w:ascii="Times New Roman" w:cs="Times New Roman" w:eastAsia="Times New Roman" w:hAnsi="Times New Roman"/>
          <w:sz w:val="20"/>
          <w:szCs w:val="20"/>
          <w:color w:val="auto"/>
        </w:rPr>
        <w:t>”: (i) a branded full service or luxury hotel chain with both (x) four thousand (4,000) or more rooms and (y) twenty (20) or more hotels or (ii) a branded select service or extended stay hotel chain with both (x) ten thousand (10,000) or more rooms and (y) fifty (50) or more hotels.</w:t>
      </w:r>
    </w:p>
    <w:p>
      <w:pPr>
        <w:sectPr>
          <w:pgSz w:w="11900" w:h="16838" w:orient="portrait"/>
          <w:cols w:equalWidth="0" w:num="1">
            <w:col w:w="11420"/>
          </w:cols>
          <w:pgMar w:left="240" w:top="409" w:right="2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w:t>
      </w:r>
    </w:p>
    <w:p>
      <w:pPr>
        <w:spacing w:after="0" w:line="238" w:lineRule="exact"/>
        <w:rPr>
          <w:sz w:val="20"/>
          <w:szCs w:val="20"/>
          <w:color w:val="auto"/>
        </w:rPr>
      </w:pPr>
    </w:p>
    <w:p>
      <w:pPr>
        <w:ind w:right="76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Management Fees</w:t>
      </w:r>
      <w:r>
        <w:rPr>
          <w:rFonts w:ascii="Times New Roman" w:cs="Times New Roman" w:eastAsia="Times New Roman" w:hAnsi="Times New Roman"/>
          <w:sz w:val="20"/>
          <w:szCs w:val="20"/>
          <w:color w:val="auto"/>
        </w:rPr>
        <w:t>”: management fees paid to a Loan Party under management contracts with homeowners’ associations domiciled in the United States.</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Marriott</w:t>
      </w:r>
      <w:r>
        <w:rPr>
          <w:rFonts w:ascii="Times New Roman" w:cs="Times New Roman" w:eastAsia="Times New Roman" w:hAnsi="Times New Roman"/>
          <w:sz w:val="20"/>
          <w:szCs w:val="20"/>
          <w:color w:val="auto"/>
        </w:rPr>
        <w:t>”: Marriott International, Inc.</w:t>
      </w:r>
    </w:p>
    <w:p>
      <w:pPr>
        <w:spacing w:after="0" w:line="216" w:lineRule="exact"/>
        <w:rPr>
          <w:sz w:val="20"/>
          <w:szCs w:val="20"/>
          <w:color w:val="auto"/>
        </w:rPr>
      </w:pPr>
    </w:p>
    <w:p>
      <w:pPr>
        <w:ind w:right="58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Marriott Comfort Letter</w:t>
      </w:r>
      <w:r>
        <w:rPr>
          <w:rFonts w:ascii="Times New Roman" w:cs="Times New Roman" w:eastAsia="Times New Roman" w:hAnsi="Times New Roman"/>
          <w:sz w:val="20"/>
          <w:szCs w:val="20"/>
          <w:color w:val="auto"/>
        </w:rPr>
        <w:t>”: the agreement dated as of November 21, 2011, executed and delivered by Marriott, and Marriott Worldwide Corporation, as licensors, MVWC, as licensee, and the Administrative Agent.</w:t>
      </w:r>
    </w:p>
    <w:p>
      <w:pPr>
        <w:spacing w:after="0" w:line="160" w:lineRule="exact"/>
        <w:rPr>
          <w:sz w:val="20"/>
          <w:szCs w:val="20"/>
          <w:color w:val="auto"/>
        </w:rPr>
      </w:pPr>
    </w:p>
    <w:p>
      <w:pPr>
        <w:ind w:right="38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Marriott License Agreement</w:t>
      </w:r>
      <w:r>
        <w:rPr>
          <w:rFonts w:ascii="Times New Roman" w:cs="Times New Roman" w:eastAsia="Times New Roman" w:hAnsi="Times New Roman"/>
          <w:sz w:val="20"/>
          <w:szCs w:val="20"/>
          <w:color w:val="auto"/>
        </w:rPr>
        <w:t>”: the License, Services and Development Agreement by Marriott and Marriott Worldwide Corporation, a Maryland corporation, as licensors and MVWC, as licensee, effective as of the Spin-Off Date, as the same may from time to time be amended, modified or otherwise supplemented.</w:t>
      </w:r>
    </w:p>
    <w:p>
      <w:pPr>
        <w:spacing w:after="0" w:line="175" w:lineRule="exact"/>
        <w:rPr>
          <w:sz w:val="20"/>
          <w:szCs w:val="20"/>
          <w:color w:val="auto"/>
        </w:rPr>
      </w:pPr>
    </w:p>
    <w:p>
      <w:pPr>
        <w:jc w:val="both"/>
        <w:ind w:right="34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Marriott Rewards Affiliation Agreement</w:t>
      </w:r>
      <w:r>
        <w:rPr>
          <w:rFonts w:ascii="Times New Roman" w:cs="Times New Roman" w:eastAsia="Times New Roman" w:hAnsi="Times New Roman"/>
          <w:sz w:val="20"/>
          <w:szCs w:val="20"/>
          <w:color w:val="auto"/>
        </w:rPr>
        <w:t>”: the Marriott Rewards Affiliation Agreement, dated as of the Spin-Off Date, by and among Marriott, Marriott Rewards, LLC, an Arizona limited liability company, MVWC and Marriott Ownership Resorts, Inc., a Delaware corporation, as the same may from time to time be amended, modified or otherwise supplemented.</w:t>
      </w:r>
    </w:p>
    <w:p>
      <w:pPr>
        <w:spacing w:after="0" w:line="175" w:lineRule="exact"/>
        <w:rPr>
          <w:sz w:val="20"/>
          <w:szCs w:val="20"/>
          <w:color w:val="auto"/>
        </w:rPr>
      </w:pPr>
    </w:p>
    <w:p>
      <w:pPr>
        <w:ind w:right="6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a material adverse effect on (a) the business, property, operations or financial condition of MVWC and its Subsidiaries taken as a whole or (b) the validity or enforceability of this Agreement or any of the other Loan Documents or the rights or remedies of the Administrative Agent or the Lenders hereunder or thereunder.</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Acquisition</w:t>
      </w:r>
      <w:r>
        <w:rPr>
          <w:rFonts w:ascii="Times New Roman" w:cs="Times New Roman" w:eastAsia="Times New Roman" w:hAnsi="Times New Roman"/>
          <w:sz w:val="20"/>
          <w:szCs w:val="20"/>
          <w:color w:val="auto"/>
        </w:rPr>
        <w:t>”: any acquisition of property or series of related acquisitions of property that:</w:t>
      </w:r>
    </w:p>
    <w:p>
      <w:pPr>
        <w:spacing w:after="0" w:line="216" w:lineRule="exact"/>
        <w:rPr>
          <w:sz w:val="20"/>
          <w:szCs w:val="20"/>
          <w:color w:val="auto"/>
        </w:rPr>
      </w:pPr>
    </w:p>
    <w:p>
      <w:pPr>
        <w:ind w:firstLine="1035"/>
        <w:spacing w:after="0" w:line="269" w:lineRule="auto"/>
        <w:tabs>
          <w:tab w:leader="none" w:pos="159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constitutes assets comprising all or substantially all of an operating unit of a business or constitutes all or substantially all of the common stock of a Person; and</w:t>
      </w:r>
    </w:p>
    <w:p>
      <w:pPr>
        <w:spacing w:after="0" w:line="159" w:lineRule="exact"/>
        <w:rPr>
          <w:rFonts w:ascii="Times New Roman" w:cs="Times New Roman" w:eastAsia="Times New Roman" w:hAnsi="Times New Roman"/>
          <w:sz w:val="20"/>
          <w:szCs w:val="20"/>
          <w:color w:val="auto"/>
        </w:rPr>
      </w:pPr>
    </w:p>
    <w:p>
      <w:pPr>
        <w:ind w:left="1620" w:hanging="585"/>
        <w:spacing w:after="0"/>
        <w:tabs>
          <w:tab w:leader="none" w:pos="16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involves the payment of consideration by MVWC and its Subsidiaries in excess of $200,000,000.</w:t>
      </w:r>
    </w:p>
    <w:p>
      <w:pPr>
        <w:spacing w:after="0" w:line="216" w:lineRule="exact"/>
        <w:rPr>
          <w:sz w:val="20"/>
          <w:szCs w:val="20"/>
          <w:color w:val="auto"/>
        </w:rPr>
      </w:pPr>
    </w:p>
    <w:p>
      <w:pPr>
        <w:ind w:right="50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Disposition</w:t>
      </w:r>
      <w:r>
        <w:rPr>
          <w:rFonts w:ascii="Times New Roman" w:cs="Times New Roman" w:eastAsia="Times New Roman" w:hAnsi="Times New Roman"/>
          <w:sz w:val="20"/>
          <w:szCs w:val="20"/>
          <w:color w:val="auto"/>
        </w:rPr>
        <w:t>”: any Disposition of property or series of related Dispositions of property that yields gross proceeds to MVWC or any of its Subsidiaries in excess of $200,000,000.</w:t>
      </w:r>
    </w:p>
    <w:p>
      <w:pPr>
        <w:spacing w:after="0" w:line="160" w:lineRule="exact"/>
        <w:rPr>
          <w:sz w:val="20"/>
          <w:szCs w:val="20"/>
          <w:color w:val="auto"/>
        </w:rPr>
      </w:pPr>
    </w:p>
    <w:p>
      <w:pPr>
        <w:ind w:right="12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Materials of Environmental Concern</w:t>
      </w:r>
      <w:r>
        <w:rPr>
          <w:rFonts w:ascii="Times New Roman" w:cs="Times New Roman" w:eastAsia="Times New Roman" w:hAnsi="Times New Roman"/>
          <w:sz w:val="20"/>
          <w:szCs w:val="20"/>
          <w:color w:val="auto"/>
        </w:rPr>
        <w:t>”: any gasoline or petroleum (including crude oil or any fraction thereof) or petroleum products or any hazardous or toxic substances, materials or wastes, defined or regulated as such in or under any Environmental Law, including asbestos, polychlorinated biphenyls and urea-formaldehyde insulation.</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Moody’s Investors Service, Inc.</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 Rating</w:t>
      </w:r>
      <w:r>
        <w:rPr>
          <w:rFonts w:ascii="Times New Roman" w:cs="Times New Roman" w:eastAsia="Times New Roman" w:hAnsi="Times New Roman"/>
          <w:sz w:val="20"/>
          <w:szCs w:val="20"/>
          <w:color w:val="auto"/>
        </w:rPr>
        <w:t>”: at any time, the Borrower’s corporate family rating issued by Moody’s and then in effect.</w:t>
      </w:r>
    </w:p>
    <w:p>
      <w:pPr>
        <w:spacing w:after="0" w:line="216" w:lineRule="exact"/>
        <w:rPr>
          <w:sz w:val="20"/>
          <w:szCs w:val="20"/>
          <w:color w:val="auto"/>
        </w:rPr>
      </w:pPr>
    </w:p>
    <w:p>
      <w:pPr>
        <w:ind w:right="4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Mortgaged Properties</w:t>
      </w:r>
      <w:r>
        <w:rPr>
          <w:rFonts w:ascii="Times New Roman" w:cs="Times New Roman" w:eastAsia="Times New Roman" w:hAnsi="Times New Roman"/>
          <w:sz w:val="20"/>
          <w:szCs w:val="20"/>
          <w:color w:val="auto"/>
        </w:rPr>
        <w:t>”: the real property and interests in real property listed on Schedule 1.1C and any real property or interest in real property as to which a Mortgage is granted pursuant to Section 6.10(c).</w:t>
      </w:r>
    </w:p>
    <w:p>
      <w:pPr>
        <w:sectPr>
          <w:pgSz w:w="11900" w:h="16838" w:orient="portrait"/>
          <w:cols w:equalWidth="0" w:num="1">
            <w:col w:w="11420"/>
          </w:cols>
          <w:pgMar w:left="240" w:top="409" w:right="2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w:t>
      </w:r>
    </w:p>
    <w:p>
      <w:pPr>
        <w:spacing w:after="0" w:line="238" w:lineRule="exact"/>
        <w:rPr>
          <w:sz w:val="20"/>
          <w:szCs w:val="20"/>
          <w:color w:val="auto"/>
        </w:rPr>
      </w:pPr>
    </w:p>
    <w:p>
      <w:pPr>
        <w:ind w:right="22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Mortgages</w:t>
      </w:r>
      <w:r>
        <w:rPr>
          <w:rFonts w:ascii="Times New Roman" w:cs="Times New Roman" w:eastAsia="Times New Roman" w:hAnsi="Times New Roman"/>
          <w:sz w:val="20"/>
          <w:szCs w:val="20"/>
          <w:color w:val="auto"/>
        </w:rPr>
        <w:t>”: each of the mortgages and deeds of trust made by any Loan Party in favor of, or for the benefit of, the Administrative Agent for the benefit of the Lenders, substantially in the form of Exhibit D (with such changes thereto as shall be advisable in the judgment of the Administrative Agent under the law of the jurisdiction in which such mortgage or deed of trust is to be recorded).</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a multiemployer plan as defined in Section 4001(a)(3) of ERISA.</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MVWC</w:t>
      </w:r>
      <w:r>
        <w:rPr>
          <w:rFonts w:ascii="Times New Roman" w:cs="Times New Roman" w:eastAsia="Times New Roman" w:hAnsi="Times New Roman"/>
          <w:sz w:val="20"/>
          <w:szCs w:val="20"/>
          <w:color w:val="auto"/>
        </w:rPr>
        <w:t>”: as defined in the preamble hereto.</w:t>
      </w:r>
    </w:p>
    <w:p>
      <w:pPr>
        <w:spacing w:after="0" w:line="216" w:lineRule="exact"/>
        <w:rPr>
          <w:sz w:val="20"/>
          <w:szCs w:val="20"/>
          <w:color w:val="auto"/>
        </w:rPr>
      </w:pPr>
    </w:p>
    <w:p>
      <w:pPr>
        <w:jc w:val="both"/>
        <w:ind w:right="6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Cash Proceeds</w:t>
      </w:r>
      <w:r>
        <w:rPr>
          <w:rFonts w:ascii="Times New Roman" w:cs="Times New Roman" w:eastAsia="Times New Roman" w:hAnsi="Times New Roman"/>
          <w:sz w:val="20"/>
          <w:szCs w:val="20"/>
          <w:color w:val="auto"/>
        </w:rPr>
        <w:t>”: in connection with any issuance or sale of Capital Stock, the cash proceeds received from such issuance, net of attorneys’ fees, investment banking fees, accountants’ fees, underwriting discounts and commissions and other customary fees and expenses actually incurred in connection therewith.</w:t>
      </w:r>
    </w:p>
    <w:p>
      <w:pPr>
        <w:spacing w:after="0" w:line="175" w:lineRule="exact"/>
        <w:rPr>
          <w:sz w:val="20"/>
          <w:szCs w:val="20"/>
          <w:color w:val="auto"/>
        </w:rPr>
      </w:pPr>
    </w:p>
    <w:p>
      <w:pPr>
        <w:ind w:right="60" w:firstLine="102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Mark-to-Market Specified Swap Exposure</w:t>
      </w:r>
      <w:r>
        <w:rPr>
          <w:rFonts w:ascii="Times New Roman" w:cs="Times New Roman" w:eastAsia="Times New Roman" w:hAnsi="Times New Roman"/>
          <w:sz w:val="20"/>
          <w:szCs w:val="20"/>
          <w:color w:val="auto"/>
        </w:rPr>
        <w:t>”: with respect to any Person, as of any date of determination, the excess (if any) of all unrealized losses over all unrealized profits of such Person arising from Specified Swap Agreements outstanding as of such date of determination. As used in this definition, “unrealized losses” means the fair market value of the cost to such Person of replacing such Specified Swap Agreement as of such date of determination (assuming the Specified Swap Agreement were to be terminated as of that date) and “unrealized profits” means the fair market value of the gain to such Person of replacing such Specified Swap Agreement as of such date of determination (assuming such Specified Swap Agreement were to be terminated as of that date).</w:t>
      </w:r>
    </w:p>
    <w:p>
      <w:pPr>
        <w:spacing w:after="0" w:line="18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Lender</w:t>
      </w:r>
      <w:r>
        <w:rPr>
          <w:rFonts w:ascii="Times New Roman" w:cs="Times New Roman" w:eastAsia="Times New Roman" w:hAnsi="Times New Roman"/>
          <w:sz w:val="20"/>
          <w:szCs w:val="20"/>
          <w:color w:val="auto"/>
        </w:rPr>
        <w:t>”: as defined in Section 2.19(b).</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Lender Supplement</w:t>
      </w:r>
      <w:r>
        <w:rPr>
          <w:rFonts w:ascii="Times New Roman" w:cs="Times New Roman" w:eastAsia="Times New Roman" w:hAnsi="Times New Roman"/>
          <w:sz w:val="20"/>
          <w:szCs w:val="20"/>
          <w:color w:val="auto"/>
        </w:rPr>
        <w:t>”: as defined in Section 2.19(b).</w:t>
      </w:r>
    </w:p>
    <w:p>
      <w:pPr>
        <w:spacing w:after="0" w:line="216" w:lineRule="exact"/>
        <w:rPr>
          <w:sz w:val="20"/>
          <w:szCs w:val="20"/>
          <w:color w:val="auto"/>
        </w:rPr>
      </w:pPr>
    </w:p>
    <w:p>
      <w:pPr>
        <w:ind w:right="20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Noncompetition Agreement</w:t>
      </w:r>
      <w:r>
        <w:rPr>
          <w:rFonts w:ascii="Times New Roman" w:cs="Times New Roman" w:eastAsia="Times New Roman" w:hAnsi="Times New Roman"/>
          <w:sz w:val="20"/>
          <w:szCs w:val="20"/>
          <w:color w:val="auto"/>
        </w:rPr>
        <w:t>”: the Noncompetition Agreement, dated as of the Spin-Off Date, between Marriott and MVWC, as the same may from time to time be amended, modified or otherwise supplemented.</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u w:val="single" w:color="auto"/>
          <w:color w:val="0000FF"/>
        </w:rPr>
        <w:t>“Non-Foreign Currency Lender”: any Lender which is not a Foreign Currency Lender.</w:t>
      </w:r>
    </w:p>
    <w:p>
      <w:pPr>
        <w:spacing w:after="0" w:line="216" w:lineRule="exact"/>
        <w:rPr>
          <w:sz w:val="20"/>
          <w:szCs w:val="20"/>
          <w:color w:val="auto"/>
        </w:rPr>
      </w:pPr>
    </w:p>
    <w:p>
      <w:pPr>
        <w:ind w:right="160" w:firstLine="102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Non-Recourse Debt</w:t>
      </w:r>
      <w:r>
        <w:rPr>
          <w:rFonts w:ascii="Times New Roman" w:cs="Times New Roman" w:eastAsia="Times New Roman" w:hAnsi="Times New Roman"/>
          <w:sz w:val="20"/>
          <w:szCs w:val="20"/>
          <w:color w:val="auto"/>
        </w:rPr>
        <w:t>”: Indebtedness of a Person: (a) as to which neither the Borrower nor any Guarantor provides any Guarantee Obligation or credit support of any kind or is directly or indirectly liable, except as expressly permitted by Section 7.3(w), and (b) which does not provide any recourse against any of the assets of the Borrower or any Guarantor. Notwithstanding the foregoing, (i) the provision of Standard Securitization Undertakings in connection with a Qualified Securitization Transaction shall not invalidate the status of the Indebtedness of such Time Share SPV that is otherwise classified as Non-Recourse Debt pursuant to the terms of this definition and</w:t>
      </w:r>
    </w:p>
    <w:p>
      <w:pPr>
        <w:spacing w:after="0" w:line="1" w:lineRule="exact"/>
        <w:rPr>
          <w:sz w:val="20"/>
          <w:szCs w:val="20"/>
          <w:color w:val="auto"/>
        </w:rPr>
      </w:pPr>
    </w:p>
    <w:p>
      <w:pPr>
        <w:ind w:right="220" w:firstLine="8"/>
        <w:spacing w:after="0" w:line="242" w:lineRule="auto"/>
        <w:tabs>
          <w:tab w:leader="none" w:pos="291"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shall not be considered to be recourse to a Person if recourse is contingent upon the occurrence of specified events that have not yet occurred in circumstances in which the occurrence of such events is within the control of such Person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provisions commonly known as “bad boy” provisions).</w:t>
      </w:r>
    </w:p>
    <w:p>
      <w:pPr>
        <w:spacing w:after="0" w:line="18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Non-U.S. Lender</w:t>
      </w:r>
      <w:r>
        <w:rPr>
          <w:rFonts w:ascii="Times New Roman" w:cs="Times New Roman" w:eastAsia="Times New Roman" w:hAnsi="Times New Roman"/>
          <w:sz w:val="20"/>
          <w:szCs w:val="20"/>
          <w:color w:val="auto"/>
        </w:rPr>
        <w:t>”: any Lender that is not a U.S. Person.</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the collective reference to any promissory note evidencing Loans.</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Borrowing</w:t>
      </w:r>
      <w:r>
        <w:rPr>
          <w:rFonts w:ascii="Times New Roman" w:cs="Times New Roman" w:eastAsia="Times New Roman" w:hAnsi="Times New Roman"/>
          <w:sz w:val="20"/>
          <w:szCs w:val="20"/>
          <w:color w:val="auto"/>
        </w:rPr>
        <w:t>”: a Notice of Borrowing, substantially in the form of Exhibit N.</w:t>
      </w:r>
    </w:p>
    <w:p>
      <w:pPr>
        <w:sectPr>
          <w:pgSz w:w="11900" w:h="16838" w:orient="portrait"/>
          <w:cols w:equalWidth="0" w:num="1">
            <w:col w:w="11420"/>
          </w:cols>
          <w:pgMar w:left="240" w:top="409" w:right="2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26</w:t>
      </w:r>
    </w:p>
    <w:p>
      <w:pPr>
        <w:spacing w:after="0" w:line="238" w:lineRule="exact"/>
        <w:rPr>
          <w:sz w:val="20"/>
          <w:szCs w:val="20"/>
          <w:color w:val="auto"/>
        </w:rPr>
      </w:pPr>
    </w:p>
    <w:p>
      <w:pPr>
        <w:ind w:firstLine="1027"/>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xml:space="preserve">”: the unpaid principal of and interest on (including interest accruing after the maturity of the Loans and Reimbursement Obligations and interest accruing after the filing of any petition in bankruptcy, or the commencement of any insolvency, reorganization or like proceeding, relating to the Borrower, whether or not a claim for post-filing or post-petition interest is allowed in such proceeding) the Loans and all other obligations and liabilities of the Borrower to the Administrative Agent or to any Lender (or, in the case of Specified Swap Agreements, a Person that is a Lender or an Affiliate of a Lender at the time such Specified Swap Agreement is entered into (or, in respect of any Specified Swap Agreement entered into prior to the Second Amendment </w:t>
      </w:r>
      <w:r>
        <w:rPr>
          <w:rFonts w:ascii="Times New Roman" w:cs="Times New Roman" w:eastAsia="Times New Roman" w:hAnsi="Times New Roman"/>
          <w:sz w:val="20"/>
          <w:szCs w:val="20"/>
          <w:u w:val="single" w:color="auto"/>
          <w:color w:val="0000FF"/>
        </w:rPr>
        <w:t>and Restatement</w:t>
      </w:r>
      <w:r>
        <w:rPr>
          <w:rFonts w:ascii="Times New Roman" w:cs="Times New Roman" w:eastAsia="Times New Roman" w:hAnsi="Times New Roman"/>
          <w:sz w:val="20"/>
          <w:szCs w:val="20"/>
          <w:color w:val="auto"/>
        </w:rPr>
        <w:t xml:space="preserve"> Effective Date, any Person that is a Lender or an Affiliate of a Lender on the Second Amendment </w:t>
      </w:r>
      <w:r>
        <w:rPr>
          <w:rFonts w:ascii="Times New Roman" w:cs="Times New Roman" w:eastAsia="Times New Roman" w:hAnsi="Times New Roman"/>
          <w:sz w:val="20"/>
          <w:szCs w:val="20"/>
          <w:u w:val="single" w:color="auto"/>
          <w:color w:val="0000FF"/>
        </w:rPr>
        <w:t>and Restatement</w:t>
      </w:r>
      <w:r>
        <w:rPr>
          <w:rFonts w:ascii="Times New Roman" w:cs="Times New Roman" w:eastAsia="Times New Roman" w:hAnsi="Times New Roman"/>
          <w:sz w:val="20"/>
          <w:szCs w:val="20"/>
          <w:color w:val="auto"/>
        </w:rPr>
        <w:t xml:space="preserve"> Effective Date) notwithstanding whether such Person subsequently ceases at any time to be a Lender, or an Affiliate of a Lender, under this Agreement for any reason), whether direct or indirect, absolute or contingent, due or to become due, or now existing or hereafter incurred, which may arise under, out of, or in connection with, this Agreement, any other Loan Document, the Letters of Credit, any Specified Swap Agreement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Borrower pursuant hereto)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for purposes of determining any Guarantee Obligations of any Guarantor pursuant to the Guarantee and Collateral Agreement, the definition of “Obligations” shall not create any guarantee by any Guarantor of (or grant of security interest by any Guarantor to support, if applicable) any Excluded Swap Obligations of such Guarantor.</w:t>
      </w:r>
    </w:p>
    <w:p>
      <w:pPr>
        <w:spacing w:after="0" w:line="19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Opening Balance Sheet</w:t>
      </w:r>
      <w:r>
        <w:rPr>
          <w:rFonts w:ascii="Times New Roman" w:cs="Times New Roman" w:eastAsia="Times New Roman" w:hAnsi="Times New Roman"/>
          <w:sz w:val="20"/>
          <w:szCs w:val="20"/>
          <w:color w:val="auto"/>
        </w:rPr>
        <w:t>”: on the Closing Date, the pro forma balance sheet referred to in Section 4.1(b).</w:t>
      </w:r>
    </w:p>
    <w:p>
      <w:pPr>
        <w:spacing w:after="0" w:line="216" w:lineRule="exact"/>
        <w:rPr>
          <w:sz w:val="20"/>
          <w:szCs w:val="20"/>
          <w:color w:val="auto"/>
        </w:rPr>
      </w:pPr>
    </w:p>
    <w:p>
      <w:pPr>
        <w:ind w:right="40" w:firstLine="1027"/>
        <w:spacing w:after="0" w:line="245"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Optional</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Currency”: at any time, United Arab Emirates Dirham, Bahraini Dinar, Hong Kong Dollars, Euros, South African Rand,</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 xml:space="preserve">Singapore Dollars and any other currency that is freely convertible into Dollars and is </w:t>
      </w:r>
      <w:r>
        <w:rPr>
          <w:rFonts w:ascii="Times New Roman" w:cs="Times New Roman" w:eastAsia="Times New Roman" w:hAnsi="Times New Roman"/>
          <w:sz w:val="20"/>
          <w:szCs w:val="20"/>
          <w:color w:val="DE1A1E"/>
          <w:strike w:val="1"/>
        </w:rPr>
        <w:t>freely</w:t>
      </w:r>
      <w:r>
        <w:rPr>
          <w:rFonts w:ascii="Times New Roman" w:cs="Times New Roman" w:eastAsia="Times New Roman" w:hAnsi="Times New Roman"/>
          <w:sz w:val="20"/>
          <w:szCs w:val="20"/>
          <w:color w:val="008000"/>
          <w:strike w:val="1"/>
        </w:rPr>
        <w:t xml:space="preserve"> traded and available in the London interbank eurocurrency market that has been designated by the Borrower (with the consent of the Administrative Agent and the relevant Issuing Lender) to be an “</w:t>
      </w:r>
      <w:r>
        <w:rPr>
          <w:rFonts w:ascii="Times New Roman" w:cs="Times New Roman" w:eastAsia="Times New Roman" w:hAnsi="Times New Roman"/>
          <w:sz w:val="20"/>
          <w:szCs w:val="20"/>
          <w:color w:val="DE1A1E"/>
          <w:strike w:val="1"/>
        </w:rPr>
        <w:t>Optional Currency”.</w:t>
      </w:r>
    </w:p>
    <w:p>
      <w:pPr>
        <w:spacing w:after="0" w:line="1" w:lineRule="exact"/>
        <w:rPr>
          <w:sz w:val="20"/>
          <w:szCs w:val="20"/>
          <w:color w:val="auto"/>
        </w:rPr>
      </w:pPr>
    </w:p>
    <w:p>
      <w:pPr>
        <w:ind w:right="240" w:firstLine="1027"/>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Original Commitment</w:t>
      </w:r>
      <w:r>
        <w:rPr>
          <w:rFonts w:ascii="Times New Roman" w:cs="Times New Roman" w:eastAsia="Times New Roman" w:hAnsi="Times New Roman"/>
          <w:sz w:val="19"/>
          <w:szCs w:val="19"/>
          <w:color w:val="auto"/>
        </w:rPr>
        <w:t xml:space="preserve">”: each “Commitment” (as defined in the Original Credit Agreement as in effect immediately prior to the First Amendment </w:t>
      </w:r>
      <w:r>
        <w:rPr>
          <w:rFonts w:ascii="Times New Roman" w:cs="Times New Roman" w:eastAsia="Times New Roman" w:hAnsi="Times New Roman"/>
          <w:sz w:val="19"/>
          <w:szCs w:val="19"/>
          <w:u w:val="single" w:color="auto"/>
          <w:color w:val="0000FF"/>
        </w:rPr>
        <w:t>and Restatement</w:t>
      </w:r>
      <w:r>
        <w:rPr>
          <w:rFonts w:ascii="Times New Roman" w:cs="Times New Roman" w:eastAsia="Times New Roman" w:hAnsi="Times New Roman"/>
          <w:sz w:val="19"/>
          <w:szCs w:val="19"/>
          <w:color w:val="auto"/>
        </w:rPr>
        <w:t xml:space="preserve"> Effective Date) as in effect immediately prior to the First Amendment </w:t>
      </w:r>
      <w:r>
        <w:rPr>
          <w:rFonts w:ascii="Times New Roman" w:cs="Times New Roman" w:eastAsia="Times New Roman" w:hAnsi="Times New Roman"/>
          <w:sz w:val="19"/>
          <w:szCs w:val="19"/>
          <w:u w:val="single" w:color="auto"/>
          <w:color w:val="0000FF"/>
        </w:rPr>
        <w:t>and Restatement</w:t>
      </w:r>
      <w:r>
        <w:rPr>
          <w:rFonts w:ascii="Times New Roman" w:cs="Times New Roman" w:eastAsia="Times New Roman" w:hAnsi="Times New Roman"/>
          <w:sz w:val="19"/>
          <w:szCs w:val="19"/>
          <w:color w:val="auto"/>
        </w:rPr>
        <w:t xml:space="preserve"> Effective Date.</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Original Credit Agreement</w:t>
      </w:r>
      <w:r>
        <w:rPr>
          <w:rFonts w:ascii="Times New Roman" w:cs="Times New Roman" w:eastAsia="Times New Roman" w:hAnsi="Times New Roman"/>
          <w:sz w:val="20"/>
          <w:szCs w:val="20"/>
          <w:color w:val="auto"/>
        </w:rPr>
        <w:t>”: as defined in the recitals hereto.</w:t>
      </w:r>
    </w:p>
    <w:p>
      <w:pPr>
        <w:spacing w:after="0" w:line="216" w:lineRule="exact"/>
        <w:rPr>
          <w:sz w:val="20"/>
          <w:szCs w:val="20"/>
          <w:color w:val="auto"/>
        </w:rPr>
      </w:pPr>
    </w:p>
    <w:p>
      <w:pPr>
        <w:ind w:right="72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Original Guarantee and Collateral Agreement</w:t>
      </w:r>
      <w:r>
        <w:rPr>
          <w:rFonts w:ascii="Times New Roman" w:cs="Times New Roman" w:eastAsia="Times New Roman" w:hAnsi="Times New Roman"/>
          <w:sz w:val="20"/>
          <w:szCs w:val="20"/>
          <w:color w:val="auto"/>
        </w:rPr>
        <w:t>”: the Guarantee and Collateral Agreement dated as of November 21, 2011, delivered in connection with the Original Credit Agreement.</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Original Lenders</w:t>
      </w:r>
      <w:r>
        <w:rPr>
          <w:rFonts w:ascii="Times New Roman" w:cs="Times New Roman" w:eastAsia="Times New Roman" w:hAnsi="Times New Roman"/>
          <w:sz w:val="20"/>
          <w:szCs w:val="20"/>
          <w:color w:val="auto"/>
        </w:rPr>
        <w:t>”: the Lenders under the Original Credit Agreement.</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Original Loans</w:t>
      </w:r>
      <w:r>
        <w:rPr>
          <w:rFonts w:ascii="Times New Roman" w:cs="Times New Roman" w:eastAsia="Times New Roman" w:hAnsi="Times New Roman"/>
          <w:sz w:val="20"/>
          <w:szCs w:val="20"/>
          <w:color w:val="auto"/>
        </w:rPr>
        <w:t xml:space="preserve">”: the Loans outstanding immediately prior to the First Amendment </w:t>
      </w:r>
      <w:r>
        <w:rPr>
          <w:rFonts w:ascii="Times New Roman" w:cs="Times New Roman" w:eastAsia="Times New Roman" w:hAnsi="Times New Roman"/>
          <w:sz w:val="20"/>
          <w:szCs w:val="20"/>
          <w:u w:val="single" w:color="auto"/>
          <w:color w:val="0000FF"/>
        </w:rPr>
        <w:t>and Restatement</w:t>
      </w:r>
      <w:r>
        <w:rPr>
          <w:rFonts w:ascii="Times New Roman" w:cs="Times New Roman" w:eastAsia="Times New Roman" w:hAnsi="Times New Roman"/>
          <w:sz w:val="20"/>
          <w:szCs w:val="20"/>
          <w:color w:val="auto"/>
        </w:rPr>
        <w:t xml:space="preserve"> Effective Date.</w:t>
      </w:r>
    </w:p>
    <w:p>
      <w:pPr>
        <w:spacing w:after="0" w:line="216" w:lineRule="exact"/>
        <w:rPr>
          <w:sz w:val="20"/>
          <w:szCs w:val="20"/>
          <w:color w:val="auto"/>
        </w:rPr>
      </w:pPr>
    </w:p>
    <w:p>
      <w:pPr>
        <w:jc w:val="both"/>
        <w:ind w:right="28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any present or future stamp, court, documentary, intangible, recording, filing or similar excise or property Taxes that arise from any payment made under, from the execution, delivery, performance, enforcement or registration of, or from the registration, receipt or perfection of a security interest under, or otherwise with respect to, any Loan Document.</w:t>
      </w:r>
    </w:p>
    <w:p>
      <w:pPr>
        <w:sectPr>
          <w:pgSz w:w="11900" w:h="16838" w:orient="portrait"/>
          <w:cols w:equalWidth="0" w:num="1">
            <w:col w:w="11420"/>
          </w:cols>
          <w:pgMar w:left="240" w:top="409" w:right="2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w:t>
      </w:r>
    </w:p>
    <w:p>
      <w:pPr>
        <w:spacing w:after="0" w:line="238" w:lineRule="exact"/>
        <w:rPr>
          <w:sz w:val="20"/>
          <w:szCs w:val="20"/>
          <w:color w:val="auto"/>
        </w:rPr>
      </w:pPr>
    </w:p>
    <w:p>
      <w:pPr>
        <w:ind w:right="840" w:firstLine="1027"/>
        <w:spacing w:after="0" w:line="269" w:lineRule="auto"/>
        <w:rPr>
          <w:sz w:val="20"/>
          <w:szCs w:val="20"/>
          <w:color w:val="auto"/>
        </w:rPr>
      </w:pPr>
      <w:r>
        <w:rPr>
          <w:rFonts w:ascii="Times New Roman" w:cs="Times New Roman" w:eastAsia="Times New Roman" w:hAnsi="Times New Roman"/>
          <w:sz w:val="20"/>
          <w:szCs w:val="20"/>
          <w:u w:val="single" w:color="auto"/>
          <w:color w:val="0000FF"/>
        </w:rPr>
        <w:t>“Outstanding Percentage”: with respect to any Lender at any time, the ratio (expressed as a percentage) of such Lender’s Extensions of Credit at such time to the Total Extensions of Credit at such time.</w:t>
      </w:r>
    </w:p>
    <w:p>
      <w:pPr>
        <w:spacing w:after="0" w:line="160" w:lineRule="exact"/>
        <w:rPr>
          <w:sz w:val="20"/>
          <w:szCs w:val="20"/>
          <w:color w:val="auto"/>
        </w:rPr>
      </w:pPr>
    </w:p>
    <w:p>
      <w:pPr>
        <w:ind w:right="60" w:firstLine="1027"/>
        <w:spacing w:after="0" w:line="249" w:lineRule="auto"/>
        <w:rPr>
          <w:sz w:val="20"/>
          <w:szCs w:val="20"/>
          <w:color w:val="auto"/>
        </w:rPr>
      </w:pPr>
      <w:r>
        <w:rPr>
          <w:rFonts w:ascii="Times New Roman" w:cs="Times New Roman" w:eastAsia="Times New Roman" w:hAnsi="Times New Roman"/>
          <w:sz w:val="20"/>
          <w:szCs w:val="20"/>
          <w:u w:val="single" w:color="auto"/>
          <w:color w:val="0000FF"/>
        </w:rPr>
        <w:t>“Overnight Eurocurrency Rate”: with respect to any amount denominated in a Foreign Currency, the rate of interest per annum at which overnight deposits in the applicable Foreign Currency, in an amount approximately equal to the amount with respect to which such rate is being determined, would be offered for such day by a branch or Affiliate of JPMorgan Chase Bank, N.A. in the applicable offshore interbank market for such currency to major banks in such interbank market.</w:t>
      </w:r>
    </w:p>
    <w:p>
      <w:pPr>
        <w:spacing w:after="0" w:line="18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as defined in Section 10.6(c).</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as defined in Section 10.6(c).</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as defined in Section 10.17.</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the Pension Benefit Guaranty Corporation established pursuant to ERISA any successor entity performing similar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functions.</w:t>
      </w:r>
    </w:p>
    <w:p>
      <w:pPr>
        <w:spacing w:after="0" w:line="19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any Plan subject to the provisions of Title IV of ERISA or Section 412 of the Code or Section 302 of ERISA.</w:t>
      </w:r>
    </w:p>
    <w:p>
      <w:pPr>
        <w:spacing w:after="0" w:line="216" w:lineRule="exact"/>
        <w:rPr>
          <w:sz w:val="20"/>
          <w:szCs w:val="20"/>
          <w:color w:val="auto"/>
        </w:rPr>
      </w:pPr>
    </w:p>
    <w:p>
      <w:pPr>
        <w:ind w:right="140" w:firstLine="102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Percentage</w:t>
      </w:r>
      <w:r>
        <w:rPr>
          <w:rFonts w:ascii="Times New Roman" w:cs="Times New Roman" w:eastAsia="Times New Roman" w:hAnsi="Times New Roman"/>
          <w:sz w:val="20"/>
          <w:szCs w:val="20"/>
          <w:color w:val="auto"/>
        </w:rPr>
        <w:t xml:space="preserve">”: as to any Lender at any time, the percentage which such Lender’s Commitment then constitutes of the Total Commitments or, at any time after the Commitments shall have expired or terminated, the percentage which the </w:t>
      </w:r>
      <w:r>
        <w:rPr>
          <w:rFonts w:ascii="Times New Roman" w:cs="Times New Roman" w:eastAsia="Times New Roman" w:hAnsi="Times New Roman"/>
          <w:sz w:val="20"/>
          <w:szCs w:val="20"/>
          <w:u w:val="single" w:color="auto"/>
          <w:color w:val="0000FF"/>
        </w:rPr>
        <w:t>Dollar Equivalent of the</w:t>
      </w:r>
      <w:r>
        <w:rPr>
          <w:rFonts w:ascii="Times New Roman" w:cs="Times New Roman" w:eastAsia="Times New Roman" w:hAnsi="Times New Roman"/>
          <w:sz w:val="20"/>
          <w:szCs w:val="20"/>
          <w:color w:val="auto"/>
        </w:rPr>
        <w:t xml:space="preserve"> aggregate principal amount of such Lender’s Loans then outstanding constitutes of the </w:t>
      </w:r>
      <w:r>
        <w:rPr>
          <w:rFonts w:ascii="Times New Roman" w:cs="Times New Roman" w:eastAsia="Times New Roman" w:hAnsi="Times New Roman"/>
          <w:sz w:val="20"/>
          <w:szCs w:val="20"/>
          <w:u w:val="single" w:color="auto"/>
          <w:color w:val="0000FF"/>
        </w:rPr>
        <w:t>Dollar Equivalent of the</w:t>
      </w:r>
      <w:r>
        <w:rPr>
          <w:rFonts w:ascii="Times New Roman" w:cs="Times New Roman" w:eastAsia="Times New Roman" w:hAnsi="Times New Roman"/>
          <w:sz w:val="20"/>
          <w:szCs w:val="20"/>
          <w:color w:val="auto"/>
        </w:rPr>
        <w:t xml:space="preserve"> aggregate principal amount of the Loans then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the event that the Loans are paid in full prior to the reduction to zero of the Total Extensions of Credit, the Percentages shall be determined in a manner designed to ensure that the other outstanding Extensions of Credit shall be held by the Lenders on</w:t>
      </w:r>
      <w:r>
        <w:rPr>
          <w:rFonts w:ascii="Times New Roman" w:cs="Times New Roman" w:eastAsia="Times New Roman" w:hAnsi="Times New Roman"/>
          <w:sz w:val="20"/>
          <w:szCs w:val="20"/>
          <w:u w:val="single" w:color="auto"/>
          <w:color w:val="0000FF"/>
        </w:rPr>
        <w:t>, as nearly as practicable,</w:t>
      </w:r>
      <w:r>
        <w:rPr>
          <w:rFonts w:ascii="Times New Roman" w:cs="Times New Roman" w:eastAsia="Times New Roman" w:hAnsi="Times New Roman"/>
          <w:sz w:val="20"/>
          <w:szCs w:val="20"/>
          <w:color w:val="auto"/>
        </w:rPr>
        <w:t xml:space="preserve"> a comparable basis. Notwithstanding the foregoing, in the case of Section 2.18 when a Defaulting Lender shall exist, Percentages shall be determined without regard to any Defaulting Lender’s Commitment.</w:t>
      </w:r>
    </w:p>
    <w:p>
      <w:pPr>
        <w:spacing w:after="0" w:line="18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Liens of the type referred to in clauses (a), (b) and (e) of Section 7.4.</w:t>
      </w:r>
    </w:p>
    <w:p>
      <w:pPr>
        <w:spacing w:after="0" w:line="216" w:lineRule="exact"/>
        <w:rPr>
          <w:sz w:val="20"/>
          <w:szCs w:val="20"/>
          <w:color w:val="auto"/>
        </w:rPr>
      </w:pPr>
    </w:p>
    <w:p>
      <w:pPr>
        <w:ind w:right="16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Refinancing</w:t>
      </w:r>
      <w:r>
        <w:rPr>
          <w:rFonts w:ascii="Times New Roman" w:cs="Times New Roman" w:eastAsia="Times New Roman" w:hAnsi="Times New Roman"/>
          <w:sz w:val="20"/>
          <w:szCs w:val="20"/>
          <w:color w:val="auto"/>
        </w:rPr>
        <w:t>”: in respect of any existing Subordinated Debt, new Subordinated Debt issued in exchange for, or the net proceeds of which are used to refinance, renew, replace, defease, discharge or refund such existing Subordinated Debt; provided that:</w:t>
      </w:r>
    </w:p>
    <w:p>
      <w:pPr>
        <w:spacing w:after="0" w:line="160" w:lineRule="exact"/>
        <w:rPr>
          <w:sz w:val="20"/>
          <w:szCs w:val="20"/>
          <w:color w:val="auto"/>
        </w:rPr>
      </w:pPr>
    </w:p>
    <w:p>
      <w:pPr>
        <w:ind w:left="1600" w:hanging="565"/>
        <w:spacing w:after="0"/>
        <w:tabs>
          <w:tab w:leader="none" w:pos="16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Subordinated Debt satisfies the requirements of Section 7.3(s) as of the date of incurrence; and</w:t>
      </w:r>
    </w:p>
    <w:p>
      <w:pPr>
        <w:spacing w:after="0" w:line="215" w:lineRule="exact"/>
        <w:rPr>
          <w:rFonts w:ascii="Times New Roman" w:cs="Times New Roman" w:eastAsia="Times New Roman" w:hAnsi="Times New Roman"/>
          <w:sz w:val="20"/>
          <w:szCs w:val="20"/>
          <w:color w:val="auto"/>
        </w:rPr>
      </w:pPr>
    </w:p>
    <w:p>
      <w:pPr>
        <w:ind w:right="80" w:firstLine="1035"/>
        <w:spacing w:after="0" w:line="254" w:lineRule="auto"/>
        <w:tabs>
          <w:tab w:leader="none" w:pos="160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Subordinated Debt has a final maturity date later than the final maturity date of, and has a weighted average life to maturity equal to or greater than the weighted average life to maturity of, the Subordinated Debt being exchanged, refinanced, renewed, replaced, defeased, discharged or refunded.</w:t>
      </w:r>
    </w:p>
    <w:p>
      <w:pPr>
        <w:spacing w:after="0" w:line="175" w:lineRule="exact"/>
        <w:rPr>
          <w:sz w:val="20"/>
          <w:szCs w:val="20"/>
          <w:color w:val="auto"/>
        </w:rPr>
      </w:pPr>
    </w:p>
    <w:p>
      <w:pPr>
        <w:ind w:right="10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an individual, partnership, corporation, limited liability company, limited liability partnership, syndicate, business trust, joint stock company, trust, unincorporated association, joint venture, Governmental Authority or other entity of whatever nature.</w:t>
      </w:r>
    </w:p>
    <w:p>
      <w:pPr>
        <w:sectPr>
          <w:pgSz w:w="11900" w:h="16838" w:orient="portrait"/>
          <w:cols w:equalWidth="0" w:num="1">
            <w:col w:w="11420"/>
          </w:cols>
          <w:pgMar w:left="240" w:top="409" w:right="239" w:bottom="1440" w:gutter="0" w:footer="0" w:header="0"/>
        </w:sectPr>
      </w:pPr>
    </w:p>
    <w:bookmarkStart w:id="123" w:name="page124"/>
    <w:bookmarkEnd w:id="123"/>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28</w:t>
      </w:r>
    </w:p>
    <w:p>
      <w:pPr>
        <w:spacing w:after="0" w:line="238" w:lineRule="exact"/>
        <w:rPr>
          <w:sz w:val="20"/>
          <w:szCs w:val="20"/>
          <w:color w:val="auto"/>
        </w:rPr>
      </w:pPr>
    </w:p>
    <w:p>
      <w:pPr>
        <w:ind w:right="200" w:firstLine="102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any employee benefit plan as defined in Section 3(3) of ERISA, including any employee welfare benefit plan (as defined in Section 3(1) of ERISA), any employee pension benefit plan (as defined in Section 3(2) of ERISA but excluding any Multiemployer Plan), and any plan which is both an employee welfare benefit plan and an employee pension benefit plan, and in respect of which any Group Member or any ERISA Affiliate is (or, if such Plan were terminated, would under Section 4069 of ERISA be deemed to be) an “employer” as defined in section 3(5) of ERISA.</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u w:val="single" w:color="auto"/>
          <w:color w:val="0000FF"/>
        </w:rPr>
        <w:t>“Pounds Sterling”: the lawful currency of the United Kingdom.</w:t>
      </w:r>
    </w:p>
    <w:p>
      <w:pPr>
        <w:spacing w:after="0" w:line="216" w:lineRule="exact"/>
        <w:rPr>
          <w:sz w:val="20"/>
          <w:szCs w:val="20"/>
          <w:color w:val="auto"/>
        </w:rPr>
      </w:pPr>
    </w:p>
    <w:p>
      <w:pPr>
        <w:ind w:right="14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Power of Attorney</w:t>
      </w:r>
      <w:r>
        <w:rPr>
          <w:rFonts w:ascii="Times New Roman" w:cs="Times New Roman" w:eastAsia="Times New Roman" w:hAnsi="Times New Roman"/>
          <w:sz w:val="20"/>
          <w:szCs w:val="20"/>
          <w:color w:val="auto"/>
        </w:rPr>
        <w:t>”: a power of attorney made by the Administrative Agent in favor of the relevant mortgagor under a Mortgage substantially in the form of Exhibit K.</w:t>
      </w:r>
    </w:p>
    <w:p>
      <w:pPr>
        <w:spacing w:after="0" w:line="160" w:lineRule="exact"/>
        <w:rPr>
          <w:sz w:val="20"/>
          <w:szCs w:val="20"/>
          <w:color w:val="auto"/>
        </w:rPr>
      </w:pPr>
    </w:p>
    <w:p>
      <w:pPr>
        <w:ind w:right="76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Preferred Stock</w:t>
      </w:r>
      <w:r>
        <w:rPr>
          <w:rFonts w:ascii="Times New Roman" w:cs="Times New Roman" w:eastAsia="Times New Roman" w:hAnsi="Times New Roman"/>
          <w:sz w:val="20"/>
          <w:szCs w:val="20"/>
          <w:color w:val="auto"/>
        </w:rPr>
        <w:t>”: 40 shares, par value $0.01 per share of Series A Cumulative Redeemable Preferred Stock of MVW US Holdings, Inc., with an aggregate liquidation preference of $40,000,000.</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Pricing Grid</w:t>
      </w:r>
      <w:r>
        <w:rPr>
          <w:rFonts w:ascii="Times New Roman" w:cs="Times New Roman" w:eastAsia="Times New Roman" w:hAnsi="Times New Roman"/>
          <w:sz w:val="20"/>
          <w:szCs w:val="20"/>
          <w:color w:val="auto"/>
        </w:rPr>
        <w:t>”: the table set forth below:</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81"/>
        </w:trPr>
        <w:tc>
          <w:tcPr>
            <w:tcW w:w="280" w:type="dxa"/>
            <w:vAlign w:val="bottom"/>
            <w:tcBorders>
              <w:top w:val="single" w:sz="8" w:color="auto"/>
              <w:left w:val="single" w:sz="8" w:color="auto"/>
            </w:tcBorders>
          </w:tcPr>
          <w:p>
            <w:pPr>
              <w:spacing w:after="0"/>
              <w:rPr>
                <w:sz w:val="7"/>
                <w:szCs w:val="7"/>
                <w:color w:val="auto"/>
              </w:rPr>
            </w:pPr>
          </w:p>
        </w:tc>
        <w:tc>
          <w:tcPr>
            <w:tcW w:w="2660" w:type="dxa"/>
            <w:vAlign w:val="bottom"/>
            <w:tcBorders>
              <w:top w:val="single" w:sz="8" w:color="auto"/>
              <w:bottom w:val="single" w:sz="8" w:color="auto"/>
            </w:tcBorders>
          </w:tcPr>
          <w:p>
            <w:pPr>
              <w:spacing w:after="0"/>
              <w:rPr>
                <w:sz w:val="7"/>
                <w:szCs w:val="7"/>
                <w:color w:val="auto"/>
              </w:rPr>
            </w:pPr>
          </w:p>
        </w:tc>
        <w:tc>
          <w:tcPr>
            <w:tcW w:w="1560" w:type="dxa"/>
            <w:vAlign w:val="bottom"/>
            <w:tcBorders>
              <w:top w:val="single" w:sz="8" w:color="auto"/>
              <w:bottom w:val="single" w:sz="8" w:color="auto"/>
            </w:tcBorders>
          </w:tcPr>
          <w:p>
            <w:pPr>
              <w:spacing w:after="0"/>
              <w:rPr>
                <w:sz w:val="7"/>
                <w:szCs w:val="7"/>
                <w:color w:val="auto"/>
              </w:rPr>
            </w:pPr>
          </w:p>
        </w:tc>
        <w:tc>
          <w:tcPr>
            <w:tcW w:w="128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1000" w:type="dxa"/>
            <w:vAlign w:val="bottom"/>
            <w:tcBorders>
              <w:top w:val="single" w:sz="8" w:color="auto"/>
              <w:bottom w:val="single" w:sz="8" w:color="auto"/>
            </w:tcBorders>
          </w:tcPr>
          <w:p>
            <w:pPr>
              <w:spacing w:after="0"/>
              <w:rPr>
                <w:sz w:val="7"/>
                <w:szCs w:val="7"/>
                <w:color w:val="auto"/>
              </w:rPr>
            </w:pPr>
          </w:p>
        </w:tc>
        <w:tc>
          <w:tcPr>
            <w:tcW w:w="2080" w:type="dxa"/>
            <w:vAlign w:val="bottom"/>
            <w:tcBorders>
              <w:top w:val="single" w:sz="8" w:color="auto"/>
              <w:bottom w:val="single" w:sz="8" w:color="auto"/>
            </w:tcBorders>
          </w:tcPr>
          <w:p>
            <w:pPr>
              <w:spacing w:after="0"/>
              <w:rPr>
                <w:sz w:val="7"/>
                <w:szCs w:val="7"/>
                <w:color w:val="auto"/>
              </w:rPr>
            </w:pPr>
          </w:p>
        </w:tc>
        <w:tc>
          <w:tcPr>
            <w:tcW w:w="184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right w:val="single" w:sz="8" w:color="auto"/>
            </w:tcBorders>
          </w:tcPr>
          <w:p>
            <w:pPr>
              <w:spacing w:after="0"/>
              <w:rPr>
                <w:sz w:val="7"/>
                <w:szCs w:val="7"/>
                <w:color w:val="auto"/>
              </w:rPr>
            </w:pPr>
          </w:p>
        </w:tc>
      </w:tr>
      <w:tr>
        <w:trPr>
          <w:trHeight w:val="191"/>
        </w:trPr>
        <w:tc>
          <w:tcPr>
            <w:tcW w:w="280" w:type="dxa"/>
            <w:vAlign w:val="bottom"/>
            <w:tcBorders>
              <w:left w:val="single" w:sz="8" w:color="auto"/>
              <w:right w:val="single" w:sz="8" w:color="auto"/>
            </w:tcBorders>
          </w:tcPr>
          <w:p>
            <w:pPr>
              <w:spacing w:after="0"/>
              <w:rPr>
                <w:sz w:val="16"/>
                <w:szCs w:val="16"/>
                <w:color w:val="auto"/>
              </w:rPr>
            </w:pPr>
          </w:p>
        </w:tc>
        <w:tc>
          <w:tcPr>
            <w:tcW w:w="2660" w:type="dxa"/>
            <w:vAlign w:val="bottom"/>
            <w:tcBorders>
              <w:right w:val="single" w:sz="8" w:color="auto"/>
            </w:tcBorders>
          </w:tcPr>
          <w:p>
            <w:pPr>
              <w:jc w:val="center"/>
              <w:ind w:left="330"/>
              <w:spacing w:after="0" w:line="191" w:lineRule="exact"/>
              <w:rPr>
                <w:sz w:val="20"/>
                <w:szCs w:val="20"/>
                <w:color w:val="auto"/>
              </w:rPr>
            </w:pPr>
            <w:r>
              <w:rPr>
                <w:rFonts w:ascii="Times New Roman" w:cs="Times New Roman" w:eastAsia="Times New Roman" w:hAnsi="Times New Roman"/>
                <w:sz w:val="18"/>
                <w:szCs w:val="18"/>
                <w:color w:val="auto"/>
                <w:w w:val="97"/>
              </w:rPr>
              <w:t>Level</w:t>
            </w:r>
          </w:p>
        </w:tc>
        <w:tc>
          <w:tcPr>
            <w:tcW w:w="1560" w:type="dxa"/>
            <w:vAlign w:val="bottom"/>
            <w:tcBorders>
              <w:right w:val="single" w:sz="8" w:color="auto"/>
            </w:tcBorders>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w w:val="98"/>
              </w:rPr>
              <w:t>S&amp;P Rating/</w:t>
            </w:r>
          </w:p>
        </w:tc>
        <w:tc>
          <w:tcPr>
            <w:tcW w:w="2300" w:type="dxa"/>
            <w:vAlign w:val="bottom"/>
            <w:tcBorders>
              <w:right w:val="single" w:sz="8" w:color="auto"/>
            </w:tcBorders>
            <w:gridSpan w:val="3"/>
          </w:tcPr>
          <w:p>
            <w:pPr>
              <w:jc w:val="center"/>
              <w:ind w:left="410"/>
              <w:spacing w:after="0" w:line="191" w:lineRule="exact"/>
              <w:rPr>
                <w:sz w:val="20"/>
                <w:szCs w:val="20"/>
                <w:color w:val="auto"/>
              </w:rPr>
            </w:pPr>
            <w:r>
              <w:rPr>
                <w:rFonts w:ascii="Times New Roman" w:cs="Times New Roman" w:eastAsia="Times New Roman" w:hAnsi="Times New Roman"/>
                <w:sz w:val="18"/>
                <w:szCs w:val="18"/>
                <w:color w:val="auto"/>
                <w:w w:val="99"/>
              </w:rPr>
              <w:t>Applicable Margin</w:t>
            </w:r>
          </w:p>
        </w:tc>
        <w:tc>
          <w:tcPr>
            <w:tcW w:w="2080" w:type="dxa"/>
            <w:vAlign w:val="bottom"/>
            <w:tcBorders>
              <w:right w:val="single" w:sz="8" w:color="auto"/>
            </w:tcBorders>
          </w:tcPr>
          <w:p>
            <w:pPr>
              <w:jc w:val="center"/>
              <w:ind w:left="330"/>
              <w:spacing w:after="0" w:line="191" w:lineRule="exact"/>
              <w:rPr>
                <w:sz w:val="20"/>
                <w:szCs w:val="20"/>
                <w:color w:val="auto"/>
              </w:rPr>
            </w:pPr>
            <w:r>
              <w:rPr>
                <w:rFonts w:ascii="Times New Roman" w:cs="Times New Roman" w:eastAsia="Times New Roman" w:hAnsi="Times New Roman"/>
                <w:sz w:val="18"/>
                <w:szCs w:val="18"/>
                <w:color w:val="auto"/>
                <w:w w:val="99"/>
              </w:rPr>
              <w:t>Applicable Margin for</w:t>
            </w:r>
          </w:p>
        </w:tc>
        <w:tc>
          <w:tcPr>
            <w:tcW w:w="1840" w:type="dxa"/>
            <w:vAlign w:val="bottom"/>
            <w:tcBorders>
              <w:right w:val="single" w:sz="8" w:color="auto"/>
            </w:tcBorders>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w w:val="99"/>
              </w:rPr>
              <w:t>Commitment Fee Rate</w:t>
            </w:r>
          </w:p>
        </w:tc>
        <w:tc>
          <w:tcPr>
            <w:tcW w:w="720" w:type="dxa"/>
            <w:vAlign w:val="bottom"/>
            <w:tcBorders>
              <w:right w:val="single" w:sz="8" w:color="auto"/>
            </w:tcBorders>
          </w:tcPr>
          <w:p>
            <w:pPr>
              <w:spacing w:after="0"/>
              <w:rPr>
                <w:sz w:val="16"/>
                <w:szCs w:val="16"/>
                <w:color w:val="auto"/>
              </w:rPr>
            </w:pPr>
          </w:p>
        </w:tc>
      </w:tr>
      <w:tr>
        <w:trPr>
          <w:trHeight w:val="216"/>
        </w:trPr>
        <w:tc>
          <w:tcPr>
            <w:tcW w:w="280" w:type="dxa"/>
            <w:vAlign w:val="bottom"/>
            <w:tcBorders>
              <w:left w:val="single" w:sz="8" w:color="auto"/>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Moody’s Rating</w:t>
            </w:r>
          </w:p>
        </w:tc>
        <w:tc>
          <w:tcPr>
            <w:tcW w:w="1280" w:type="dxa"/>
            <w:vAlign w:val="bottom"/>
          </w:tcPr>
          <w:p>
            <w:pPr>
              <w:spacing w:after="0"/>
              <w:rPr>
                <w:sz w:val="18"/>
                <w:szCs w:val="18"/>
                <w:color w:val="auto"/>
              </w:rPr>
            </w:pPr>
          </w:p>
        </w:tc>
        <w:tc>
          <w:tcPr>
            <w:tcW w:w="1020" w:type="dxa"/>
            <w:vAlign w:val="bottom"/>
            <w:tcBorders>
              <w:right w:val="single" w:sz="8" w:color="auto"/>
            </w:tcBorders>
            <w:gridSpan w:val="2"/>
          </w:tcPr>
          <w:p>
            <w:pPr>
              <w:jc w:val="center"/>
              <w:ind w:right="690"/>
              <w:spacing w:after="0"/>
              <w:rPr>
                <w:sz w:val="20"/>
                <w:szCs w:val="20"/>
                <w:color w:val="auto"/>
              </w:rPr>
            </w:pPr>
            <w:r>
              <w:rPr>
                <w:rFonts w:ascii="Times New Roman" w:cs="Times New Roman" w:eastAsia="Times New Roman" w:hAnsi="Times New Roman"/>
                <w:sz w:val="18"/>
                <w:szCs w:val="18"/>
                <w:color w:val="auto"/>
                <w:w w:val="95"/>
              </w:rPr>
              <w:t>for</w:t>
            </w:r>
          </w:p>
        </w:tc>
        <w:tc>
          <w:tcPr>
            <w:tcW w:w="2080" w:type="dxa"/>
            <w:vAlign w:val="bottom"/>
            <w:tcBorders>
              <w:righ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ABR Loans</w:t>
            </w:r>
          </w:p>
        </w:tc>
        <w:tc>
          <w:tcPr>
            <w:tcW w:w="18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194"/>
        </w:trPr>
        <w:tc>
          <w:tcPr>
            <w:tcW w:w="280" w:type="dxa"/>
            <w:vAlign w:val="bottom"/>
            <w:tcBorders>
              <w:left w:val="single" w:sz="8" w:color="auto"/>
              <w:right w:val="single" w:sz="8" w:color="auto"/>
            </w:tcBorders>
          </w:tcPr>
          <w:p>
            <w:pPr>
              <w:spacing w:after="0"/>
              <w:rPr>
                <w:sz w:val="16"/>
                <w:szCs w:val="16"/>
                <w:color w:val="auto"/>
              </w:rPr>
            </w:pPr>
          </w:p>
        </w:tc>
        <w:tc>
          <w:tcPr>
            <w:tcW w:w="26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300" w:type="dxa"/>
            <w:vAlign w:val="bottom"/>
            <w:gridSpan w:val="2"/>
          </w:tcPr>
          <w:p>
            <w:pPr>
              <w:ind w:left="520"/>
              <w:spacing w:after="0" w:line="194" w:lineRule="exact"/>
              <w:rPr>
                <w:sz w:val="20"/>
                <w:szCs w:val="20"/>
                <w:color w:val="auto"/>
              </w:rPr>
            </w:pPr>
            <w:r>
              <w:rPr>
                <w:rFonts w:ascii="Times New Roman" w:cs="Times New Roman" w:eastAsia="Times New Roman" w:hAnsi="Times New Roman"/>
                <w:sz w:val="18"/>
                <w:szCs w:val="18"/>
                <w:color w:val="FF0000"/>
                <w:strike w:val="1"/>
                <w:w w:val="98"/>
              </w:rPr>
              <w:t>Eurodollar</w:t>
            </w:r>
          </w:p>
        </w:tc>
        <w:tc>
          <w:tcPr>
            <w:tcW w:w="1000" w:type="dxa"/>
            <w:vAlign w:val="bottom"/>
            <w:tcBorders>
              <w:bottom w:val="single" w:sz="8" w:color="0000FF"/>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0000FF"/>
                <w:w w:val="97"/>
              </w:rPr>
              <w:t>Eurocurrency</w:t>
            </w:r>
          </w:p>
        </w:tc>
        <w:tc>
          <w:tcPr>
            <w:tcW w:w="208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r>
      <w:tr>
        <w:trPr>
          <w:trHeight w:val="34"/>
        </w:trPr>
        <w:tc>
          <w:tcPr>
            <w:tcW w:w="280" w:type="dxa"/>
            <w:vAlign w:val="bottom"/>
            <w:tcBorders>
              <w:left w:val="single" w:sz="8" w:color="auto"/>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0" w:type="dxa"/>
            <w:vAlign w:val="bottom"/>
            <w:tcBorders>
              <w:bottom w:val="single" w:sz="8" w:color="0000FF"/>
              <w:right w:val="single" w:sz="8" w:color="auto"/>
            </w:tcBorders>
          </w:tcPr>
          <w:p>
            <w:pPr>
              <w:spacing w:after="0"/>
              <w:rPr>
                <w:sz w:val="2"/>
                <w:szCs w:val="2"/>
                <w:color w:val="auto"/>
              </w:rPr>
            </w:pPr>
          </w:p>
        </w:tc>
        <w:tc>
          <w:tcPr>
            <w:tcW w:w="2080" w:type="dxa"/>
            <w:vAlign w:val="bottom"/>
            <w:tcBorders>
              <w:right w:val="single" w:sz="8" w:color="auto"/>
            </w:tcBorders>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r>
      <w:tr>
        <w:trPr>
          <w:trHeight w:val="196"/>
        </w:trPr>
        <w:tc>
          <w:tcPr>
            <w:tcW w:w="280" w:type="dxa"/>
            <w:vAlign w:val="bottom"/>
            <w:tcBorders>
              <w:left w:val="single" w:sz="8" w:color="auto"/>
              <w:right w:val="single" w:sz="8" w:color="auto"/>
            </w:tcBorders>
          </w:tcPr>
          <w:p>
            <w:pPr>
              <w:spacing w:after="0"/>
              <w:rPr>
                <w:sz w:val="17"/>
                <w:szCs w:val="17"/>
                <w:color w:val="auto"/>
              </w:rPr>
            </w:pPr>
          </w:p>
        </w:tc>
        <w:tc>
          <w:tcPr>
            <w:tcW w:w="266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gridSpan w:val="3"/>
          </w:tcPr>
          <w:p>
            <w:pPr>
              <w:jc w:val="center"/>
              <w:ind w:left="410"/>
              <w:spacing w:after="0" w:line="196" w:lineRule="exact"/>
              <w:rPr>
                <w:sz w:val="20"/>
                <w:szCs w:val="20"/>
                <w:color w:val="auto"/>
              </w:rPr>
            </w:pPr>
            <w:r>
              <w:rPr>
                <w:rFonts w:ascii="Times New Roman" w:cs="Times New Roman" w:eastAsia="Times New Roman" w:hAnsi="Times New Roman"/>
                <w:sz w:val="18"/>
                <w:szCs w:val="18"/>
                <w:color w:val="auto"/>
                <w:w w:val="99"/>
              </w:rPr>
              <w:t>Loans</w:t>
            </w:r>
          </w:p>
        </w:tc>
        <w:tc>
          <w:tcPr>
            <w:tcW w:w="208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r>
      <w:tr>
        <w:trPr>
          <w:trHeight w:val="191"/>
        </w:trPr>
        <w:tc>
          <w:tcPr>
            <w:tcW w:w="280" w:type="dxa"/>
            <w:vAlign w:val="bottom"/>
            <w:tcBorders>
              <w:left w:val="single" w:sz="8" w:color="auto"/>
              <w:right w:val="single" w:sz="8" w:color="auto"/>
            </w:tcBorders>
          </w:tcPr>
          <w:p>
            <w:pPr>
              <w:spacing w:after="0"/>
              <w:rPr>
                <w:sz w:val="16"/>
                <w:szCs w:val="16"/>
                <w:color w:val="auto"/>
              </w:rPr>
            </w:pPr>
          </w:p>
        </w:tc>
        <w:tc>
          <w:tcPr>
            <w:tcW w:w="2660" w:type="dxa"/>
            <w:vAlign w:val="bottom"/>
            <w:tcBorders>
              <w:right w:val="single" w:sz="8" w:color="auto"/>
            </w:tcBorders>
          </w:tcPr>
          <w:p>
            <w:pPr>
              <w:jc w:val="center"/>
              <w:ind w:left="350"/>
              <w:spacing w:after="0" w:line="191" w:lineRule="exact"/>
              <w:rPr>
                <w:sz w:val="20"/>
                <w:szCs w:val="20"/>
                <w:color w:val="auto"/>
              </w:rPr>
            </w:pPr>
            <w:r>
              <w:rPr>
                <w:rFonts w:ascii="Times New Roman" w:cs="Times New Roman" w:eastAsia="Times New Roman" w:hAnsi="Times New Roman"/>
                <w:sz w:val="18"/>
                <w:szCs w:val="18"/>
                <w:color w:val="auto"/>
                <w:w w:val="99"/>
              </w:rPr>
              <w:t>I</w:t>
            </w:r>
          </w:p>
        </w:tc>
        <w:tc>
          <w:tcPr>
            <w:tcW w:w="1560" w:type="dxa"/>
            <w:vAlign w:val="bottom"/>
            <w:tcBorders>
              <w:right w:val="single" w:sz="8" w:color="auto"/>
            </w:tcBorders>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w w:val="98"/>
              </w:rPr>
              <w:t>BBB-/Baa3 or</w:t>
            </w: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r>
      <w:tr>
        <w:trPr>
          <w:trHeight w:val="234"/>
        </w:trPr>
        <w:tc>
          <w:tcPr>
            <w:tcW w:w="280" w:type="dxa"/>
            <w:vAlign w:val="bottom"/>
            <w:tcBorders>
              <w:left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higher</w:t>
            </w:r>
          </w:p>
        </w:tc>
        <w:tc>
          <w:tcPr>
            <w:tcW w:w="2300" w:type="dxa"/>
            <w:vAlign w:val="bottom"/>
            <w:tcBorders>
              <w:bottom w:val="single" w:sz="8" w:color="auto"/>
              <w:right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1.625%</w:t>
            </w:r>
          </w:p>
        </w:tc>
        <w:tc>
          <w:tcPr>
            <w:tcW w:w="2080" w:type="dxa"/>
            <w:vAlign w:val="bottom"/>
            <w:tcBorders>
              <w:bottom w:val="single" w:sz="8" w:color="auto"/>
              <w:right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rPr>
              <w:t>0.625%</w:t>
            </w:r>
          </w:p>
        </w:tc>
        <w:tc>
          <w:tcPr>
            <w:tcW w:w="184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0.200%</w:t>
            </w:r>
          </w:p>
        </w:tc>
        <w:tc>
          <w:tcPr>
            <w:tcW w:w="720" w:type="dxa"/>
            <w:vAlign w:val="bottom"/>
            <w:tcBorders>
              <w:right w:val="single" w:sz="8" w:color="auto"/>
            </w:tcBorders>
          </w:tcPr>
          <w:p>
            <w:pPr>
              <w:spacing w:after="0"/>
              <w:rPr>
                <w:sz w:val="20"/>
                <w:szCs w:val="20"/>
                <w:color w:val="auto"/>
              </w:rPr>
            </w:pPr>
          </w:p>
        </w:tc>
      </w:tr>
      <w:tr>
        <w:trPr>
          <w:trHeight w:val="210"/>
        </w:trPr>
        <w:tc>
          <w:tcPr>
            <w:tcW w:w="280" w:type="dxa"/>
            <w:vAlign w:val="bottom"/>
            <w:tcBorders>
              <w:left w:val="single" w:sz="8" w:color="auto"/>
              <w:right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9"/>
              </w:rPr>
              <w:t>II</w:t>
            </w:r>
          </w:p>
        </w:tc>
        <w:tc>
          <w:tcPr>
            <w:tcW w:w="156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BB+/Ba1</w:t>
            </w:r>
          </w:p>
        </w:tc>
        <w:tc>
          <w:tcPr>
            <w:tcW w:w="2300" w:type="dxa"/>
            <w:vAlign w:val="bottom"/>
            <w:tcBorders>
              <w:bottom w:val="single" w:sz="8" w:color="auto"/>
              <w:right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1.875%</w:t>
            </w:r>
          </w:p>
        </w:tc>
        <w:tc>
          <w:tcPr>
            <w:tcW w:w="2080" w:type="dxa"/>
            <w:vAlign w:val="bottom"/>
            <w:tcBorders>
              <w:bottom w:val="single" w:sz="8" w:color="auto"/>
              <w:right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rPr>
              <w:t>0.875%</w:t>
            </w:r>
          </w:p>
        </w:tc>
        <w:tc>
          <w:tcPr>
            <w:tcW w:w="184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0.250%</w:t>
            </w:r>
          </w:p>
        </w:tc>
        <w:tc>
          <w:tcPr>
            <w:tcW w:w="720" w:type="dxa"/>
            <w:vAlign w:val="bottom"/>
            <w:tcBorders>
              <w:right w:val="single" w:sz="8" w:color="auto"/>
            </w:tcBorders>
          </w:tcPr>
          <w:p>
            <w:pPr>
              <w:spacing w:after="0"/>
              <w:rPr>
                <w:sz w:val="18"/>
                <w:szCs w:val="18"/>
                <w:color w:val="auto"/>
              </w:rPr>
            </w:pPr>
          </w:p>
        </w:tc>
      </w:tr>
      <w:tr>
        <w:trPr>
          <w:trHeight w:val="210"/>
        </w:trPr>
        <w:tc>
          <w:tcPr>
            <w:tcW w:w="280" w:type="dxa"/>
            <w:vAlign w:val="bottom"/>
            <w:tcBorders>
              <w:left w:val="single" w:sz="8" w:color="auto"/>
              <w:right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9"/>
              </w:rPr>
              <w:t>III</w:t>
            </w:r>
          </w:p>
        </w:tc>
        <w:tc>
          <w:tcPr>
            <w:tcW w:w="156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BB/Ba2</w:t>
            </w:r>
          </w:p>
        </w:tc>
        <w:tc>
          <w:tcPr>
            <w:tcW w:w="2300" w:type="dxa"/>
            <w:vAlign w:val="bottom"/>
            <w:tcBorders>
              <w:bottom w:val="single" w:sz="8" w:color="auto"/>
              <w:right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2.125%</w:t>
            </w:r>
          </w:p>
        </w:tc>
        <w:tc>
          <w:tcPr>
            <w:tcW w:w="2080" w:type="dxa"/>
            <w:vAlign w:val="bottom"/>
            <w:tcBorders>
              <w:bottom w:val="single" w:sz="8" w:color="auto"/>
              <w:right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rPr>
              <w:t>1.125%</w:t>
            </w:r>
          </w:p>
        </w:tc>
        <w:tc>
          <w:tcPr>
            <w:tcW w:w="184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0.300%</w:t>
            </w:r>
          </w:p>
        </w:tc>
        <w:tc>
          <w:tcPr>
            <w:tcW w:w="720" w:type="dxa"/>
            <w:vAlign w:val="bottom"/>
            <w:tcBorders>
              <w:right w:val="single" w:sz="8" w:color="auto"/>
            </w:tcBorders>
          </w:tcPr>
          <w:p>
            <w:pPr>
              <w:spacing w:after="0"/>
              <w:rPr>
                <w:sz w:val="18"/>
                <w:szCs w:val="18"/>
                <w:color w:val="auto"/>
              </w:rPr>
            </w:pPr>
          </w:p>
        </w:tc>
      </w:tr>
      <w:tr>
        <w:trPr>
          <w:trHeight w:val="210"/>
        </w:trPr>
        <w:tc>
          <w:tcPr>
            <w:tcW w:w="280" w:type="dxa"/>
            <w:vAlign w:val="bottom"/>
            <w:tcBorders>
              <w:left w:val="single" w:sz="8" w:color="auto"/>
              <w:right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IV</w:t>
            </w:r>
          </w:p>
        </w:tc>
        <w:tc>
          <w:tcPr>
            <w:tcW w:w="156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BB-/Ba3</w:t>
            </w:r>
          </w:p>
        </w:tc>
        <w:tc>
          <w:tcPr>
            <w:tcW w:w="2300" w:type="dxa"/>
            <w:vAlign w:val="bottom"/>
            <w:tcBorders>
              <w:bottom w:val="single" w:sz="8" w:color="auto"/>
              <w:right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2.500%</w:t>
            </w:r>
          </w:p>
        </w:tc>
        <w:tc>
          <w:tcPr>
            <w:tcW w:w="2080" w:type="dxa"/>
            <w:vAlign w:val="bottom"/>
            <w:tcBorders>
              <w:bottom w:val="single" w:sz="8" w:color="auto"/>
              <w:right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rPr>
              <w:t>1.500%</w:t>
            </w:r>
          </w:p>
        </w:tc>
        <w:tc>
          <w:tcPr>
            <w:tcW w:w="184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0.325%</w:t>
            </w:r>
          </w:p>
        </w:tc>
        <w:tc>
          <w:tcPr>
            <w:tcW w:w="720" w:type="dxa"/>
            <w:vAlign w:val="bottom"/>
            <w:tcBorders>
              <w:right w:val="single" w:sz="8" w:color="auto"/>
            </w:tcBorders>
          </w:tcPr>
          <w:p>
            <w:pPr>
              <w:spacing w:after="0"/>
              <w:rPr>
                <w:sz w:val="18"/>
                <w:szCs w:val="18"/>
                <w:color w:val="auto"/>
              </w:rPr>
            </w:pPr>
          </w:p>
        </w:tc>
      </w:tr>
      <w:tr>
        <w:trPr>
          <w:trHeight w:val="191"/>
        </w:trPr>
        <w:tc>
          <w:tcPr>
            <w:tcW w:w="280" w:type="dxa"/>
            <w:vAlign w:val="bottom"/>
            <w:tcBorders>
              <w:left w:val="single" w:sz="8" w:color="auto"/>
              <w:right w:val="single" w:sz="8" w:color="auto"/>
            </w:tcBorders>
          </w:tcPr>
          <w:p>
            <w:pPr>
              <w:spacing w:after="0"/>
              <w:rPr>
                <w:sz w:val="16"/>
                <w:szCs w:val="16"/>
                <w:color w:val="auto"/>
              </w:rPr>
            </w:pPr>
          </w:p>
        </w:tc>
        <w:tc>
          <w:tcPr>
            <w:tcW w:w="2660" w:type="dxa"/>
            <w:vAlign w:val="bottom"/>
            <w:tcBorders>
              <w:right w:val="single" w:sz="8" w:color="auto"/>
            </w:tcBorders>
          </w:tcPr>
          <w:p>
            <w:pPr>
              <w:jc w:val="center"/>
              <w:ind w:left="330"/>
              <w:spacing w:after="0" w:line="191" w:lineRule="exact"/>
              <w:rPr>
                <w:sz w:val="20"/>
                <w:szCs w:val="20"/>
                <w:color w:val="auto"/>
              </w:rPr>
            </w:pPr>
            <w:r>
              <w:rPr>
                <w:rFonts w:ascii="Times New Roman" w:cs="Times New Roman" w:eastAsia="Times New Roman" w:hAnsi="Times New Roman"/>
                <w:sz w:val="18"/>
                <w:szCs w:val="18"/>
                <w:color w:val="auto"/>
                <w:w w:val="91"/>
              </w:rPr>
              <w:t>V</w:t>
            </w:r>
          </w:p>
        </w:tc>
        <w:tc>
          <w:tcPr>
            <w:tcW w:w="1560" w:type="dxa"/>
            <w:vAlign w:val="bottom"/>
            <w:tcBorders>
              <w:right w:val="single" w:sz="8" w:color="auto"/>
            </w:tcBorders>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rPr>
              <w:t>B+/B1 or lower or</w:t>
            </w: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r>
      <w:tr>
        <w:trPr>
          <w:trHeight w:val="234"/>
        </w:trPr>
        <w:tc>
          <w:tcPr>
            <w:tcW w:w="280" w:type="dxa"/>
            <w:vAlign w:val="bottom"/>
            <w:tcBorders>
              <w:left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no rating</w:t>
            </w:r>
          </w:p>
        </w:tc>
        <w:tc>
          <w:tcPr>
            <w:tcW w:w="2300" w:type="dxa"/>
            <w:vAlign w:val="bottom"/>
            <w:tcBorders>
              <w:bottom w:val="single" w:sz="8" w:color="auto"/>
              <w:right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3.125%</w:t>
            </w:r>
          </w:p>
        </w:tc>
        <w:tc>
          <w:tcPr>
            <w:tcW w:w="2080" w:type="dxa"/>
            <w:vAlign w:val="bottom"/>
            <w:tcBorders>
              <w:bottom w:val="single" w:sz="8" w:color="auto"/>
              <w:right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rPr>
              <w:t>2.125%</w:t>
            </w:r>
          </w:p>
        </w:tc>
        <w:tc>
          <w:tcPr>
            <w:tcW w:w="184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0.500%</w:t>
            </w:r>
          </w:p>
        </w:tc>
        <w:tc>
          <w:tcPr>
            <w:tcW w:w="720" w:type="dxa"/>
            <w:vAlign w:val="bottom"/>
            <w:tcBorders>
              <w:right w:val="single" w:sz="8" w:color="auto"/>
            </w:tcBorders>
          </w:tcPr>
          <w:p>
            <w:pPr>
              <w:spacing w:after="0"/>
              <w:rPr>
                <w:sz w:val="20"/>
                <w:szCs w:val="20"/>
                <w:color w:val="auto"/>
              </w:rPr>
            </w:pPr>
          </w:p>
        </w:tc>
      </w:tr>
      <w:tr>
        <w:trPr>
          <w:trHeight w:val="34"/>
        </w:trPr>
        <w:tc>
          <w:tcPr>
            <w:tcW w:w="280" w:type="dxa"/>
            <w:vAlign w:val="bottom"/>
            <w:tcBorders>
              <w:left w:val="single" w:sz="8" w:color="auto"/>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bl>
    <w:p>
      <w:pPr>
        <w:spacing w:after="0" w:line="180"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0"/>
          <w:szCs w:val="20"/>
          <w:color w:val="auto"/>
        </w:rPr>
        <w:t xml:space="preserve">For the purposes of the Pricing Grid, changes in the Applicable Margin resulting from changes in the Level shall become effective on the date of the change in the related S&amp;P Rating or Moody’s Rating. If there is a split-rating and the ratings differential is one level, the higher rating will apply. If there is a split-rating and the ratings differential is two levels or more, the rating next below the higher of the split-ratings will apply;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prior to the time, if any, that MVWC obtains a Moody’s Rating, the pricing grid will be construed as if there were only a S&amp;P Rating and references to Moody’s Rating and split ratings shall be ignored. In addition, at all times while an Event of Default shall have occurred and be continuing, the applicable Level shall be Level V. If the rating system of S&amp;P or Moody’s shall change, or if any such rating agency shall cease to be in the business of assigning corporate credit ratings generally (any such rating agency an “</w:t>
      </w:r>
      <w:r>
        <w:rPr>
          <w:rFonts w:ascii="Times New Roman" w:cs="Times New Roman" w:eastAsia="Times New Roman" w:hAnsi="Times New Roman"/>
          <w:sz w:val="20"/>
          <w:szCs w:val="20"/>
          <w:u w:val="single" w:color="auto"/>
          <w:color w:val="auto"/>
        </w:rPr>
        <w:t>Affected Rating Agency</w:t>
      </w:r>
      <w:r>
        <w:rPr>
          <w:rFonts w:ascii="Times New Roman" w:cs="Times New Roman" w:eastAsia="Times New Roman" w:hAnsi="Times New Roman"/>
          <w:sz w:val="20"/>
          <w:szCs w:val="20"/>
          <w:color w:val="auto"/>
        </w:rPr>
        <w:t>”), the Borrower and the Administrative Agent (in consultation with the Lenders) shall negotiate in good faith to amend this definition to reflect such changed rating system or the unavailability of ratings from the Affected Rating Agency and, pending the effectiveness of any such amendment, the Applicable Margin and the Commitment Fee Rate shall be determined by reference to (x) the rating of the rating agency that is not an Affected Rating Agency or (y) if there is no rating agency that is not an Affected Rating Agency, the rating of the Affected Rating Agency most recently in effect prior to such change or cessation.</w:t>
      </w:r>
    </w:p>
    <w:p>
      <w:pPr>
        <w:sectPr>
          <w:pgSz w:w="11900" w:h="16838" w:orient="portrait"/>
          <w:cols w:equalWidth="0" w:num="1">
            <w:col w:w="11440"/>
          </w:cols>
          <w:pgMar w:left="240" w:top="409" w:right="2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29</w:t>
      </w:r>
    </w:p>
    <w:p>
      <w:pPr>
        <w:spacing w:after="0" w:line="238" w:lineRule="exact"/>
        <w:rPr>
          <w:sz w:val="20"/>
          <w:szCs w:val="20"/>
          <w:color w:val="auto"/>
        </w:rPr>
      </w:pPr>
    </w:p>
    <w:p>
      <w:pPr>
        <w:ind w:right="18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the rate of interest per annum publicly announced from time to time by JPMorgan Chase Bank, N.A. as its prime rate in effect at its principal office in New York City (the Prime Rate not being intended to be the lowest rate of interest charged by JPMorgan Chase Bank, N.A. in connection with extensions of credit to debtors).</w:t>
      </w:r>
    </w:p>
    <w:p>
      <w:pPr>
        <w:spacing w:after="0" w:line="175" w:lineRule="exact"/>
        <w:rPr>
          <w:sz w:val="20"/>
          <w:szCs w:val="20"/>
          <w:color w:val="auto"/>
        </w:rPr>
      </w:pPr>
    </w:p>
    <w:p>
      <w:pPr>
        <w:ind w:right="240" w:firstLine="1027"/>
        <w:spacing w:after="0" w:line="269" w:lineRule="auto"/>
        <w:rPr>
          <w:sz w:val="20"/>
          <w:szCs w:val="20"/>
          <w:color w:val="auto"/>
        </w:rPr>
      </w:pPr>
      <w:r>
        <w:rPr>
          <w:rFonts w:ascii="Times New Roman" w:cs="Times New Roman" w:eastAsia="Times New Roman" w:hAnsi="Times New Roman"/>
          <w:sz w:val="20"/>
          <w:szCs w:val="20"/>
          <w:u w:val="single" w:color="auto"/>
          <w:color w:val="0000FF"/>
        </w:rPr>
        <w:t>“Principal Financial Center”: with respect to any Foreign Currency, the principal financial center where such currency is cleared and settled, as reasonably determined by the Administrative Agent.</w:t>
      </w:r>
    </w:p>
    <w:p>
      <w:pPr>
        <w:spacing w:after="0" w:line="160" w:lineRule="exact"/>
        <w:rPr>
          <w:sz w:val="20"/>
          <w:szCs w:val="20"/>
          <w:color w:val="auto"/>
        </w:rPr>
      </w:pPr>
    </w:p>
    <w:p>
      <w:pPr>
        <w:ind w:right="80" w:firstLine="1027"/>
        <w:spacing w:after="0" w:line="242" w:lineRule="auto"/>
        <w:rPr>
          <w:sz w:val="20"/>
          <w:szCs w:val="20"/>
          <w:color w:val="auto"/>
        </w:rPr>
      </w:pPr>
      <w:r>
        <w:rPr>
          <w:rFonts w:ascii="Times New Roman" w:cs="Times New Roman" w:eastAsia="Times New Roman" w:hAnsi="Times New Roman"/>
          <w:sz w:val="20"/>
          <w:szCs w:val="20"/>
          <w:u w:val="single" w:color="auto"/>
          <w:color w:val="0000FF"/>
        </w:rPr>
        <w:t xml:space="preserve">“Pro Rata Share”: with respect to any Lender, as applicable, (a) a fraction (expressed as a percentage), the numerator of which shall be the amount of such Lender’s Commitment and the denominator of which shall be the aggregate amount of all of the Lenders’ Commitments, or (b) with respect to matters relating to Foreign Currency Commitments and Loans in Foreign Currency only, a fraction (expressed as a percentage), the numerator of which shall be the amount of such Lender’s Foreign Currency Commitment and the denominator of which shall be the aggregate amount of all of the applicable Lenders’ Foreign Currency Commitments, in each case as adjusted from time to time in accordance with </w:t>
      </w:r>
      <w:r>
        <w:rPr>
          <w:rFonts w:ascii="Times New Roman" w:cs="Times New Roman" w:eastAsia="Times New Roman" w:hAnsi="Times New Roman"/>
          <w:sz w:val="20"/>
          <w:szCs w:val="20"/>
          <w:u w:val="single" w:color="auto"/>
          <w:color w:val="008000"/>
        </w:rPr>
        <w:t>the provisions of this Agreement.</w:t>
      </w:r>
      <w:r>
        <w:rPr>
          <w:rFonts w:ascii="Times New Roman" w:cs="Times New Roman" w:eastAsia="Times New Roman" w:hAnsi="Times New Roman"/>
          <w:sz w:val="20"/>
          <w:szCs w:val="20"/>
          <w:u w:val="single" w:color="auto"/>
          <w:color w:val="0000FF"/>
        </w:rPr>
        <w:t xml:space="preserve"> Notwithstanding the foregoing, however, if at any time Borrower shall be unable to draw down the entire Available Commitment solely as a result of all or any portion of the Foreign Currency Commitments being outstanding, then, for purposes of funding the remaining Available Commitment, “Pro Rata Share” with respect to each Lender that shall not have advanced an amount (or Dollar Equivalent Amount) equal to an amount (or Dollar Equivalent Amount) equal to 100% of its Commitment, shall be deemed to mean the sum of such Lender’s Pro Rata Share (with respect to the Commitments) and such Lender’s pro rata share (with respect to the Commitments) of the aggregate Pro Rata Shares (with respect to the Commitments) of all the Lenders that shall have advanced 100% of their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-868680</wp:posOffset>
            </wp:positionV>
            <wp:extent cx="17151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16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Prohibited Transaction</w:t>
      </w:r>
      <w:r>
        <w:rPr>
          <w:rFonts w:ascii="Times New Roman" w:cs="Times New Roman" w:eastAsia="Times New Roman" w:hAnsi="Times New Roman"/>
          <w:sz w:val="20"/>
          <w:szCs w:val="20"/>
          <w:color w:val="auto"/>
        </w:rPr>
        <w:t>”: as defined in Section 406 of ERISA and Section 4975(f)(3) of the Code.</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as defined in Section 6.2(c).</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Properties</w:t>
      </w:r>
      <w:r>
        <w:rPr>
          <w:rFonts w:ascii="Times New Roman" w:cs="Times New Roman" w:eastAsia="Times New Roman" w:hAnsi="Times New Roman"/>
          <w:sz w:val="20"/>
          <w:szCs w:val="20"/>
          <w:color w:val="auto"/>
        </w:rPr>
        <w:t>”: as defined in Section 4.17(a).</w:t>
      </w:r>
    </w:p>
    <w:p>
      <w:pPr>
        <w:spacing w:after="0" w:line="216" w:lineRule="exact"/>
        <w:rPr>
          <w:sz w:val="20"/>
          <w:szCs w:val="20"/>
          <w:color w:val="auto"/>
        </w:rPr>
      </w:pPr>
    </w:p>
    <w:p>
      <w:pPr>
        <w:ind w:right="40" w:firstLine="1027"/>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Securitization Transaction</w:t>
      </w:r>
      <w:r>
        <w:rPr>
          <w:rFonts w:ascii="Times New Roman" w:cs="Times New Roman" w:eastAsia="Times New Roman" w:hAnsi="Times New Roman"/>
          <w:sz w:val="20"/>
          <w:szCs w:val="20"/>
          <w:color w:val="auto"/>
        </w:rPr>
        <w:t>”: any transaction or series of transactions previously entered into or that may be entered into by any Group Member pursuant to which such Group Member sells, assigns, conveys, participates, contributes to capital or otherwise transfers to (i) a Time Share SPV (in the case of a transfer by such Group Member) or (ii) any other Person (in the case of a transfer by a Time Share SPV), or may grant a security interest in or pledge, any Time Share Receivables or interests therein (whether now existing or arising in the future) of any Group Member, and any assets related thereto, including, without limitation, all collateral securing such Time Share Receivables, all contracts and contract rights, purchase orders, security interests, financing statements or other documentation in respect of such Time Share Receivables and all guarantees, indemnities, warranties or other documentation or other obligations in respect of such accounts receivable, any other assets which are customarily transferred, or in respect of which security interests are customarily granted, in connection with asset securitization transactions involving receivables similar to such receivables and any collections or proceeds of any of the foregoing (the “</w:t>
      </w:r>
      <w:r>
        <w:rPr>
          <w:rFonts w:ascii="Times New Roman" w:cs="Times New Roman" w:eastAsia="Times New Roman" w:hAnsi="Times New Roman"/>
          <w:sz w:val="20"/>
          <w:szCs w:val="20"/>
          <w:u w:val="single" w:color="auto"/>
          <w:color w:val="auto"/>
        </w:rPr>
        <w:t>Related Assets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right="80" w:firstLine="1027"/>
        <w:spacing w:after="0" w:line="254" w:lineRule="auto"/>
        <w:rPr>
          <w:sz w:val="20"/>
          <w:szCs w:val="20"/>
          <w:color w:val="auto"/>
        </w:rPr>
      </w:pPr>
      <w:r>
        <w:rPr>
          <w:rFonts w:ascii="Times New Roman" w:cs="Times New Roman" w:eastAsia="Times New Roman" w:hAnsi="Times New Roman"/>
          <w:sz w:val="20"/>
          <w:szCs w:val="20"/>
          <w:u w:val="single" w:color="auto"/>
          <w:color w:val="0000FF"/>
        </w:rPr>
        <w:t>“Quotation Day”: with respect to any Eurocurrency Loan for any Interest Period, (a) if such Eurocurrency Loan is denominated in Euros, the day that is two TARGET Days prior to the commencement of such Interest Period, (b) if such Eurocurrency Loan is denominated in Australian Dollars or Pounds Sterling, the first day of such Interest Period and (c) if such Eurocurrency Loan is</w:t>
      </w:r>
    </w:p>
    <w:p>
      <w:pPr>
        <w:sectPr>
          <w:pgSz w:w="11900" w:h="16838" w:orient="portrait"/>
          <w:cols w:equalWidth="0" w:num="1">
            <w:col w:w="11420"/>
          </w:cols>
          <w:pgMar w:left="240" w:top="409" w:right="2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30</w:t>
      </w:r>
    </w:p>
    <w:p>
      <w:pPr>
        <w:spacing w:after="0" w:line="238" w:lineRule="exact"/>
        <w:rPr>
          <w:sz w:val="20"/>
          <w:szCs w:val="20"/>
          <w:color w:val="auto"/>
        </w:rPr>
      </w:pPr>
    </w:p>
    <w:p>
      <w:pPr>
        <w:jc w:val="both"/>
        <w:ind w:right="420"/>
        <w:spacing w:after="0" w:line="249" w:lineRule="auto"/>
        <w:rPr>
          <w:sz w:val="20"/>
          <w:szCs w:val="20"/>
          <w:color w:val="auto"/>
        </w:rPr>
      </w:pPr>
      <w:r>
        <w:rPr>
          <w:rFonts w:ascii="Times New Roman" w:cs="Times New Roman" w:eastAsia="Times New Roman" w:hAnsi="Times New Roman"/>
          <w:sz w:val="20"/>
          <w:szCs w:val="20"/>
          <w:u w:val="single" w:color="auto"/>
          <w:color w:val="0000FF"/>
        </w:rPr>
        <w:t>denominated in Dollars, Japanese Yen or Singapore Dollars, the day that is two Business Days prior to the commencement of such Interest Period; provided, in each case, that if market practice differs in the relevant market where the Eurocurrency Rate for such currency is to be determined, the Quotation Day will be determined by the Administrative Agent in accordance with market practice in such market (and if quotations would normally be given on more than one day, the Quotation Day will be the last of those days).</w:t>
      </w:r>
    </w:p>
    <w:p>
      <w:pPr>
        <w:spacing w:after="0" w:line="18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Warehouse Facility</w:t>
      </w:r>
      <w:r>
        <w:rPr>
          <w:rFonts w:ascii="Times New Roman" w:cs="Times New Roman" w:eastAsia="Times New Roman" w:hAnsi="Times New Roman"/>
          <w:sz w:val="20"/>
          <w:szCs w:val="20"/>
          <w:color w:val="auto"/>
        </w:rPr>
        <w:t>”: as defined in Section 5.1(b)(ii).</w:t>
      </w:r>
    </w:p>
    <w:p>
      <w:pPr>
        <w:spacing w:after="0" w:line="216" w:lineRule="exact"/>
        <w:rPr>
          <w:sz w:val="20"/>
          <w:szCs w:val="20"/>
          <w:color w:val="auto"/>
        </w:rPr>
      </w:pPr>
    </w:p>
    <w:p>
      <w:pPr>
        <w:ind w:right="820" w:firstLine="1027"/>
        <w:spacing w:after="0" w:line="269" w:lineRule="auto"/>
        <w:rPr>
          <w:sz w:val="20"/>
          <w:szCs w:val="20"/>
          <w:color w:val="auto"/>
        </w:rPr>
      </w:pPr>
      <w:r>
        <w:rPr>
          <w:rFonts w:ascii="Times New Roman" w:cs="Times New Roman" w:eastAsia="Times New Roman" w:hAnsi="Times New Roman"/>
          <w:sz w:val="20"/>
          <w:szCs w:val="20"/>
          <w:u w:val="single" w:color="auto"/>
          <w:color w:val="0000FF"/>
        </w:rPr>
        <w:t>“Reference Bank Rate”: with respect to any Eurocurrency Loan denominated in any currency for any Interest Period, the arithmetic mean of the Submitted Reference Bank Rates (rounded upward to four decimal places) in respect thereof.</w:t>
      </w:r>
    </w:p>
    <w:p>
      <w:pPr>
        <w:spacing w:after="0" w:line="160" w:lineRule="exact"/>
        <w:rPr>
          <w:sz w:val="20"/>
          <w:szCs w:val="20"/>
          <w:color w:val="auto"/>
        </w:rPr>
      </w:pPr>
    </w:p>
    <w:p>
      <w:pPr>
        <w:ind w:right="360" w:firstLine="1027"/>
        <w:spacing w:after="0" w:line="269" w:lineRule="auto"/>
        <w:rPr>
          <w:sz w:val="20"/>
          <w:szCs w:val="20"/>
          <w:color w:val="auto"/>
        </w:rPr>
      </w:pPr>
      <w:r>
        <w:rPr>
          <w:rFonts w:ascii="Times New Roman" w:cs="Times New Roman" w:eastAsia="Times New Roman" w:hAnsi="Times New Roman"/>
          <w:sz w:val="20"/>
          <w:szCs w:val="20"/>
          <w:u w:val="single" w:color="auto"/>
          <w:color w:val="0000FF"/>
        </w:rPr>
        <w:t>“Reference Banks”: with respect to any currency, such banks as may be appointed by the Administrative Agent (and agreed by such bank) with the written consent of the Borrower, such consent not to be unreasonably withheld or delayed.</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Period</w:t>
      </w:r>
      <w:r>
        <w:rPr>
          <w:rFonts w:ascii="Times New Roman" w:cs="Times New Roman" w:eastAsia="Times New Roman" w:hAnsi="Times New Roman"/>
          <w:sz w:val="20"/>
          <w:szCs w:val="20"/>
          <w:color w:val="auto"/>
        </w:rPr>
        <w:t>”: the period of four consecutive Fiscal Quarters of MVWC then most recently ended.</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as defined in Section 10.6(b).</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Regulation U of the Board as in effect from time to time.</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Reimbursement Date</w:t>
      </w:r>
      <w:r>
        <w:rPr>
          <w:rFonts w:ascii="Times New Roman" w:cs="Times New Roman" w:eastAsia="Times New Roman" w:hAnsi="Times New Roman"/>
          <w:sz w:val="20"/>
          <w:szCs w:val="20"/>
          <w:color w:val="auto"/>
        </w:rPr>
        <w:t>”: as defined in Section 3.5.</w:t>
      </w:r>
    </w:p>
    <w:p>
      <w:pPr>
        <w:spacing w:after="0" w:line="216" w:lineRule="exact"/>
        <w:rPr>
          <w:sz w:val="20"/>
          <w:szCs w:val="20"/>
          <w:color w:val="auto"/>
        </w:rPr>
      </w:pPr>
    </w:p>
    <w:p>
      <w:pPr>
        <w:ind w:right="10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Reimbursement Obligation</w:t>
      </w:r>
      <w:r>
        <w:rPr>
          <w:rFonts w:ascii="Times New Roman" w:cs="Times New Roman" w:eastAsia="Times New Roman" w:hAnsi="Times New Roman"/>
          <w:sz w:val="20"/>
          <w:szCs w:val="20"/>
          <w:color w:val="auto"/>
        </w:rPr>
        <w:t>”: the obligation of the Borrower to reimburse the Issuing Lender pursuant to Section 3.5 for amounts drawn under Letters of Credit.</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Assets</w:t>
      </w:r>
      <w:r>
        <w:rPr>
          <w:rFonts w:ascii="Times New Roman" w:cs="Times New Roman" w:eastAsia="Times New Roman" w:hAnsi="Times New Roman"/>
          <w:sz w:val="20"/>
          <w:szCs w:val="20"/>
          <w:color w:val="auto"/>
        </w:rPr>
        <w:t>”: as defined in the definition of Qualified Securitization Transaction.</w:t>
      </w:r>
    </w:p>
    <w:p>
      <w:pPr>
        <w:spacing w:after="0" w:line="216" w:lineRule="exact"/>
        <w:rPr>
          <w:sz w:val="20"/>
          <w:szCs w:val="20"/>
          <w:color w:val="auto"/>
        </w:rPr>
      </w:pPr>
    </w:p>
    <w:p>
      <w:pPr>
        <w:ind w:right="10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Reorganization</w:t>
      </w:r>
      <w:r>
        <w:rPr>
          <w:rFonts w:ascii="Times New Roman" w:cs="Times New Roman" w:eastAsia="Times New Roman" w:hAnsi="Times New Roman"/>
          <w:sz w:val="20"/>
          <w:szCs w:val="20"/>
          <w:color w:val="auto"/>
        </w:rPr>
        <w:t>”: with respect to any Multiemployer Plan, the condition that such plan is in reorganization within the meaning of Section 4241 of ERISA.</w:t>
      </w:r>
    </w:p>
    <w:p>
      <w:pPr>
        <w:spacing w:after="0" w:line="160" w:lineRule="exact"/>
        <w:rPr>
          <w:sz w:val="20"/>
          <w:szCs w:val="20"/>
          <w:color w:val="auto"/>
        </w:rPr>
      </w:pPr>
    </w:p>
    <w:p>
      <w:pPr>
        <w:ind w:right="6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any of the events set forth in Section 4043(c) of ERISA or the regulations issued thereunder, with respect to a Pension Plan, other than those events as to which notice is waived pursuant to DOL Reg. Section 4043.</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u w:val="single" w:color="auto"/>
          <w:color w:val="0000FF"/>
        </w:rPr>
        <w:t>“Requested Foreign Currency Loan”: as defined in Section 2.20.</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at any time, Lenders the Percentages of which in the aggregate exceed 50% at such time.</w:t>
      </w:r>
    </w:p>
    <w:p>
      <w:pPr>
        <w:spacing w:after="0" w:line="216" w:lineRule="exact"/>
        <w:rPr>
          <w:sz w:val="20"/>
          <w:szCs w:val="20"/>
          <w:color w:val="auto"/>
        </w:rPr>
      </w:pPr>
    </w:p>
    <w:p>
      <w:pPr>
        <w:ind w:right="180" w:firstLine="1027"/>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Requirement of Law</w:t>
      </w:r>
      <w:r>
        <w:rPr>
          <w:rFonts w:ascii="Times New Roman" w:cs="Times New Roman" w:eastAsia="Times New Roman" w:hAnsi="Times New Roman"/>
          <w:sz w:val="19"/>
          <w:szCs w:val="19"/>
          <w:color w:val="auto"/>
        </w:rPr>
        <w:t>”: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57" w:lineRule="exact"/>
        <w:rPr>
          <w:sz w:val="20"/>
          <w:szCs w:val="20"/>
          <w:color w:val="auto"/>
        </w:rPr>
      </w:pPr>
    </w:p>
    <w:p>
      <w:pPr>
        <w:ind w:right="12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the chief executive officer, president or chief financial officer of MVWC, but in any event, with respect to financial matters, the chief financial officer of MVWC.</w:t>
      </w:r>
    </w:p>
    <w:p>
      <w:pPr>
        <w:sectPr>
          <w:pgSz w:w="11900" w:h="16838" w:orient="portrait"/>
          <w:cols w:equalWidth="0" w:num="1">
            <w:col w:w="11420"/>
          </w:cols>
          <w:pgMar w:left="240" w:top="409" w:right="2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w:t>
      </w:r>
    </w:p>
    <w:p>
      <w:pPr>
        <w:spacing w:after="0" w:line="238" w:lineRule="exact"/>
        <w:rPr>
          <w:sz w:val="20"/>
          <w:szCs w:val="20"/>
          <w:color w:val="auto"/>
        </w:rPr>
      </w:pPr>
    </w:p>
    <w:p>
      <w:pPr>
        <w:ind w:right="20" w:firstLine="102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w:t>
      </w:r>
      <w:r>
        <w:rPr>
          <w:rFonts w:ascii="Times New Roman" w:cs="Times New Roman" w:eastAsia="Times New Roman" w:hAnsi="Times New Roman"/>
          <w:sz w:val="20"/>
          <w:szCs w:val="20"/>
          <w:color w:val="auto"/>
        </w:rPr>
        <w:t>”: when referring to cash or Cash Equivalents of the Borrower or any of its Subsidiaries, that such cash or Cash Equivalents (i) appear (or would be required to appear) as “restricted” on a balance sheet of the Borrower or of any such Subsidiary (unless such appearance is related to the Loan Documents or Liens created thereunder), (ii) are subject to any Lien in favor of any Person other than the Administrative Agent pursuant to the Security Documents or (iii) are not otherwise generally available for use by the Borrower or such Subsidiary.</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Residual Interests</w:t>
      </w:r>
      <w:r>
        <w:rPr>
          <w:rFonts w:ascii="Times New Roman" w:cs="Times New Roman" w:eastAsia="Times New Roman" w:hAnsi="Times New Roman"/>
          <w:sz w:val="20"/>
          <w:szCs w:val="20"/>
          <w:color w:val="auto"/>
        </w:rPr>
        <w:t>”: residual interests in securitizations owned by the Loan Parties.</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as defined in Section 7.7.</w:t>
      </w:r>
    </w:p>
    <w:p>
      <w:pPr>
        <w:spacing w:after="0" w:line="216" w:lineRule="exact"/>
        <w:rPr>
          <w:sz w:val="20"/>
          <w:szCs w:val="20"/>
          <w:color w:val="auto"/>
        </w:rPr>
      </w:pPr>
    </w:p>
    <w:p>
      <w:pPr>
        <w:ind w:right="14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Ritz-Carlton Comfort Letter</w:t>
      </w:r>
      <w:r>
        <w:rPr>
          <w:rFonts w:ascii="Times New Roman" w:cs="Times New Roman" w:eastAsia="Times New Roman" w:hAnsi="Times New Roman"/>
          <w:sz w:val="20"/>
          <w:szCs w:val="20"/>
          <w:color w:val="auto"/>
        </w:rPr>
        <w:t>”: the agreement substantially in the form of Exhibit M, executed and delivered by The Ritz-Carlton Hotel Company, LLC, as licensor, MVWC, as licensee, and the Administrative Agent.</w:t>
      </w:r>
    </w:p>
    <w:p>
      <w:pPr>
        <w:spacing w:after="0" w:line="160" w:lineRule="exact"/>
        <w:rPr>
          <w:sz w:val="20"/>
          <w:szCs w:val="20"/>
          <w:color w:val="auto"/>
        </w:rPr>
      </w:pPr>
    </w:p>
    <w:p>
      <w:pPr>
        <w:ind w:right="2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Ritz-Carlton License Agreement</w:t>
      </w:r>
      <w:r>
        <w:rPr>
          <w:rFonts w:ascii="Times New Roman" w:cs="Times New Roman" w:eastAsia="Times New Roman" w:hAnsi="Times New Roman"/>
          <w:sz w:val="20"/>
          <w:szCs w:val="20"/>
          <w:color w:val="auto"/>
        </w:rPr>
        <w:t>”: the License, Services and Development Agreement by The Ritz-Carlton Hotel Company, LLC, as licensor and MVWC, as licensee, dated as of November 21, 2011, as the same may from time to time be amended, modified or otherwise supplemented.</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Standard &amp; Poor’s Financial Services LLC.</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 Rating</w:t>
      </w:r>
      <w:r>
        <w:rPr>
          <w:rFonts w:ascii="Times New Roman" w:cs="Times New Roman" w:eastAsia="Times New Roman" w:hAnsi="Times New Roman"/>
          <w:sz w:val="20"/>
          <w:szCs w:val="20"/>
          <w:color w:val="auto"/>
        </w:rPr>
        <w:t>”: at any time, the rating issued by S&amp;P and then in effect with respect to MVWC’s S&amp;P issuer rating.</w:t>
      </w:r>
    </w:p>
    <w:p>
      <w:pPr>
        <w:spacing w:after="0" w:line="216" w:lineRule="exact"/>
        <w:rPr>
          <w:sz w:val="20"/>
          <w:szCs w:val="20"/>
          <w:color w:val="auto"/>
        </w:rPr>
      </w:pPr>
    </w:p>
    <w:p>
      <w:pPr>
        <w:ind w:right="26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xml:space="preserve">”: at any time, a country or territory which is itself the subject or target of any Sanctions (at the time of this Agreement, </w:t>
      </w:r>
      <w:r>
        <w:rPr>
          <w:rFonts w:ascii="Times New Roman" w:cs="Times New Roman" w:eastAsia="Times New Roman" w:hAnsi="Times New Roman"/>
          <w:sz w:val="20"/>
          <w:szCs w:val="20"/>
          <w:u w:val="single" w:color="auto"/>
          <w:color w:val="0000FF"/>
        </w:rPr>
        <w:t>the Crimea region of Ukraine,</w:t>
      </w:r>
      <w:r>
        <w:rPr>
          <w:rFonts w:ascii="Times New Roman" w:cs="Times New Roman" w:eastAsia="Times New Roman" w:hAnsi="Times New Roman"/>
          <w:sz w:val="20"/>
          <w:szCs w:val="20"/>
          <w:color w:val="auto"/>
        </w:rPr>
        <w:t xml:space="preserve"> Cuba, Iran, North Korea, Sudan and Syria).</w:t>
      </w:r>
    </w:p>
    <w:p>
      <w:pPr>
        <w:spacing w:after="0" w:line="160" w:lineRule="exact"/>
        <w:rPr>
          <w:sz w:val="20"/>
          <w:szCs w:val="20"/>
          <w:color w:val="auto"/>
        </w:rPr>
      </w:pPr>
    </w:p>
    <w:p>
      <w:pPr>
        <w:ind w:right="100" w:firstLine="102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at any time, (a) any Person listed in any Sanctions-related list of designated Persons maintained by the Office of Foreign Assets Control of the U.S. Department of the Treasury, the U.S. Department of State, or by the United Nations Security Council or the European Union, (b) any Person operating, organized or resident in a Sanctioned Country or (c) any Person owned or controlled by any such Person or Persons described in the foregoing clauses (a) or (b).</w:t>
      </w:r>
    </w:p>
    <w:p>
      <w:pPr>
        <w:spacing w:after="0" w:line="180" w:lineRule="exact"/>
        <w:rPr>
          <w:sz w:val="20"/>
          <w:szCs w:val="20"/>
          <w:color w:val="auto"/>
        </w:rPr>
      </w:pPr>
    </w:p>
    <w:p>
      <w:pPr>
        <w:ind w:right="260" w:firstLine="1027"/>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57" w:lineRule="exact"/>
        <w:rPr>
          <w:sz w:val="20"/>
          <w:szCs w:val="20"/>
          <w:color w:val="auto"/>
        </w:rPr>
      </w:pPr>
    </w:p>
    <w:p>
      <w:pPr>
        <w:ind w:right="800" w:firstLine="1027"/>
        <w:spacing w:after="0" w:line="269" w:lineRule="auto"/>
        <w:rPr>
          <w:sz w:val="20"/>
          <w:szCs w:val="20"/>
          <w:color w:val="auto"/>
        </w:rPr>
      </w:pPr>
      <w:r>
        <w:rPr>
          <w:rFonts w:ascii="Times New Roman" w:cs="Times New Roman" w:eastAsia="Times New Roman" w:hAnsi="Times New Roman"/>
          <w:sz w:val="20"/>
          <w:szCs w:val="20"/>
          <w:u w:val="single" w:color="auto"/>
          <w:color w:val="0000FF"/>
        </w:rPr>
        <w:t>“Screen Rate”: the EURIBOR Screen Rate, the BBSY Screen Rate, the SIBOR Screen Rate and the LIBOR Screen Rate, collectively and individually, as the context may require.</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the Securities and Exchange Commission, any successor thereto and any analogous Governmental Authority.</w:t>
      </w:r>
    </w:p>
    <w:p>
      <w:pPr>
        <w:spacing w:after="0" w:line="216" w:lineRule="exact"/>
        <w:rPr>
          <w:sz w:val="20"/>
          <w:szCs w:val="20"/>
          <w:color w:val="auto"/>
        </w:rPr>
      </w:pPr>
    </w:p>
    <w:p>
      <w:pPr>
        <w:ind w:right="8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Amended and Restated Guarantee and Collateral Agreement</w:t>
      </w:r>
      <w:r>
        <w:rPr>
          <w:rFonts w:ascii="Times New Roman" w:cs="Times New Roman" w:eastAsia="Times New Roman" w:hAnsi="Times New Roman"/>
          <w:sz w:val="20"/>
          <w:szCs w:val="20"/>
          <w:color w:val="auto"/>
        </w:rPr>
        <w:t>”: that certain Second Amended and Restated Guarantee and Collateral Agreement, dated as of September 10, 2014, among the Borrower, the Guarantors and the Administrative Agent.</w:t>
      </w:r>
    </w:p>
    <w:p>
      <w:pPr>
        <w:sectPr>
          <w:pgSz w:w="11900" w:h="16838" w:orient="portrait"/>
          <w:cols w:equalWidth="0" w:num="1">
            <w:col w:w="11420"/>
          </w:cols>
          <w:pgMar w:left="240" w:top="409" w:right="2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32</w:t>
      </w:r>
    </w:p>
    <w:p>
      <w:pPr>
        <w:spacing w:after="0" w:line="238" w:lineRule="exact"/>
        <w:rPr>
          <w:sz w:val="20"/>
          <w:szCs w:val="20"/>
          <w:color w:val="auto"/>
        </w:rPr>
      </w:pPr>
    </w:p>
    <w:p>
      <w:pPr>
        <w:ind w:right="38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Amendment and Restatement Agreement</w:t>
      </w:r>
      <w:r>
        <w:rPr>
          <w:rFonts w:ascii="Times New Roman" w:cs="Times New Roman" w:eastAsia="Times New Roman" w:hAnsi="Times New Roman"/>
          <w:sz w:val="20"/>
          <w:szCs w:val="20"/>
          <w:color w:val="auto"/>
        </w:rPr>
        <w:t>”: that certain Amendment and Restatement Agreement, dated as of the date hereof, among the Borrower, the Administrative Agent, the Lenders party thereto and the other parties thereto.</w:t>
      </w:r>
    </w:p>
    <w:p>
      <w:pPr>
        <w:spacing w:after="0" w:line="160" w:lineRule="exact"/>
        <w:rPr>
          <w:sz w:val="20"/>
          <w:szCs w:val="20"/>
          <w:color w:val="auto"/>
        </w:rPr>
      </w:pPr>
    </w:p>
    <w:p>
      <w:pPr>
        <w:ind w:right="560" w:firstLine="1027"/>
        <w:spacing w:after="0" w:line="269" w:lineRule="auto"/>
        <w:rPr>
          <w:sz w:val="20"/>
          <w:szCs w:val="20"/>
          <w:color w:val="auto"/>
        </w:rPr>
      </w:pPr>
      <w:r>
        <w:rPr>
          <w:rFonts w:ascii="Times New Roman" w:cs="Times New Roman" w:eastAsia="Times New Roman" w:hAnsi="Times New Roman"/>
          <w:sz w:val="20"/>
          <w:szCs w:val="20"/>
          <w:u w:val="single" w:color="auto"/>
          <w:color w:val="0000FF"/>
        </w:rPr>
        <w:t>“Second Amendment and Restatement Effective Date”: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“Second Amendment Effective Date”</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as defined in the Second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Amendment and Restatement Agreement</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000000"/>
        </w:rPr>
        <w:t>, which date is September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-158115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-192405</wp:posOffset>
            </wp:positionV>
            <wp:extent cx="730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3025" cy="8890"/>
                    </a:xfrm>
                    <a:prstGeom prst="rect">
                      <a:avLst/>
                    </a:prstGeom>
                    <a:noFill/>
                  </pic:spPr>
                </pic:pic>
              </a:graphicData>
            </a:graphic>
          </wp:anchor>
        </w:drawing>
      </w:r>
    </w:p>
    <w:p>
      <w:pPr>
        <w:spacing w:after="0" w:line="140" w:lineRule="exact"/>
        <w:rPr>
          <w:sz w:val="20"/>
          <w:szCs w:val="20"/>
          <w:color w:val="auto"/>
        </w:rPr>
      </w:pPr>
    </w:p>
    <w:p>
      <w:pPr>
        <w:ind w:right="24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Documents</w:t>
      </w:r>
      <w:r>
        <w:rPr>
          <w:rFonts w:ascii="Times New Roman" w:cs="Times New Roman" w:eastAsia="Times New Roman" w:hAnsi="Times New Roman"/>
          <w:sz w:val="20"/>
          <w:szCs w:val="20"/>
          <w:color w:val="auto"/>
        </w:rPr>
        <w:t>”: the collective reference to the Guarantee and Collateral Agreement, the Mortgages and all other security documents hereafter delivered to the Administrative Agent granting a Lien on any property of any Person to secure the obligations and liabilities of any Loan Party under any Loan Document.</w:t>
      </w:r>
    </w:p>
    <w:p>
      <w:pPr>
        <w:spacing w:after="0" w:line="175" w:lineRule="exact"/>
        <w:rPr>
          <w:sz w:val="20"/>
          <w:szCs w:val="20"/>
          <w:color w:val="auto"/>
        </w:rPr>
      </w:pPr>
    </w:p>
    <w:p>
      <w:pPr>
        <w:ind w:right="28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Separation and Distribution Agreement</w:t>
      </w:r>
      <w:r>
        <w:rPr>
          <w:rFonts w:ascii="Times New Roman" w:cs="Times New Roman" w:eastAsia="Times New Roman" w:hAnsi="Times New Roman"/>
          <w:sz w:val="20"/>
          <w:szCs w:val="20"/>
          <w:color w:val="auto"/>
        </w:rPr>
        <w:t>”: the Separation and Distribution Agreement, dated as of the Spin-Off Date, between Marriott, MVWC, the Borrower, Marriott Resorts Hospitality Corporation, MVCI Asia Pacific Pte. Ltd. and MVCO Series LLC as the same may from time to time be amended, modified or otherwise supplemented.</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u w:val="single" w:color="auto"/>
          <w:color w:val="0000FF"/>
        </w:rPr>
        <w:t>“SIBOR Screen Rate”: as defined in the definition of “Eurocurrency Base Rate”.</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u w:val="single" w:color="auto"/>
          <w:color w:val="0000FF"/>
        </w:rPr>
        <w:t>“Singapore Dollars”: the lawful currency of the Republic of Singapore.</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Singapore L/C</w:t>
      </w:r>
      <w:r>
        <w:rPr>
          <w:rFonts w:ascii="Times New Roman" w:cs="Times New Roman" w:eastAsia="Times New Roman" w:hAnsi="Times New Roman"/>
          <w:sz w:val="20"/>
          <w:szCs w:val="20"/>
          <w:color w:val="auto"/>
        </w:rPr>
        <w:t>”: as described on Schedule 1.1D.</w:t>
      </w:r>
    </w:p>
    <w:p>
      <w:pPr>
        <w:spacing w:after="0" w:line="216" w:lineRule="exact"/>
        <w:rPr>
          <w:sz w:val="20"/>
          <w:szCs w:val="20"/>
          <w:color w:val="auto"/>
        </w:rPr>
      </w:pPr>
    </w:p>
    <w:p>
      <w:pPr>
        <w:ind w:right="60" w:firstLine="1027"/>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when used with respect to any Person, means that,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91" w:lineRule="exact"/>
        <w:rPr>
          <w:sz w:val="20"/>
          <w:szCs w:val="20"/>
          <w:color w:val="auto"/>
        </w:rPr>
      </w:pPr>
    </w:p>
    <w:p>
      <w:pPr>
        <w:ind w:right="60" w:firstLine="102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Special Purpose Subsidiary</w:t>
      </w:r>
      <w:r>
        <w:rPr>
          <w:rFonts w:ascii="Times New Roman" w:cs="Times New Roman" w:eastAsia="Times New Roman" w:hAnsi="Times New Roman"/>
          <w:sz w:val="20"/>
          <w:szCs w:val="20"/>
          <w:color w:val="auto"/>
        </w:rPr>
        <w:t>”: any (i) Time Share SPV, (ii) trust, property owning company and similar entity that is formed for the purpose of protecting the consumer purchasers of vacation ownership interests from the insolvency or bankruptcy of MVWC, the Borrower or any of the Guarantors and (iii) any Subsidiary of the Borrower that is not a Loan Party and which owns no assets other than Time Share Development Property.</w:t>
      </w:r>
    </w:p>
    <w:p>
      <w:pPr>
        <w:spacing w:after="0" w:line="180" w:lineRule="exact"/>
        <w:rPr>
          <w:sz w:val="20"/>
          <w:szCs w:val="20"/>
          <w:color w:val="auto"/>
        </w:rPr>
      </w:pPr>
    </w:p>
    <w:p>
      <w:pPr>
        <w:ind w:right="140" w:firstLine="102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Cash</w:t>
      </w:r>
      <w:r>
        <w:rPr>
          <w:rFonts w:ascii="Times New Roman" w:cs="Times New Roman" w:eastAsia="Times New Roman" w:hAnsi="Times New Roman"/>
          <w:sz w:val="20"/>
          <w:szCs w:val="20"/>
          <w:color w:val="auto"/>
        </w:rPr>
        <w:t>”: the proceeds of any Qualified Securitization Transaction of any Group Member which appear (or would be required to appear) as “restricted” on the consolidated balance sheet of MVWC and its consolidated Subsidiaries and which, pursuant to the terms of the documents related to such Qualified Securitization Transaction, must be used during a specified period to acquire additional Time Share Receivables or Related Assets to support the securities issued in connection with such Qualified Securitization Transaction.</w:t>
      </w:r>
    </w:p>
    <w:p>
      <w:pPr>
        <w:sectPr>
          <w:pgSz w:w="11900" w:h="16838" w:orient="portrait"/>
          <w:cols w:equalWidth="0" w:num="1">
            <w:col w:w="11420"/>
          </w:cols>
          <w:pgMar w:left="240" w:top="409" w:right="2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w:t>
      </w:r>
    </w:p>
    <w:p>
      <w:pPr>
        <w:spacing w:after="0" w:line="238" w:lineRule="exact"/>
        <w:rPr>
          <w:sz w:val="20"/>
          <w:szCs w:val="20"/>
          <w:color w:val="auto"/>
        </w:rPr>
      </w:pPr>
    </w:p>
    <w:p>
      <w:pPr>
        <w:ind w:right="180" w:firstLine="102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Swap Agreement</w:t>
      </w:r>
      <w:r>
        <w:rPr>
          <w:rFonts w:ascii="Times New Roman" w:cs="Times New Roman" w:eastAsia="Times New Roman" w:hAnsi="Times New Roman"/>
          <w:sz w:val="20"/>
          <w:szCs w:val="20"/>
          <w:color w:val="auto"/>
        </w:rPr>
        <w:t xml:space="preserve">”: any Swap Agreement in respect of interest rates, currency exchange rates or commodity prices entered into by the Borrower or any Guarantor and any Person that is a Lender or an affiliate of a Lender at the time such Swap Agreement is entered into (or, in respect of any Swap Agreement entered into prior to the Second Amendment </w:t>
      </w:r>
      <w:r>
        <w:rPr>
          <w:rFonts w:ascii="Times New Roman" w:cs="Times New Roman" w:eastAsia="Times New Roman" w:hAnsi="Times New Roman"/>
          <w:sz w:val="20"/>
          <w:szCs w:val="20"/>
          <w:u w:val="single" w:color="auto"/>
          <w:color w:val="0000FF"/>
        </w:rPr>
        <w:t>and Restatement</w:t>
      </w:r>
      <w:r>
        <w:rPr>
          <w:rFonts w:ascii="Times New Roman" w:cs="Times New Roman" w:eastAsia="Times New Roman" w:hAnsi="Times New Roman"/>
          <w:sz w:val="20"/>
          <w:szCs w:val="20"/>
          <w:color w:val="auto"/>
        </w:rPr>
        <w:t xml:space="preserve"> Effective Date, any Person that is a Lender or an Affiliate of a Lender on the Second Amendment </w:t>
      </w:r>
      <w:r>
        <w:rPr>
          <w:rFonts w:ascii="Times New Roman" w:cs="Times New Roman" w:eastAsia="Times New Roman" w:hAnsi="Times New Roman"/>
          <w:sz w:val="20"/>
          <w:szCs w:val="20"/>
          <w:u w:val="single" w:color="auto"/>
          <w:color w:val="0000FF"/>
        </w:rPr>
        <w:t>and Restatement</w:t>
      </w:r>
      <w:r>
        <w:rPr>
          <w:rFonts w:ascii="Times New Roman" w:cs="Times New Roman" w:eastAsia="Times New Roman" w:hAnsi="Times New Roman"/>
          <w:sz w:val="20"/>
          <w:szCs w:val="20"/>
          <w:color w:val="auto"/>
        </w:rPr>
        <w:t xml:space="preserve"> Effective Date), notwithstanding whether such Person subsequently ceases at any time to be a Lender or an Affiliate thereof under this Agreement for any reason.</w:t>
      </w:r>
    </w:p>
    <w:p>
      <w:pPr>
        <w:spacing w:after="0" w:line="181" w:lineRule="exact"/>
        <w:rPr>
          <w:sz w:val="20"/>
          <w:szCs w:val="20"/>
          <w:color w:val="auto"/>
        </w:rPr>
      </w:pPr>
    </w:p>
    <w:p>
      <w:pPr>
        <w:ind w:right="300" w:firstLine="1027"/>
        <w:spacing w:after="0" w:line="254" w:lineRule="auto"/>
        <w:rPr>
          <w:sz w:val="20"/>
          <w:szCs w:val="20"/>
          <w:color w:val="auto"/>
        </w:rPr>
      </w:pPr>
      <w:r>
        <w:rPr>
          <w:rFonts w:ascii="Times New Roman" w:cs="Times New Roman" w:eastAsia="Times New Roman" w:hAnsi="Times New Roman"/>
          <w:sz w:val="20"/>
          <w:szCs w:val="20"/>
          <w:u w:val="single" w:color="auto"/>
          <w:color w:val="0000FF"/>
        </w:rPr>
        <w:t>“Specified Time”: (a) with respect to any Eurocurrency Loan denominated in Australian Dollars, 11:00 A.M. Sydney, Australia time; (b) with respect to any Eurocurrency Loan denominated in Singapore Dollars, 11:00 A.M. Local Time; and (c) with respect to any Eurocurrency Loan denominated in Dollars, Euros, Japanese Yen or Pounds Sterling, 11:00 A.M., London time.</w:t>
      </w:r>
    </w:p>
    <w:p>
      <w:pPr>
        <w:spacing w:after="0" w:line="175" w:lineRule="exact"/>
        <w:rPr>
          <w:sz w:val="20"/>
          <w:szCs w:val="20"/>
          <w:color w:val="auto"/>
        </w:rPr>
      </w:pPr>
    </w:p>
    <w:p>
      <w:pPr>
        <w:jc w:val="both"/>
        <w:ind w:right="160" w:firstLine="102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Spin-Off</w:t>
      </w:r>
      <w:r>
        <w:rPr>
          <w:rFonts w:ascii="Times New Roman" w:cs="Times New Roman" w:eastAsia="Times New Roman" w:hAnsi="Times New Roman"/>
          <w:sz w:val="20"/>
          <w:szCs w:val="20"/>
          <w:color w:val="auto"/>
        </w:rPr>
        <w:t>”: the spin-off by Marriott of its timeshare operations and development business to its shareholders through a tax free special dividend of the common stock of MVWC, on the material terms described in the Form 10 on file with the SEC on the Effective Date, including satisfaction (without waiver other than with respect to the MVWC board composition) of all the conditions to the spin-off described therein.</w:t>
      </w:r>
    </w:p>
    <w:p>
      <w:pPr>
        <w:spacing w:after="0" w:line="18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Spin-Off Date</w:t>
      </w:r>
      <w:r>
        <w:rPr>
          <w:rFonts w:ascii="Times New Roman" w:cs="Times New Roman" w:eastAsia="Times New Roman" w:hAnsi="Times New Roman"/>
          <w:sz w:val="20"/>
          <w:szCs w:val="20"/>
          <w:color w:val="auto"/>
        </w:rPr>
        <w:t>”: November 21, 2011, the date on which the Spin-Off was consummated.</w:t>
      </w:r>
    </w:p>
    <w:p>
      <w:pPr>
        <w:spacing w:after="0" w:line="216" w:lineRule="exact"/>
        <w:rPr>
          <w:sz w:val="20"/>
          <w:szCs w:val="20"/>
          <w:color w:val="auto"/>
        </w:rPr>
      </w:pPr>
    </w:p>
    <w:p>
      <w:pPr>
        <w:ind w:right="6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Spin-Off Documentation</w:t>
      </w:r>
      <w:r>
        <w:rPr>
          <w:rFonts w:ascii="Times New Roman" w:cs="Times New Roman" w:eastAsia="Times New Roman" w:hAnsi="Times New Roman"/>
          <w:sz w:val="20"/>
          <w:szCs w:val="20"/>
          <w:color w:val="auto"/>
        </w:rPr>
        <w:t>”: collectively, the Form 10, the Separation and Distribution Agreement, the Marriott License Agreement, the Ritz-Carlton License Agreement, and the Marriott Rewards Affiliation Agreement and, in each case, all schedules, exhibits and annexes thereto and all side letters and agreements affecting the terms thereof or entered into in connection therewith.</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Standard Securitization Undertakings</w:t>
      </w:r>
      <w:r>
        <w:rPr>
          <w:rFonts w:ascii="Times New Roman" w:cs="Times New Roman" w:eastAsia="Times New Roman" w:hAnsi="Times New Roman"/>
          <w:sz w:val="20"/>
          <w:szCs w:val="20"/>
          <w:color w:val="auto"/>
        </w:rPr>
        <w:t>”: (i) representations, warranties, covenants, indemnities and performance guarantees of</w:t>
      </w:r>
    </w:p>
    <w:p>
      <w:pPr>
        <w:spacing w:after="0" w:line="22" w:lineRule="exact"/>
        <w:rPr>
          <w:sz w:val="20"/>
          <w:szCs w:val="20"/>
          <w:color w:val="auto"/>
        </w:rPr>
      </w:pPr>
    </w:p>
    <w:p>
      <w:pPr>
        <w:ind w:firstLine="8"/>
        <w:spacing w:after="0" w:line="241" w:lineRule="auto"/>
        <w:tabs>
          <w:tab w:leader="none" w:pos="2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MVWC or any of its Subsidiaries to a Time Share SPV or to its order or (y) a Time Share SPV to an entity issuing Non-Recourse Debt or its order, (ii) servicing obligations entered into by any Group Member (other than a Time Share SPV) and (iii) the provision of cash or Cash Equivalents to pay fees and expenses reasonably related thereto, which, in each case of (i), (ii) and (iii) above, are reasonably customary in securitization transactions for the relevant asset being securitized.</w:t>
      </w:r>
    </w:p>
    <w:p>
      <w:pPr>
        <w:spacing w:after="0" w:line="18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u w:val="single" w:color="auto"/>
          <w:color w:val="0000FF"/>
        </w:rPr>
        <w:t>“Submitted Reference Bank Rate”: as to any Reference Bank:</w:t>
      </w:r>
    </w:p>
    <w:p>
      <w:pPr>
        <w:spacing w:after="0" w:line="216" w:lineRule="exact"/>
        <w:rPr>
          <w:sz w:val="20"/>
          <w:szCs w:val="20"/>
          <w:color w:val="auto"/>
        </w:rPr>
      </w:pPr>
    </w:p>
    <w:p>
      <w:pPr>
        <w:ind w:right="100" w:firstLine="1035"/>
        <w:spacing w:after="0" w:line="249" w:lineRule="auto"/>
        <w:tabs>
          <w:tab w:leader="none" w:pos="1296" w:val="left"/>
        </w:tabs>
        <w:numPr>
          <w:ilvl w:val="0"/>
          <w:numId w:val="66"/>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in relation to any Eurocurrency Loan denominated in Euros for any Interest Period, the rate supplied to the Administrative Agent at its request by such Reference Bank as of the Specified Time on the Quotation Day for a Eurocurrency Loan denominated in Euros for the applicable Interest Period as the rate which such Reference Bank assesses to be the rate at which interbank term deposits in Euros and for the relevant period are offered for spot value (T+2) by one prime bank to another prime bank within the EMU zone;</w:t>
      </w:r>
    </w:p>
    <w:p>
      <w:pPr>
        <w:spacing w:after="0" w:line="180" w:lineRule="exact"/>
        <w:rPr>
          <w:rFonts w:ascii="Times New Roman" w:cs="Times New Roman" w:eastAsia="Times New Roman" w:hAnsi="Times New Roman"/>
          <w:sz w:val="20"/>
          <w:szCs w:val="20"/>
          <w:u w:val="single" w:color="auto"/>
          <w:color w:val="0000FF"/>
        </w:rPr>
      </w:pPr>
    </w:p>
    <w:p>
      <w:pPr>
        <w:ind w:right="20" w:firstLine="1035"/>
        <w:spacing w:after="0" w:line="249" w:lineRule="auto"/>
        <w:tabs>
          <w:tab w:leader="none" w:pos="1307" w:val="left"/>
        </w:tabs>
        <w:numPr>
          <w:ilvl w:val="0"/>
          <w:numId w:val="66"/>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in relation to any Eurocurrency Loan denominated in Australian Dollars for any Interest Period, the bid rate observed by the relevant Reference Bank for Australian Dollar denominated bank accepted bills and negotiable certificates of deposit issued by banks which for the time being designated as “Prime Banks” by the Australian Financial Markets Association that have a remaining maturity equal to such Interest Period;</w:t>
      </w:r>
    </w:p>
    <w:p>
      <w:pPr>
        <w:sectPr>
          <w:pgSz w:w="11900" w:h="16838" w:orient="portrait"/>
          <w:cols w:equalWidth="0" w:num="1">
            <w:col w:w="11420"/>
          </w:cols>
          <w:pgMar w:left="240" w:top="409" w:right="2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34</w:t>
      </w:r>
    </w:p>
    <w:p>
      <w:pPr>
        <w:spacing w:after="0" w:line="238" w:lineRule="exact"/>
        <w:rPr>
          <w:sz w:val="20"/>
          <w:szCs w:val="20"/>
          <w:color w:val="auto"/>
        </w:rPr>
      </w:pPr>
    </w:p>
    <w:p>
      <w:pPr>
        <w:ind w:firstLine="1035"/>
        <w:spacing w:after="0" w:line="249" w:lineRule="auto"/>
        <w:tabs>
          <w:tab w:leader="none" w:pos="1296" w:val="left"/>
        </w:tabs>
        <w:numPr>
          <w:ilvl w:val="0"/>
          <w:numId w:val="67"/>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in relation to any Eurocurrency Loan denominated in Singapore Dollars for any Interest Period, the arithmetic mean of the rates (rounded upwards to four decimal places) as supplied to the Administrative Agent at its request quoted by the Reference Banks to leading banks in the Singapore interbank market, as of the Specified Time on the Quotation Day for the offering of deposits for a period comparable to the Interest Period for that Loan; and</w:t>
      </w:r>
    </w:p>
    <w:p>
      <w:pPr>
        <w:spacing w:after="0" w:line="180" w:lineRule="exact"/>
        <w:rPr>
          <w:rFonts w:ascii="Times New Roman" w:cs="Times New Roman" w:eastAsia="Times New Roman" w:hAnsi="Times New Roman"/>
          <w:sz w:val="20"/>
          <w:szCs w:val="20"/>
          <w:u w:val="single" w:color="auto"/>
          <w:color w:val="0000FF"/>
        </w:rPr>
      </w:pPr>
    </w:p>
    <w:p>
      <w:pPr>
        <w:ind w:right="40" w:firstLine="1035"/>
        <w:spacing w:after="0" w:line="243" w:lineRule="auto"/>
        <w:tabs>
          <w:tab w:leader="none" w:pos="1307" w:val="left"/>
        </w:tabs>
        <w:numPr>
          <w:ilvl w:val="0"/>
          <w:numId w:val="67"/>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in relation to any Eurocurrency Loan denominated in Dollars, Japanese Yen or Pounds Sterling, the rate (rounded upward to four decimal places) supplied to the Administrative Agent at its request by such Reference Bank as of the Specified Time on the Quotation Day for a Eurocurrency Loan in the relevant currency for the applicable Interest Period as the rate at which such Reference Bank could borrow funds in the London interbank market in such currency and for the relevant period, were it to do so by asking for and then accepting interbank offers in reasonable market size in that currency and for that period; provided that upon supplying such Submitted Reference Bank Rate to the Administrative Agent pursuant to this clause (d), such Reference Bank shall certify that it has not submitted or shared such Submitted Reference Bank Rate with any individual who is formally designated as being involved in the ICE LIBOR submission process administered by ICE Benchmark Administration.</w:t>
      </w:r>
    </w:p>
    <w:p>
      <w:pPr>
        <w:spacing w:after="0" w:line="190" w:lineRule="exact"/>
        <w:rPr>
          <w:sz w:val="20"/>
          <w:szCs w:val="20"/>
          <w:color w:val="auto"/>
        </w:rPr>
      </w:pPr>
    </w:p>
    <w:p>
      <w:pPr>
        <w:ind w:right="140" w:firstLine="102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MVWC. Notwithstanding the foregoing “Subsidiary” shall not include a resort or property owner’s association which is organized primarily to administer the affairs of the underlying resort or property.</w:t>
      </w:r>
    </w:p>
    <w:p>
      <w:pPr>
        <w:spacing w:after="0" w:line="187" w:lineRule="exact"/>
        <w:rPr>
          <w:sz w:val="20"/>
          <w:szCs w:val="20"/>
          <w:color w:val="auto"/>
        </w:rPr>
      </w:pPr>
    </w:p>
    <w:p>
      <w:pPr>
        <w:ind w:right="66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Debt</w:t>
      </w:r>
      <w:r>
        <w:rPr>
          <w:rFonts w:ascii="Times New Roman" w:cs="Times New Roman" w:eastAsia="Times New Roman" w:hAnsi="Times New Roman"/>
          <w:sz w:val="20"/>
          <w:szCs w:val="20"/>
          <w:color w:val="auto"/>
        </w:rPr>
        <w:t>”: any Indebtedness that is contractually subordinated in right of payment to the Obligations and to any Guarantee Obligation of any Group Member in respect of the Obligations.</w:t>
      </w:r>
    </w:p>
    <w:p>
      <w:pPr>
        <w:spacing w:after="0" w:line="160" w:lineRule="exact"/>
        <w:rPr>
          <w:sz w:val="20"/>
          <w:szCs w:val="20"/>
          <w:color w:val="auto"/>
        </w:rPr>
      </w:pPr>
    </w:p>
    <w:p>
      <w:pPr>
        <w:ind w:right="12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w:t>
      </w:r>
      <w:r>
        <w:rPr>
          <w:rFonts w:ascii="Times New Roman" w:cs="Times New Roman" w:eastAsia="Times New Roman" w:hAnsi="Times New Roman"/>
          <w:sz w:val="20"/>
          <w:szCs w:val="20"/>
          <w:color w:val="auto"/>
        </w:rPr>
        <w:t>”: at any date, each Subsidiary of MVWC or of the Borrower that is a party to the Guarantee and Collateral Agreement on such date.</w:t>
      </w:r>
    </w:p>
    <w:p>
      <w:pPr>
        <w:spacing w:after="0" w:line="160" w:lineRule="exact"/>
        <w:rPr>
          <w:sz w:val="20"/>
          <w:szCs w:val="20"/>
          <w:color w:val="auto"/>
        </w:rPr>
      </w:pPr>
    </w:p>
    <w:p>
      <w:pPr>
        <w:ind w:right="10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w:t>
      </w:r>
      <w:r>
        <w:rPr>
          <w:rFonts w:ascii="Times New Roman" w:cs="Times New Roman" w:eastAsia="Times New Roman" w:hAnsi="Times New Roman"/>
          <w:sz w:val="20"/>
          <w:szCs w:val="20"/>
          <w:color w:val="auto"/>
        </w:rPr>
        <w:t>”: any agreement, contract, or transaction that constitutes a “swap” within the meaning of section 1a(47) of the Commodity Exchange Act.</w:t>
      </w:r>
    </w:p>
    <w:p>
      <w:pPr>
        <w:spacing w:after="0" w:line="160" w:lineRule="exact"/>
        <w:rPr>
          <w:sz w:val="20"/>
          <w:szCs w:val="20"/>
          <w:color w:val="auto"/>
        </w:rPr>
      </w:pPr>
    </w:p>
    <w:p>
      <w:pPr>
        <w:ind w:right="40" w:firstLine="102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Agreement</w:t>
      </w:r>
      <w:r>
        <w:rPr>
          <w:rFonts w:ascii="Times New Roman" w:cs="Times New Roman" w:eastAsia="Times New Roman" w:hAnsi="Times New Roman"/>
          <w:sz w:val="20"/>
          <w:szCs w:val="20"/>
          <w:color w:val="auto"/>
        </w:rPr>
        <w:t xml:space="preserve">”: any agreement with respect to any swap, forward, future or derivative transaction or option or similar agreement or any combination thereof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phantom stock or similar plan providing for payments only on account of services provided by current or former directors, officers, employees or consultants of the Borrower or any of its Subsidiaries shall be a “Swap Agreement”.</w:t>
      </w:r>
    </w:p>
    <w:p>
      <w:pPr>
        <w:spacing w:after="0" w:line="18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with respect to any person, any obligation to pay or perform under any Swap.</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Syndication Agents</w:t>
      </w:r>
      <w:r>
        <w:rPr>
          <w:rFonts w:ascii="Times New Roman" w:cs="Times New Roman" w:eastAsia="Times New Roman" w:hAnsi="Times New Roman"/>
          <w:sz w:val="20"/>
          <w:szCs w:val="20"/>
          <w:color w:val="auto"/>
        </w:rPr>
        <w:t>”: as defined in the preamble hereto.</w:t>
      </w:r>
    </w:p>
    <w:p>
      <w:pPr>
        <w:sectPr>
          <w:pgSz w:w="11900" w:h="16838" w:orient="portrait"/>
          <w:cols w:equalWidth="0" w:num="1">
            <w:col w:w="11420"/>
          </w:cols>
          <w:pgMar w:left="240" w:top="409" w:right="2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35</w:t>
      </w:r>
    </w:p>
    <w:p>
      <w:pPr>
        <w:spacing w:after="0" w:line="238" w:lineRule="exact"/>
        <w:rPr>
          <w:sz w:val="20"/>
          <w:szCs w:val="20"/>
          <w:color w:val="auto"/>
        </w:rPr>
      </w:pPr>
    </w:p>
    <w:p>
      <w:pPr>
        <w:ind w:right="440" w:firstLine="1027"/>
        <w:spacing w:after="0" w:line="254" w:lineRule="auto"/>
        <w:rPr>
          <w:sz w:val="20"/>
          <w:szCs w:val="20"/>
          <w:color w:val="auto"/>
        </w:rPr>
      </w:pPr>
      <w:r>
        <w:rPr>
          <w:rFonts w:ascii="Times New Roman" w:cs="Times New Roman" w:eastAsia="Times New Roman" w:hAnsi="Times New Roman"/>
          <w:sz w:val="20"/>
          <w:szCs w:val="20"/>
          <w:u w:val="single" w:color="auto"/>
          <w:color w:val="0000FF"/>
        </w:rPr>
        <w:t>“TARGET Day”: any day on which the Trans-European Automated Real-time Gross Settlement Express Transfer (TARGET) payment system (or, if such payment system ceases to be operative, such other payment system (if any) reasonably determined by the Administrative Agent to be a suitable replacement) is open for the settlement of payments in Euros.</w:t>
      </w:r>
    </w:p>
    <w:p>
      <w:pPr>
        <w:spacing w:after="0" w:line="175" w:lineRule="exact"/>
        <w:rPr>
          <w:sz w:val="20"/>
          <w:szCs w:val="20"/>
          <w:color w:val="auto"/>
        </w:rPr>
      </w:pPr>
    </w:p>
    <w:p>
      <w:pPr>
        <w:ind w:right="10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any present or future taxes, levies, imposts, duties, deductions, withholdings, assessments, fees or other charges imposed by any Governmental Authority, including any interest, additions to tax or penalties applicable thereto.</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September 10, 2019.</w:t>
      </w:r>
    </w:p>
    <w:p>
      <w:pPr>
        <w:spacing w:after="0" w:line="216" w:lineRule="exact"/>
        <w:rPr>
          <w:sz w:val="20"/>
          <w:szCs w:val="20"/>
          <w:color w:val="auto"/>
        </w:rPr>
      </w:pPr>
    </w:p>
    <w:p>
      <w:pPr>
        <w:ind w:right="180" w:firstLine="102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Time Share Development Property</w:t>
      </w:r>
      <w:r>
        <w:rPr>
          <w:rFonts w:ascii="Times New Roman" w:cs="Times New Roman" w:eastAsia="Times New Roman" w:hAnsi="Times New Roman"/>
          <w:sz w:val="20"/>
          <w:szCs w:val="20"/>
          <w:color w:val="auto"/>
        </w:rPr>
        <w:t>”: any portion of any existing hotel or resort property acquired by any Group Member, which has not been dedicated to any time share arrangement, plan, scheme or similar device and which such Group Member intends primarily to convert into Time Share Interests. For the avoidance of doubt, any real property interest that qualifies as Time Share Development Property shall be deemed not to qualify as In-Process Property or a Time Share Interest.</w:t>
      </w:r>
    </w:p>
    <w:p>
      <w:pPr>
        <w:spacing w:after="0" w:line="180" w:lineRule="exact"/>
        <w:rPr>
          <w:sz w:val="20"/>
          <w:szCs w:val="20"/>
          <w:color w:val="auto"/>
        </w:rPr>
      </w:pPr>
    </w:p>
    <w:p>
      <w:pPr>
        <w:ind w:right="76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Time Share Development Property Capital Expenditures</w:t>
      </w:r>
      <w:r>
        <w:rPr>
          <w:rFonts w:ascii="Times New Roman" w:cs="Times New Roman" w:eastAsia="Times New Roman" w:hAnsi="Times New Roman"/>
          <w:sz w:val="20"/>
          <w:szCs w:val="20"/>
          <w:color w:val="auto"/>
        </w:rPr>
        <w:t>”: any Capital Expenditures of MVWC and its Subsidiaries on a consolidated basis attributable to the acquisition, renovation and/or improvement of any Time Share Development Property.</w:t>
      </w:r>
    </w:p>
    <w:p>
      <w:pPr>
        <w:spacing w:after="0" w:line="160" w:lineRule="exact"/>
        <w:rPr>
          <w:sz w:val="20"/>
          <w:szCs w:val="20"/>
          <w:color w:val="auto"/>
        </w:rPr>
      </w:pPr>
    </w:p>
    <w:p>
      <w:pPr>
        <w:ind w:right="140" w:firstLine="102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Time Share Interest</w:t>
      </w:r>
      <w:r>
        <w:rPr>
          <w:rFonts w:ascii="Times New Roman" w:cs="Times New Roman" w:eastAsia="Times New Roman" w:hAnsi="Times New Roman"/>
          <w:sz w:val="20"/>
          <w:szCs w:val="20"/>
          <w:color w:val="auto"/>
        </w:rPr>
        <w:t>”: (i) inventory available to occupy as a dwelling or accommodation, and which may be coupled with an estate in real estate or limited to a right to use real estate without an estate or ownership interest, pursuant to any time share arrangement, plan, scheme, or similar device, in any legal form or structure (including units physically located within a project that are currently used for sales and/or administrative purposes and that have received certificates of occupancy for such use) or (ii) any real property interest completed and available to occupy as a dwelling or accommodation and intended by Borrower to be dedicated to any such time share arrangement (including units physically located within a project that are currently used for sales and/or administrative purposes and that have received certificates of occupancy for such use).</w:t>
      </w:r>
    </w:p>
    <w:p>
      <w:pPr>
        <w:spacing w:after="0" w:line="187" w:lineRule="exact"/>
        <w:rPr>
          <w:sz w:val="20"/>
          <w:szCs w:val="20"/>
          <w:color w:val="auto"/>
        </w:rPr>
      </w:pPr>
    </w:p>
    <w:p>
      <w:pPr>
        <w:ind w:right="10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Time Share Receivable</w:t>
      </w:r>
      <w:r>
        <w:rPr>
          <w:rFonts w:ascii="Times New Roman" w:cs="Times New Roman" w:eastAsia="Times New Roman" w:hAnsi="Times New Roman"/>
          <w:sz w:val="20"/>
          <w:szCs w:val="20"/>
          <w:color w:val="auto"/>
        </w:rPr>
        <w:t>”: a note receivable arising from the financing of the sale of timeshare intervals and fractional products to a retail customer.</w:t>
      </w:r>
    </w:p>
    <w:p>
      <w:pPr>
        <w:spacing w:after="0" w:line="160" w:lineRule="exact"/>
        <w:rPr>
          <w:sz w:val="20"/>
          <w:szCs w:val="20"/>
          <w:color w:val="auto"/>
        </w:rPr>
      </w:pPr>
    </w:p>
    <w:p>
      <w:pPr>
        <w:ind w:right="14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Time Share SPV</w:t>
      </w:r>
      <w:r>
        <w:rPr>
          <w:rFonts w:ascii="Times New Roman" w:cs="Times New Roman" w:eastAsia="Times New Roman" w:hAnsi="Times New Roman"/>
          <w:sz w:val="20"/>
          <w:szCs w:val="20"/>
          <w:color w:val="auto"/>
        </w:rPr>
        <w:t>”: an entity intended to be bankruptcy-remote and which is formed for the purpose of engaging in securitization transactions with respect to Time Share Receivables and the indebtedness of which is Non-Recourse Debt.</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Title Insurance Company</w:t>
      </w:r>
      <w:r>
        <w:rPr>
          <w:rFonts w:ascii="Times New Roman" w:cs="Times New Roman" w:eastAsia="Times New Roman" w:hAnsi="Times New Roman"/>
          <w:sz w:val="20"/>
          <w:szCs w:val="20"/>
          <w:color w:val="auto"/>
        </w:rPr>
        <w:t>”: as defined in Section 5.1(k)(ii).</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u w:val="single" w:color="auto"/>
          <w:color w:val="0000FF"/>
        </w:rPr>
        <w:t>“Total Available Commitments”: at any time, the aggregate amount of the Available Commitments of the Lenders at such time.</w:t>
      </w:r>
    </w:p>
    <w:p>
      <w:pPr>
        <w:spacing w:after="0" w:line="216" w:lineRule="exact"/>
        <w:rPr>
          <w:sz w:val="20"/>
          <w:szCs w:val="20"/>
          <w:color w:val="auto"/>
        </w:rPr>
      </w:pPr>
    </w:p>
    <w:p>
      <w:pPr>
        <w:ind w:right="840" w:firstLine="1027"/>
        <w:spacing w:after="0" w:line="269" w:lineRule="auto"/>
        <w:rPr>
          <w:sz w:val="20"/>
          <w:szCs w:val="20"/>
          <w:color w:val="auto"/>
        </w:rPr>
      </w:pPr>
      <w:r>
        <w:rPr>
          <w:rFonts w:ascii="Times New Roman" w:cs="Times New Roman" w:eastAsia="Times New Roman" w:hAnsi="Times New Roman"/>
          <w:sz w:val="20"/>
          <w:szCs w:val="20"/>
          <w:u w:val="single" w:color="auto"/>
          <w:color w:val="0000FF"/>
        </w:rPr>
        <w:t>“Total Available Foreign Currency Commitments”: at any time, the aggregate amount of the Available Foreign Currency Commitments of the Foreign Currency Lenders at such time.</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Commitments</w:t>
      </w:r>
      <w:r>
        <w:rPr>
          <w:rFonts w:ascii="Times New Roman" w:cs="Times New Roman" w:eastAsia="Times New Roman" w:hAnsi="Times New Roman"/>
          <w:sz w:val="20"/>
          <w:szCs w:val="20"/>
          <w:color w:val="auto"/>
        </w:rPr>
        <w:t>”: at any time, the aggregate amount of the Commitments then in effect.</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Extensions of Credit</w:t>
      </w:r>
      <w:r>
        <w:rPr>
          <w:rFonts w:ascii="Times New Roman" w:cs="Times New Roman" w:eastAsia="Times New Roman" w:hAnsi="Times New Roman"/>
          <w:sz w:val="20"/>
          <w:szCs w:val="20"/>
          <w:color w:val="auto"/>
        </w:rPr>
        <w:t>”: at any time, the aggregate amount of the Extensions of Credit of the Lenders outstanding at such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ectPr>
          <w:pgSz w:w="11900" w:h="16838" w:orient="portrait"/>
          <w:cols w:equalWidth="0" w:num="1">
            <w:col w:w="11420"/>
          </w:cols>
          <w:pgMar w:left="240" w:top="409" w:right="239" w:bottom="1440" w:gutter="0" w:footer="0" w:header="0"/>
        </w:sectPr>
      </w:pPr>
    </w:p>
    <w:bookmarkStart w:id="131" w:name="page132"/>
    <w:bookmarkEnd w:id="131"/>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36</w:t>
      </w:r>
    </w:p>
    <w:p>
      <w:pPr>
        <w:spacing w:after="0" w:line="23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u w:val="single" w:color="auto"/>
          <w:color w:val="0000FF"/>
        </w:rPr>
        <w:t>“Total Foreign Currency Commitments”: at any time, the aggregate amount of the Foreign Currency Commitments then in effect.</w:t>
      </w:r>
    </w:p>
    <w:p>
      <w:pPr>
        <w:spacing w:after="0" w:line="227" w:lineRule="exact"/>
        <w:rPr>
          <w:sz w:val="20"/>
          <w:szCs w:val="20"/>
          <w:color w:val="auto"/>
        </w:rPr>
      </w:pPr>
    </w:p>
    <w:p>
      <w:pPr>
        <w:ind w:right="40" w:firstLine="1027"/>
        <w:spacing w:after="0" w:line="269" w:lineRule="auto"/>
        <w:rPr>
          <w:sz w:val="20"/>
          <w:szCs w:val="20"/>
          <w:color w:val="auto"/>
        </w:rPr>
      </w:pPr>
      <w:r>
        <w:rPr>
          <w:rFonts w:ascii="Times New Roman" w:cs="Times New Roman" w:eastAsia="Times New Roman" w:hAnsi="Times New Roman"/>
          <w:sz w:val="20"/>
          <w:szCs w:val="20"/>
          <w:u w:val="single" w:color="auto"/>
          <w:color w:val="0000FF"/>
        </w:rPr>
        <w:t>“Total Foreign Currency Extensions of Credit”: at any time, the aggregate amount of the Foreign Currency Extensions of Credit of the Foreign Currency Lenders outstanding at such time.</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any Assignee or Participant.</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xml:space="preserve">”: as to any Loan, its nature as an ABR Loan or a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the United States of America.</w:t>
      </w:r>
    </w:p>
    <w:p>
      <w:pPr>
        <w:spacing w:after="0" w:line="216" w:lineRule="exact"/>
        <w:rPr>
          <w:sz w:val="20"/>
          <w:szCs w:val="20"/>
          <w:color w:val="auto"/>
        </w:rPr>
      </w:pPr>
    </w:p>
    <w:p>
      <w:pPr>
        <w:ind w:right="50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w:t>
      </w:r>
      <w:r>
        <w:rPr>
          <w:rFonts w:ascii="Times New Roman" w:cs="Times New Roman" w:eastAsia="Times New Roman" w:hAnsi="Times New Roman"/>
          <w:sz w:val="20"/>
          <w:szCs w:val="20"/>
          <w:color w:val="auto"/>
        </w:rPr>
        <w:t>”: when referring to cash or Cash Equivalents of the Borrower or any of its Subsidiaries, that such cash or Cash Equivalents are not Restricted.</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a “United States person” within the meaning of Section 7701(a)(30) of the Code.</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Certificate</w:t>
      </w:r>
      <w:r>
        <w:rPr>
          <w:rFonts w:ascii="Times New Roman" w:cs="Times New Roman" w:eastAsia="Times New Roman" w:hAnsi="Times New Roman"/>
          <w:sz w:val="20"/>
          <w:szCs w:val="20"/>
          <w:color w:val="auto"/>
        </w:rPr>
        <w:t>”: as defined in Section 2.14(f)(ii)(D).</w:t>
      </w:r>
    </w:p>
    <w:p>
      <w:pPr>
        <w:spacing w:after="0" w:line="216" w:lineRule="exact"/>
        <w:rPr>
          <w:sz w:val="20"/>
          <w:szCs w:val="20"/>
          <w:color w:val="auto"/>
        </w:rPr>
      </w:pPr>
    </w:p>
    <w:p>
      <w:pPr>
        <w:ind w:right="8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 Owned Subsidiary</w:t>
      </w:r>
      <w:r>
        <w:rPr>
          <w:rFonts w:ascii="Times New Roman" w:cs="Times New Roman" w:eastAsia="Times New Roman" w:hAnsi="Times New Roman"/>
          <w:sz w:val="20"/>
          <w:szCs w:val="20"/>
          <w:color w:val="auto"/>
        </w:rPr>
        <w:t>”: as to any Person, any other Person all of the Capital Stock of which (other than directors’ qualifying shares required by law) is owned by such Person directly and/or through other Wholly Owned Subsidiaries; provided that Capital Stock constituting Preferred Stock of MVW US Holdings, Inc. shall be disregarded for purposes of this definition.</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 Owned Subsidiary Guarantor</w:t>
      </w:r>
      <w:r>
        <w:rPr>
          <w:rFonts w:ascii="Times New Roman" w:cs="Times New Roman" w:eastAsia="Times New Roman" w:hAnsi="Times New Roman"/>
          <w:sz w:val="20"/>
          <w:szCs w:val="20"/>
          <w:color w:val="auto"/>
        </w:rPr>
        <w:t>”: any Subsidiary Guarantor that is a Wholly Owned Subsidiary of MVWC or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w:t>
      </w:r>
    </w:p>
    <w:p>
      <w:pPr>
        <w:spacing w:after="0" w:line="194" w:lineRule="exact"/>
        <w:rPr>
          <w:sz w:val="20"/>
          <w:szCs w:val="20"/>
          <w:color w:val="auto"/>
        </w:rPr>
      </w:pPr>
    </w:p>
    <w:p>
      <w:pPr>
        <w:ind w:right="1000" w:firstLine="102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any liability to a Multiemployer Plan as a result of a complete or partial withdrawal from such Multiemployer Plan, as such terms are defined in Title IV of ERISA.</w:t>
      </w:r>
    </w:p>
    <w:p>
      <w:pPr>
        <w:spacing w:after="0" w:line="160" w:lineRule="exact"/>
        <w:rPr>
          <w:sz w:val="20"/>
          <w:szCs w:val="20"/>
          <w:color w:val="auto"/>
        </w:rPr>
      </w:pPr>
    </w:p>
    <w:p>
      <w:pPr>
        <w:ind w:right="260" w:firstLine="1027"/>
        <w:spacing w:after="0" w:line="254"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Other Definitional Provisions</w:t>
      </w:r>
      <w:r>
        <w:rPr>
          <w:rFonts w:ascii="Times New Roman" w:cs="Times New Roman" w:eastAsia="Times New Roman" w:hAnsi="Times New Roman"/>
          <w:sz w:val="20"/>
          <w:szCs w:val="20"/>
          <w:color w:val="auto"/>
        </w:rPr>
        <w:t>. (a) Unless otherwise specified therein, all terms defined in this Agreement shall have the defined meanings when used in the other Loan Documents or any certificate or other document made or delivered pursuant hereto or thereto. Terms used but not defined herein shall have the meaning given to such terms in the Guarantee and Collateral Agreement.</w:t>
      </w:r>
    </w:p>
    <w:p>
      <w:pPr>
        <w:spacing w:after="0" w:line="175" w:lineRule="exact"/>
        <w:rPr>
          <w:sz w:val="20"/>
          <w:szCs w:val="20"/>
          <w:color w:val="auto"/>
        </w:rPr>
      </w:pPr>
    </w:p>
    <w:p>
      <w:pPr>
        <w:ind w:firstLine="1035"/>
        <w:spacing w:after="0" w:line="242" w:lineRule="auto"/>
        <w:tabs>
          <w:tab w:leader="none" w:pos="150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herein and in the other Loan Documents, and any certificate or other document made or delivered pursuant hereto or thereto, (i) accounting terms relating to any Group Member not defined in Section 1.1 and accounting terms partly defined in Section 1.1, to the extent not defined, shall have the respective meanings given to them under GAAP (provided that all terms of an accounting or financial nature used herein shall be construed, and all computations of amounts and ratios referred to herein shall be made (x) without giving effect to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a Group Member at “fair value”, as defined therein and (y)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(ii) the words “include”, “includes” and “including” shall be deemed to be followed by the phrase “without limitation”, (iii) the word “incur” shall be construed to</w:t>
      </w:r>
    </w:p>
    <w:p>
      <w:pPr>
        <w:sectPr>
          <w:pgSz w:w="11900" w:h="16838" w:orient="portrait"/>
          <w:cols w:equalWidth="0" w:num="1">
            <w:col w:w="11420"/>
          </w:cols>
          <w:pgMar w:left="240" w:top="409" w:right="2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37</w:t>
      </w:r>
    </w:p>
    <w:p>
      <w:pPr>
        <w:spacing w:after="0" w:line="238"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auto"/>
        </w:rPr>
        <w:t>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real property shall include beneficial interests in the Land Trust, (vi) references to agreements or other Contractual Obligations shall, unless otherwise specified, be deemed to refer to such agreements or Contractual Obligations as amended, supplemented, restated or otherwise modified from time to time and (vii) unless otherwise specified, references to fiscal periods are references to the relevant fiscal periods of MVWC.</w:t>
      </w:r>
    </w:p>
    <w:p>
      <w:pPr>
        <w:spacing w:after="0" w:line="187" w:lineRule="exact"/>
        <w:rPr>
          <w:sz w:val="20"/>
          <w:szCs w:val="20"/>
          <w:color w:val="auto"/>
        </w:rPr>
      </w:pPr>
    </w:p>
    <w:p>
      <w:pPr>
        <w:ind w:right="120" w:firstLine="1035"/>
        <w:spacing w:after="0" w:line="254" w:lineRule="auto"/>
        <w:tabs>
          <w:tab w:leader="none" w:pos="149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74" w:lineRule="exact"/>
        <w:rPr>
          <w:rFonts w:ascii="Times New Roman" w:cs="Times New Roman" w:eastAsia="Times New Roman" w:hAnsi="Times New Roman"/>
          <w:sz w:val="20"/>
          <w:szCs w:val="20"/>
          <w:color w:val="auto"/>
        </w:rPr>
      </w:pPr>
    </w:p>
    <w:p>
      <w:pPr>
        <w:ind w:left="1040" w:right="160" w:hanging="5"/>
        <w:spacing w:after="0" w:line="465" w:lineRule="auto"/>
        <w:tabs>
          <w:tab w:leader="none" w:pos="151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meanings given to terms defined herein shall be equally applicable to both the singular and plural forms of such terms. 1.3 </w:t>
      </w:r>
      <w:r>
        <w:rPr>
          <w:rFonts w:ascii="Times New Roman" w:cs="Times New Roman" w:eastAsia="Times New Roman" w:hAnsi="Times New Roman"/>
          <w:sz w:val="20"/>
          <w:szCs w:val="20"/>
          <w:u w:val="single" w:color="auto"/>
          <w:color w:val="auto"/>
        </w:rPr>
        <w:t>Conversion of Foreign Currencies</w:t>
      </w:r>
      <w:r>
        <w:rPr>
          <w:rFonts w:ascii="Times New Roman" w:cs="Times New Roman" w:eastAsia="Times New Roman" w:hAnsi="Times New Roman"/>
          <w:sz w:val="20"/>
          <w:szCs w:val="20"/>
          <w:color w:val="auto"/>
        </w:rPr>
        <w:t>.</w:t>
      </w:r>
    </w:p>
    <w:p>
      <w:pPr>
        <w:ind w:firstLine="1035"/>
        <w:spacing w:after="0" w:line="245" w:lineRule="auto"/>
        <w:tabs>
          <w:tab w:leader="none" w:pos="1544" w:val="left"/>
        </w:tabs>
        <w:numPr>
          <w:ilvl w:val="0"/>
          <w:numId w:val="70"/>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The Administrative Agent shall determine the Dollar Equivalent of any amount denominated in an Optional Currency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w:t>
      </w:r>
      <w:r>
        <w:rPr>
          <w:rFonts w:ascii="Times New Roman" w:cs="Times New Roman" w:eastAsia="Times New Roman" w:hAnsi="Times New Roman"/>
          <w:sz w:val="20"/>
          <w:szCs w:val="20"/>
          <w:color w:val="008000"/>
          <w:strike w:val="1"/>
        </w:rPr>
        <w:t>to the Administrative Agent. A</w:t>
      </w:r>
      <w:r>
        <w:rPr>
          <w:rFonts w:ascii="Times New Roman" w:cs="Times New Roman" w:eastAsia="Times New Roman" w:hAnsi="Times New Roman"/>
          <w:sz w:val="20"/>
          <w:szCs w:val="20"/>
          <w:color w:val="FF0000"/>
          <w:strike w:val="1"/>
        </w:rPr>
        <w:t xml:space="preserve"> Letter of Credit denominated in an Optional Currency shall initially have a Dollar Equivalent determined using the Exchange Rate in effect on the date the Borrower requests the issuance thereof, adjusted on each Adjustment Date using the Exchange Rates used to make the calculations pursuant to Section 2.6(c).</w:t>
      </w:r>
    </w:p>
    <w:p>
      <w:pPr>
        <w:spacing w:after="0" w:line="185" w:lineRule="exact"/>
        <w:rPr>
          <w:sz w:val="20"/>
          <w:szCs w:val="20"/>
          <w:color w:val="auto"/>
        </w:rPr>
      </w:pPr>
    </w:p>
    <w:p>
      <w:pPr>
        <w:ind w:right="100" w:firstLine="1035"/>
        <w:spacing w:after="0" w:line="243" w:lineRule="auto"/>
        <w:tabs>
          <w:tab w:leader="none" w:pos="1494" w:val="left"/>
        </w:tabs>
        <w:numPr>
          <w:ilvl w:val="0"/>
          <w:numId w:val="71"/>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Not later than 11:00 A.M. (London time) on each Calculation Date, the Administrative Agent shall (i) determine the Exchange Rate as of such Calculation Date for (x) each Foreign Currency in which a Foreign Currency Loan is then outstanding or will be outstanding after giving effect to any submitted borrowing notices and (y) each L/C Foreign Currency in which a Letter of Credit has been issued and is then outstanding or will be outstanding after giving effect to any submitted Applications, (ii) give notice to the Borrower of each Exchange Rate determined pursuant to clause (i) and (iii) give notice to the Foreign Currency Lenders of each Exchange Rate determined pursuant to clause (i)(x). Each Exchange Rate so determined shall become effective on the relevant Calculation Date and remain effective until the next succeeding Calculation Date and shall for all purposes of this Agreement (other than for purposes of Section 1.3(c), Section 2.21 or any provision expressly requiring the use of a current Exchange Rate) be the Exchange Rate employed in converting any amounts between Dollars and the relevant Foreign Currency or L/C Foreign Currency, as applicable.</w:t>
      </w:r>
    </w:p>
    <w:p>
      <w:pPr>
        <w:spacing w:after="0" w:line="186" w:lineRule="exact"/>
        <w:rPr>
          <w:rFonts w:ascii="Times New Roman" w:cs="Times New Roman" w:eastAsia="Times New Roman" w:hAnsi="Times New Roman"/>
          <w:sz w:val="20"/>
          <w:szCs w:val="20"/>
          <w:u w:val="single" w:color="auto"/>
          <w:color w:val="0000FF"/>
        </w:rPr>
      </w:pPr>
    </w:p>
    <w:p>
      <w:pPr>
        <w:ind w:right="140" w:firstLine="1035"/>
        <w:spacing w:after="0" w:line="247" w:lineRule="auto"/>
        <w:tabs>
          <w:tab w:leader="none" w:pos="1505" w:val="left"/>
        </w:tabs>
        <w:numPr>
          <w:ilvl w:val="0"/>
          <w:numId w:val="71"/>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Not later than 11:00 A.M. (London time) on each Calculation Date</w:t>
      </w:r>
      <w:r>
        <w:rPr>
          <w:rFonts w:ascii="Times New Roman" w:cs="Times New Roman" w:eastAsia="Times New Roman" w:hAnsi="Times New Roman"/>
          <w:sz w:val="20"/>
          <w:szCs w:val="20"/>
          <w:u w:val="single" w:color="auto"/>
          <w:color w:val="008000"/>
        </w:rPr>
        <w:t>, the Administrative Agent shall determine</w:t>
      </w:r>
      <w:r>
        <w:rPr>
          <w:rFonts w:ascii="Times New Roman" w:cs="Times New Roman" w:eastAsia="Times New Roman" w:hAnsi="Times New Roman"/>
          <w:sz w:val="20"/>
          <w:szCs w:val="20"/>
          <w:u w:val="single" w:color="auto"/>
          <w:color w:val="0000FF"/>
        </w:rPr>
        <w:t xml:space="preserve"> (i) the aggregate Dollar Equivalent of the Foreign Currency Loans then outstanding (after giving effect to any Foreign Currency Loans to be made or repaid on such date), (ii) the aggregate Dollar Equivalent of the undrawn and unexpired amount of the then outstanding Letters of Credit denominated in L/C Foreign Currencies and (iii) the aggregate Dollar Equivalent of the amount of drawings under Letters of Credit denominated in L/C Foreign Currencies that have not then been reimbursed pursuant to Section 3.5.</w:t>
      </w:r>
    </w:p>
    <w:p>
      <w:pPr>
        <w:sectPr>
          <w:pgSz w:w="11900" w:h="16838" w:orient="portrait"/>
          <w:cols w:equalWidth="0" w:num="1">
            <w:col w:w="11420"/>
          </w:cols>
          <w:pgMar w:left="240" w:top="409" w:right="239" w:bottom="1440" w:gutter="0" w:footer="0" w:header="0"/>
        </w:sectPr>
      </w:pPr>
    </w:p>
    <w:bookmarkStart w:id="133" w:name="page134"/>
    <w:bookmarkEnd w:id="133"/>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38</w:t>
      </w:r>
    </w:p>
    <w:p>
      <w:pPr>
        <w:spacing w:after="0" w:line="238" w:lineRule="exact"/>
        <w:rPr>
          <w:sz w:val="20"/>
          <w:szCs w:val="20"/>
          <w:color w:val="auto"/>
        </w:rPr>
      </w:pPr>
    </w:p>
    <w:p>
      <w:pPr>
        <w:ind w:firstLine="102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FF0000"/>
          <w:strike w:val="1"/>
        </w:rPr>
        <w:t>b</w:t>
      </w:r>
      <w:r>
        <w:rPr>
          <w:rFonts w:ascii="Times New Roman" w:cs="Times New Roman" w:eastAsia="Times New Roman" w:hAnsi="Times New Roman"/>
          <w:sz w:val="20"/>
          <w:szCs w:val="20"/>
          <w:u w:val="single" w:color="auto"/>
          <w:color w:val="0000FF"/>
        </w:rPr>
        <w:t>c</w:t>
      </w:r>
      <w:r>
        <w:rPr>
          <w:rFonts w:ascii="Times New Roman" w:cs="Times New Roman" w:eastAsia="Times New Roman" w:hAnsi="Times New Roman"/>
          <w:sz w:val="20"/>
          <w:szCs w:val="20"/>
          <w:color w:val="auto"/>
        </w:rPr>
        <w:t xml:space="preserve">) For purposes of determining compliance with any covenant or restriction in this Agreement that is based on the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Exchange Rates used in calculating the financial covenants set forth in Section 7.1 shall be determined in accordance with GAAP as set forth in the financial statements that are the basis for such calculations.</w:t>
      </w:r>
    </w:p>
    <w:p>
      <w:pPr>
        <w:spacing w:after="0" w:line="181" w:lineRule="exact"/>
        <w:rPr>
          <w:sz w:val="20"/>
          <w:szCs w:val="20"/>
          <w:color w:val="auto"/>
        </w:rPr>
      </w:pPr>
    </w:p>
    <w:p>
      <w:pPr>
        <w:ind w:right="22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FF0000"/>
          <w:strike w:val="1"/>
        </w:rPr>
        <w:t>c</w:t>
      </w:r>
      <w:r>
        <w:rPr>
          <w:rFonts w:ascii="Times New Roman" w:cs="Times New Roman" w:eastAsia="Times New Roman" w:hAnsi="Times New Roman"/>
          <w:sz w:val="20"/>
          <w:szCs w:val="20"/>
          <w:u w:val="single" w:color="auto"/>
          <w:color w:val="0000FF"/>
        </w:rPr>
        <w:t>d</w:t>
      </w:r>
      <w:r>
        <w:rPr>
          <w:rFonts w:ascii="Times New Roman" w:cs="Times New Roman" w:eastAsia="Times New Roman" w:hAnsi="Times New Roman"/>
          <w:sz w:val="20"/>
          <w:szCs w:val="20"/>
          <w:color w:val="auto"/>
        </w:rPr>
        <w:t>) The Administrative Agent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75"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color w:val="auto"/>
        </w:rPr>
        <w:t>AMOUNT AND TERMS OF COMMITMENTS</w:t>
      </w:r>
    </w:p>
    <w:p>
      <w:pPr>
        <w:spacing w:after="0" w:line="216" w:lineRule="exact"/>
        <w:rPr>
          <w:sz w:val="20"/>
          <w:szCs w:val="20"/>
          <w:color w:val="auto"/>
        </w:rPr>
      </w:pPr>
    </w:p>
    <w:p>
      <w:pPr>
        <w:ind w:firstLine="1027"/>
        <w:spacing w:after="0" w:line="259"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 (a) Subject to the terms and conditions hereof, each Lender severally agrees to make revolving credit loans in Dollars (“</w:t>
      </w:r>
      <w:r>
        <w:rPr>
          <w:rFonts w:ascii="Times New Roman" w:cs="Times New Roman" w:eastAsia="Times New Roman" w:hAnsi="Times New Roman"/>
          <w:sz w:val="19"/>
          <w:szCs w:val="19"/>
          <w:u w:val="single" w:color="auto"/>
          <w:color w:val="0000FF"/>
        </w:rPr>
        <w:t>Dollar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Loans</w:t>
      </w:r>
      <w:r>
        <w:rPr>
          <w:rFonts w:ascii="Times New Roman" w:cs="Times New Roman" w:eastAsia="Times New Roman" w:hAnsi="Times New Roman"/>
          <w:sz w:val="19"/>
          <w:szCs w:val="19"/>
          <w:color w:val="auto"/>
        </w:rPr>
        <w:t xml:space="preserve">”) to the Borrower from time to time during the Commitment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after giving effect to such borrowing and the use of proceeds thereof, (i) such Lender’s Extensions of Credit do not exceed the amount of such Lender’s Commitment and (ii) the Total Extensions of Credit shall not exceed the lesser of (x) the Borrowing Base at such time and (y) the Total Commitments then in effect. During the Commitment Period the Borrower may use the Commitments by borrowing, prepaying the </w:t>
      </w:r>
      <w:r>
        <w:rPr>
          <w:rFonts w:ascii="Times New Roman" w:cs="Times New Roman" w:eastAsia="Times New Roman" w:hAnsi="Times New Roman"/>
          <w:sz w:val="19"/>
          <w:szCs w:val="19"/>
          <w:u w:val="single" w:color="auto"/>
          <w:color w:val="0000FF"/>
        </w:rPr>
        <w:t>Dollar</w:t>
      </w:r>
      <w:r>
        <w:rPr>
          <w:rFonts w:ascii="Times New Roman" w:cs="Times New Roman" w:eastAsia="Times New Roman" w:hAnsi="Times New Roman"/>
          <w:sz w:val="19"/>
          <w:szCs w:val="19"/>
          <w:color w:val="auto"/>
        </w:rPr>
        <w:t xml:space="preserve"> Loans in whole or in part, and reborrowing, all in accordance with the terms and conditions hereof. The </w:t>
      </w:r>
      <w:r>
        <w:rPr>
          <w:rFonts w:ascii="Times New Roman" w:cs="Times New Roman" w:eastAsia="Times New Roman" w:hAnsi="Times New Roman"/>
          <w:sz w:val="19"/>
          <w:szCs w:val="19"/>
          <w:u w:val="single" w:color="auto"/>
          <w:color w:val="0000FF"/>
        </w:rPr>
        <w:t>Dollar</w:t>
      </w:r>
      <w:r>
        <w:rPr>
          <w:rFonts w:ascii="Times New Roman" w:cs="Times New Roman" w:eastAsia="Times New Roman" w:hAnsi="Times New Roman"/>
          <w:sz w:val="19"/>
          <w:szCs w:val="19"/>
          <w:color w:val="auto"/>
        </w:rPr>
        <w:t xml:space="preserve"> Loans may from time to time be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Eurocurrency</w:t>
      </w:r>
      <w:r>
        <w:rPr>
          <w:rFonts w:ascii="Times New Roman" w:cs="Times New Roman" w:eastAsia="Times New Roman" w:hAnsi="Times New Roman"/>
          <w:sz w:val="19"/>
          <w:szCs w:val="19"/>
          <w:color w:val="auto"/>
        </w:rPr>
        <w:t xml:space="preserve"> Loans or ABR Loans, as determined by the Borrower and notified to the Administrative Agent in accordance with Sections 2.2 and 2.7.</w:t>
      </w:r>
    </w:p>
    <w:p>
      <w:pPr>
        <w:spacing w:after="0" w:line="173" w:lineRule="exact"/>
        <w:rPr>
          <w:sz w:val="20"/>
          <w:szCs w:val="20"/>
          <w:color w:val="auto"/>
        </w:rPr>
      </w:pPr>
    </w:p>
    <w:p>
      <w:pPr>
        <w:ind w:right="60" w:firstLine="1035"/>
        <w:spacing w:after="0" w:line="244" w:lineRule="auto"/>
        <w:tabs>
          <w:tab w:leader="none" w:pos="1505" w:val="left"/>
        </w:tabs>
        <w:numPr>
          <w:ilvl w:val="1"/>
          <w:numId w:val="7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Subject to the terms and conditions hereof, each Foreign Currency Lender severally agrees to make revolving credit loans in Foreign Currencies (“Foreign Currency Loans”) to the Borrower from time to time during the Commitment Period; provided that, after giving effect to such borrowing and the use of proceeds thereof, (i) such Lender’s Foreign Currency Extensions of Credit do not exceed the amount of such Lender’s Foreign Currency Commitment, (ii) such Lender’s Extensions of Credit do not exceed the amount of such Lender’s Commitment, (iii) the Total Foreign Currency Extensions of Credit shall not exceed the lesser of (x) the Borrowing Base at such time and</w:t>
      </w:r>
    </w:p>
    <w:p>
      <w:pPr>
        <w:ind w:right="120" w:firstLine="8"/>
        <w:spacing w:after="0" w:line="241" w:lineRule="auto"/>
        <w:tabs>
          <w:tab w:leader="none" w:pos="280" w:val="left"/>
        </w:tabs>
        <w:numPr>
          <w:ilvl w:val="0"/>
          <w:numId w:val="73"/>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Total Foreign Currency Commitments then in effect and (iv) the Total Extensions of Credit shall not exceed the lesser of (x) the Borrowing Base at such time and (y) the Total Commitments then in effect. During the Commitment Period the Borrower may use the Foreign Currency Commitments by borrowing, prepaying the Foreign Currency Loans in whole or in part, and reborrowing, all in accordance with the terms and conditions hereof. All Foreign Currency Loans shall be Eurocurrency Loans.</w:t>
      </w:r>
    </w:p>
    <w:p>
      <w:pPr>
        <w:spacing w:after="0" w:line="189" w:lineRule="exact"/>
        <w:rPr>
          <w:sz w:val="20"/>
          <w:szCs w:val="20"/>
          <w:color w:val="auto"/>
        </w:rPr>
      </w:pPr>
    </w:p>
    <w:p>
      <w:pPr>
        <w:ind w:left="1040"/>
        <w:spacing w:after="0"/>
        <w:tabs>
          <w:tab w:leader="none" w:pos="15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FF0000"/>
          <w:strike w:val="1"/>
        </w:rPr>
        <w:t>b</w:t>
      </w:r>
      <w:r>
        <w:rPr>
          <w:rFonts w:ascii="Times New Roman" w:cs="Times New Roman" w:eastAsia="Times New Roman" w:hAnsi="Times New Roman"/>
          <w:sz w:val="20"/>
          <w:szCs w:val="20"/>
          <w:u w:val="single" w:color="auto"/>
          <w:color w:val="0000FF"/>
        </w:rPr>
        <w:t>c</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Borrower shall repay all outstanding Loans on the Termination Date.</w:t>
      </w:r>
    </w:p>
    <w:p>
      <w:pPr>
        <w:spacing w:after="0" w:line="216" w:lineRule="exact"/>
        <w:rPr>
          <w:sz w:val="20"/>
          <w:szCs w:val="20"/>
          <w:color w:val="auto"/>
        </w:rPr>
      </w:pPr>
    </w:p>
    <w:p>
      <w:pPr>
        <w:ind w:right="20" w:firstLine="1027"/>
        <w:spacing w:after="0" w:line="243"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Procedure for Borrowing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color w:val="auto"/>
        </w:rPr>
        <w:t xml:space="preserve"> The Borrower may borrow </w:t>
      </w:r>
      <w:r>
        <w:rPr>
          <w:rFonts w:ascii="Times New Roman" w:cs="Times New Roman" w:eastAsia="Times New Roman" w:hAnsi="Times New Roman"/>
          <w:sz w:val="20"/>
          <w:szCs w:val="20"/>
          <w:u w:val="single" w:color="auto"/>
          <w:color w:val="0000FF"/>
        </w:rPr>
        <w:t>Dollar Loans</w:t>
      </w:r>
      <w:r>
        <w:rPr>
          <w:rFonts w:ascii="Times New Roman" w:cs="Times New Roman" w:eastAsia="Times New Roman" w:hAnsi="Times New Roman"/>
          <w:sz w:val="20"/>
          <w:szCs w:val="20"/>
          <w:color w:val="auto"/>
        </w:rPr>
        <w:t xml:space="preserve"> under the Commitments during the Commitment Period on any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give the Administrative Agent irrevocable notice by delivering a Notice of Borrowing (which notice must be received by the Administrative Agent prior to 11:00 A.M., New York City time, (a) three Business Days prior to the requested Borrowing Date, in the case of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Loans, or (b) one Business Day prior to the requested Borrowing Date, in the case of ABR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of a borrowing of ABR Loans under the Facility to finance payments required by Section 3.5 may be given not later than 10:00 A.M., New York City time, on the date of the proposed borrowing), specifying (i) the amount and Type of </w:t>
      </w:r>
      <w:r>
        <w:rPr>
          <w:rFonts w:ascii="Times New Roman" w:cs="Times New Roman" w:eastAsia="Times New Roman" w:hAnsi="Times New Roman"/>
          <w:sz w:val="20"/>
          <w:szCs w:val="20"/>
          <w:u w:val="single" w:color="auto"/>
          <w:color w:val="0000FF"/>
        </w:rPr>
        <w:t>Dollar</w:t>
      </w:r>
      <w:r>
        <w:rPr>
          <w:rFonts w:ascii="Times New Roman" w:cs="Times New Roman" w:eastAsia="Times New Roman" w:hAnsi="Times New Roman"/>
          <w:sz w:val="20"/>
          <w:szCs w:val="20"/>
          <w:color w:val="auto"/>
        </w:rPr>
        <w:t xml:space="preserve"> Loans to be borrowed, (ii) the requested Borrowing Date and (iii) in the case of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Loans, the respective amounts of each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Tranche in</w:t>
      </w:r>
    </w:p>
    <w:p>
      <w:pPr>
        <w:sectPr>
          <w:pgSz w:w="11900" w:h="16838" w:orient="portrait"/>
          <w:cols w:equalWidth="0" w:num="1">
            <w:col w:w="11420"/>
          </w:cols>
          <w:pgMar w:left="240" w:top="409" w:right="239" w:bottom="1440" w:gutter="0" w:footer="0" w:header="0"/>
        </w:sectPr>
      </w:pPr>
    </w:p>
    <w:bookmarkStart w:id="134" w:name="page135"/>
    <w:bookmarkEnd w:id="134"/>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39</w:t>
      </w:r>
    </w:p>
    <w:p>
      <w:pPr>
        <w:spacing w:after="0" w:line="23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auto"/>
        </w:rPr>
        <w:t xml:space="preserve">respect thereof and the respective lengths of the initial Interest Periods therefor. Each borrowing </w:t>
      </w:r>
      <w:r>
        <w:rPr>
          <w:rFonts w:ascii="Times New Roman" w:cs="Times New Roman" w:eastAsia="Times New Roman" w:hAnsi="Times New Roman"/>
          <w:sz w:val="19"/>
          <w:szCs w:val="19"/>
          <w:u w:val="single" w:color="auto"/>
          <w:color w:val="0000FF"/>
        </w:rPr>
        <w:t>of Dollar Loans</w:t>
      </w:r>
      <w:r>
        <w:rPr>
          <w:rFonts w:ascii="Times New Roman" w:cs="Times New Roman" w:eastAsia="Times New Roman" w:hAnsi="Times New Roman"/>
          <w:sz w:val="19"/>
          <w:szCs w:val="19"/>
          <w:color w:val="auto"/>
        </w:rPr>
        <w:t xml:space="preserve"> under the Commitments shall be in an amount equal to (x) in the case of ABR Loans, $1,000,000 or a whole multiple thereof (or, if the then aggregate Available Commitments are less than $1,000,000, such lesser amount) and (y) in the case of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Eurocurrency</w:t>
      </w:r>
      <w:r>
        <w:rPr>
          <w:rFonts w:ascii="Times New Roman" w:cs="Times New Roman" w:eastAsia="Times New Roman" w:hAnsi="Times New Roman"/>
          <w:sz w:val="19"/>
          <w:szCs w:val="19"/>
          <w:color w:val="auto"/>
        </w:rPr>
        <w:t xml:space="preserve"> Loans, $5,000,000 or a whole multiple of $1,000,000 in excess thereof. Upon receipt of any such notice from the Borrower, the Administrative Agent shall promptly notify each Lender thereof. Each Lender will make the amount </w:t>
      </w:r>
      <w:r>
        <w:rPr>
          <w:rFonts w:ascii="Times New Roman" w:cs="Times New Roman" w:eastAsia="Times New Roman" w:hAnsi="Times New Roman"/>
          <w:sz w:val="19"/>
          <w:szCs w:val="19"/>
          <w:color w:val="FF0000"/>
          <w:strike w:val="1"/>
        </w:rPr>
        <w:t>of</w:t>
      </w:r>
      <w:r>
        <w:rPr>
          <w:rFonts w:ascii="Times New Roman" w:cs="Times New Roman" w:eastAsia="Times New Roman" w:hAnsi="Times New Roman"/>
          <w:sz w:val="19"/>
          <w:szCs w:val="19"/>
          <w:u w:val="single" w:color="auto"/>
          <w:color w:val="0000FF"/>
        </w:rPr>
        <w:t>equal to</w:t>
      </w:r>
      <w:r>
        <w:rPr>
          <w:rFonts w:ascii="Times New Roman" w:cs="Times New Roman" w:eastAsia="Times New Roman" w:hAnsi="Times New Roman"/>
          <w:sz w:val="19"/>
          <w:szCs w:val="19"/>
          <w:color w:val="auto"/>
        </w:rPr>
        <w:t xml:space="preserve"> its </w:t>
      </w:r>
      <w:r>
        <w:rPr>
          <w:rFonts w:ascii="Times New Roman" w:cs="Times New Roman" w:eastAsia="Times New Roman" w:hAnsi="Times New Roman"/>
          <w:sz w:val="19"/>
          <w:szCs w:val="19"/>
          <w:color w:val="FF0000"/>
          <w:strike w:val="1"/>
        </w:rPr>
        <w:t>p</w:t>
      </w:r>
      <w:r>
        <w:rPr>
          <w:rFonts w:ascii="Times New Roman" w:cs="Times New Roman" w:eastAsia="Times New Roman" w:hAnsi="Times New Roman"/>
          <w:sz w:val="19"/>
          <w:szCs w:val="19"/>
          <w:u w:val="single" w:color="auto"/>
          <w:color w:val="0000FF"/>
        </w:rPr>
        <w:t>P</w:t>
      </w:r>
      <w:r>
        <w:rPr>
          <w:rFonts w:ascii="Times New Roman" w:cs="Times New Roman" w:eastAsia="Times New Roman" w:hAnsi="Times New Roman"/>
          <w:sz w:val="19"/>
          <w:szCs w:val="19"/>
          <w:color w:val="auto"/>
        </w:rPr>
        <w:t xml:space="preserve">ro </w:t>
      </w:r>
      <w:r>
        <w:rPr>
          <w:rFonts w:ascii="Times New Roman" w:cs="Times New Roman" w:eastAsia="Times New Roman" w:hAnsi="Times New Roman"/>
          <w:sz w:val="19"/>
          <w:szCs w:val="19"/>
          <w:color w:val="FF0000"/>
          <w:strike w:val="1"/>
        </w:rPr>
        <w:t>r</w:t>
      </w:r>
      <w:r>
        <w:rPr>
          <w:rFonts w:ascii="Times New Roman" w:cs="Times New Roman" w:eastAsia="Times New Roman" w:hAnsi="Times New Roman"/>
          <w:sz w:val="19"/>
          <w:szCs w:val="19"/>
          <w:u w:val="single" w:color="auto"/>
          <w:color w:val="0000FF"/>
        </w:rPr>
        <w:t>R</w:t>
      </w:r>
      <w:r>
        <w:rPr>
          <w:rFonts w:ascii="Times New Roman" w:cs="Times New Roman" w:eastAsia="Times New Roman" w:hAnsi="Times New Roman"/>
          <w:sz w:val="19"/>
          <w:szCs w:val="19"/>
          <w:color w:val="auto"/>
        </w:rPr>
        <w:t xml:space="preserve">ata </w:t>
      </w:r>
      <w:r>
        <w:rPr>
          <w:rFonts w:ascii="Times New Roman" w:cs="Times New Roman" w:eastAsia="Times New Roman" w:hAnsi="Times New Roman"/>
          <w:sz w:val="19"/>
          <w:szCs w:val="19"/>
          <w:color w:val="FF0000"/>
          <w:strike w:val="1"/>
        </w:rPr>
        <w:t>s</w:t>
      </w:r>
      <w:r>
        <w:rPr>
          <w:rFonts w:ascii="Times New Roman" w:cs="Times New Roman" w:eastAsia="Times New Roman" w:hAnsi="Times New Roman"/>
          <w:sz w:val="19"/>
          <w:szCs w:val="19"/>
          <w:u w:val="single" w:color="auto"/>
          <w:color w:val="0000FF"/>
        </w:rPr>
        <w:t>S</w:t>
      </w:r>
      <w:r>
        <w:rPr>
          <w:rFonts w:ascii="Times New Roman" w:cs="Times New Roman" w:eastAsia="Times New Roman" w:hAnsi="Times New Roman"/>
          <w:sz w:val="19"/>
          <w:szCs w:val="19"/>
          <w:color w:val="auto"/>
        </w:rPr>
        <w:t xml:space="preserve">hare </w:t>
      </w:r>
      <w:r>
        <w:rPr>
          <w:rFonts w:ascii="Times New Roman" w:cs="Times New Roman" w:eastAsia="Times New Roman" w:hAnsi="Times New Roman"/>
          <w:sz w:val="19"/>
          <w:szCs w:val="19"/>
          <w:color w:val="0000FF"/>
        </w:rPr>
        <w:t>of the principal amount</w:t>
      </w:r>
      <w:r>
        <w:rPr>
          <w:rFonts w:ascii="Times New Roman" w:cs="Times New Roman" w:eastAsia="Times New Roman" w:hAnsi="Times New Roman"/>
          <w:sz w:val="19"/>
          <w:szCs w:val="19"/>
          <w:color w:val="auto"/>
        </w:rPr>
        <w:t xml:space="preserve"> of each borrowing </w:t>
      </w:r>
      <w:r>
        <w:rPr>
          <w:rFonts w:ascii="Times New Roman" w:cs="Times New Roman" w:eastAsia="Times New Roman" w:hAnsi="Times New Roman"/>
          <w:sz w:val="19"/>
          <w:szCs w:val="19"/>
          <w:u w:val="single" w:color="auto"/>
          <w:color w:val="0000FF"/>
        </w:rPr>
        <w:t>of Dollar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Loans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available to the Administrative Agent for the account of the Borrower at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Domestic</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Funding Office prior to 12:00 Noon, New York</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City time, on the Borrowing Date requested by the Borrower in funds immediately available to the Administrative Agent. Such borrowing will then be made available to the Borrower by the Administrative Agent crediting the account of the Borrower on the books of such office with the aggregate of the amounts made available to the Administrative Agent by the Lenders and in like funds as received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-584200</wp:posOffset>
            </wp:positionV>
            <wp:extent cx="120078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00785" cy="8890"/>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-618490</wp:posOffset>
            </wp:positionV>
            <wp:extent cx="12077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157" w:lineRule="exact"/>
        <w:rPr>
          <w:sz w:val="20"/>
          <w:szCs w:val="20"/>
          <w:color w:val="auto"/>
        </w:rPr>
      </w:pPr>
    </w:p>
    <w:p>
      <w:pPr>
        <w:ind w:right="40" w:firstLine="1035"/>
        <w:spacing w:after="0" w:line="241" w:lineRule="auto"/>
        <w:tabs>
          <w:tab w:leader="none" w:pos="1505" w:val="left"/>
        </w:tabs>
        <w:numPr>
          <w:ilvl w:val="0"/>
          <w:numId w:val="74"/>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Borrower may borrow Foreign Currency Loans under the Foreign Currency Commitments during the Commitment Period on any Business Day, provided that the Borrower shall give the Administrative Agent irrevocable notice by delivering a Notice of Borrowing (which notice must be received by the Administrative Agent prior to 11:00 A.M., London time, four Business Days prior to the requested Borrowing Date, specifying (i) the amount of Foreign Currency Loans to be borrowed, (ii) the requested Borrowing Date, (iii) the Foreign Currency in which such Foreign Currency Loans will be denominated and (iv) the respective amounts of each Eurocurrency Tranche in respect thereof and the respective lengths of the initial Interest Periods therefor. Each borrowing of Foreign Currency Loans under the Foreign Currency Commitments shall be in an amount in a Foreign Currency the Dollar Equivalent of which is at least equal to $5,000,000 (or, if the Total Available Foreign Currency Commitments at such time are less than $5,000,000, such lesser amount). Upon receipt of any such notice from the Borrower, the Administrative Agent shall promptly notify each Foreign Currency Lender thereof. Each Foreign Currency Lender will make the amount equal to its Foreign Currency Commitment Percentage of the principal amount of each borrowing of Foreign Currency Loans available to the Administrative Agent for the account of the Borrower at the Applicable Foreign Currency Funding Office for the relevant Foreign Currency prior to 12:00 Noon Local Time on the Borrowing Date requested by the Borrower in the relevant Foreign Currency in immediately available funds. Such borrowing will then be made available to the Borrower by the Administrative Agent crediting the account of the Borrower on the books of such office with the aggregate of the amounts made available to the Administrative Agent by the Foreign Currency Lenders and in like funds as received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-2030095</wp:posOffset>
            </wp:positionV>
            <wp:extent cx="60204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204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-1884680</wp:posOffset>
            </wp:positionV>
            <wp:extent cx="68865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-1738630</wp:posOffset>
            </wp:positionV>
            <wp:extent cx="696341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-1592580</wp:posOffset>
            </wp:positionV>
            <wp:extent cx="70408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-1447165</wp:posOffset>
            </wp:positionV>
            <wp:extent cx="72294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-1301115</wp:posOffset>
            </wp:positionV>
            <wp:extent cx="715200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20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-1155700</wp:posOffset>
            </wp:positionV>
            <wp:extent cx="70662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662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-1009650</wp:posOffset>
            </wp:positionV>
            <wp:extent cx="70491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0491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-863600</wp:posOffset>
            </wp:positionV>
            <wp:extent cx="717804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-718185</wp:posOffset>
            </wp:positionV>
            <wp:extent cx="720344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692086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20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688657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22058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20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679196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91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386778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67785" cy="8890"/>
                    </a:xfrm>
                    <a:prstGeom prst="rect">
                      <a:avLst/>
                    </a:prstGeom>
                    <a:noFill/>
                  </pic:spPr>
                </pic:pic>
              </a:graphicData>
            </a:graphic>
          </wp:anchor>
        </w:drawing>
      </w:r>
    </w:p>
    <w:p>
      <w:pPr>
        <w:spacing w:after="0" w:line="176" w:lineRule="exact"/>
        <w:rPr>
          <w:sz w:val="20"/>
          <w:szCs w:val="20"/>
          <w:color w:val="auto"/>
        </w:rPr>
      </w:pPr>
    </w:p>
    <w:p>
      <w:pPr>
        <w:ind w:right="240" w:firstLine="1027"/>
        <w:spacing w:after="0" w:line="266" w:lineRule="auto"/>
        <w:rPr>
          <w:sz w:val="20"/>
          <w:szCs w:val="20"/>
          <w:color w:val="auto"/>
        </w:rPr>
      </w:pPr>
      <w:r>
        <w:rPr>
          <w:rFonts w:ascii="Times New Roman" w:cs="Times New Roman" w:eastAsia="Times New Roman" w:hAnsi="Times New Roman"/>
          <w:sz w:val="19"/>
          <w:szCs w:val="19"/>
          <w:color w:val="auto"/>
        </w:rPr>
        <w:t xml:space="preserve">2.3 </w:t>
      </w:r>
      <w:r>
        <w:rPr>
          <w:rFonts w:ascii="Times New Roman" w:cs="Times New Roman" w:eastAsia="Times New Roman" w:hAnsi="Times New Roman"/>
          <w:sz w:val="19"/>
          <w:szCs w:val="19"/>
          <w:u w:val="single" w:color="auto"/>
          <w:color w:val="auto"/>
        </w:rPr>
        <w:t>Commitment Fees, etc</w:t>
      </w:r>
      <w:r>
        <w:rPr>
          <w:rFonts w:ascii="Times New Roman" w:cs="Times New Roman" w:eastAsia="Times New Roman" w:hAnsi="Times New Roman"/>
          <w:sz w:val="19"/>
          <w:szCs w:val="19"/>
          <w:color w:val="auto"/>
        </w:rPr>
        <w:t>. (a) The Borrower agrees to pay to the Administrative Agent for the account of each Lender a commitment fee for the period from and including the Closing Date to the last day of the Commitment Period, computed at the Commitment Fee Rate on the average daily amount of the Available Commitment of such Lender during the period for which payment is made, payable in arrears for each Fee Payment Period on the related Fee Payment Date, commencing on the first such date to occur after the Closing Date.</w:t>
      </w:r>
    </w:p>
    <w:p>
      <w:pPr>
        <w:spacing w:after="0" w:line="166" w:lineRule="exact"/>
        <w:rPr>
          <w:sz w:val="20"/>
          <w:szCs w:val="20"/>
          <w:color w:val="auto"/>
        </w:rPr>
      </w:pPr>
    </w:p>
    <w:p>
      <w:pPr>
        <w:ind w:right="480" w:firstLine="1035"/>
        <w:spacing w:after="0" w:line="269" w:lineRule="auto"/>
        <w:tabs>
          <w:tab w:leader="none" w:pos="150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the Administrative Agent the fees in the amounts and on the dates as set forth in any fee agreements with the Administrative Agent and to perform any other obligations contained therein.</w:t>
      </w:r>
    </w:p>
    <w:p>
      <w:pPr>
        <w:spacing w:after="0" w:line="160" w:lineRule="exact"/>
        <w:rPr>
          <w:sz w:val="20"/>
          <w:szCs w:val="20"/>
          <w:color w:val="auto"/>
        </w:rPr>
      </w:pPr>
    </w:p>
    <w:p>
      <w:pPr>
        <w:ind w:right="280" w:firstLine="1027"/>
        <w:spacing w:after="0" w:line="249"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Termination or Reduction of Commitments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color w:val="auto"/>
        </w:rPr>
        <w:t xml:space="preserve"> The Borrower shall have the right, upon not less than one Business Days’ notice (or three Business Days’ notice if the related termination or reduction would require a prepayment of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Loans prior to the last day of an Interest Period) to the Administrative Agent, to terminate the Commitments or, from time to time, to reduce the amount of the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termination or reduction of</w:t>
      </w:r>
    </w:p>
    <w:p>
      <w:pPr>
        <w:sectPr>
          <w:pgSz w:w="11900" w:h="16838" w:orient="portrait"/>
          <w:cols w:equalWidth="0" w:num="1">
            <w:col w:w="11420"/>
          </w:cols>
          <w:pgMar w:left="240" w:top="409" w:right="239" w:bottom="1440" w:gutter="0" w:footer="0" w:header="0"/>
        </w:sectPr>
      </w:pPr>
    </w:p>
    <w:bookmarkStart w:id="135" w:name="page136"/>
    <w:bookmarkEnd w:id="135"/>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40</w:t>
      </w:r>
    </w:p>
    <w:p>
      <w:pPr>
        <w:spacing w:after="0" w:line="23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Commitments shall be permitted if, after giving effect thereto and to any prepayments of the Loans made on the effective date thereof, the Total Extensions of Credit would exceed the Total Commitments</w:t>
      </w:r>
      <w:r>
        <w:rPr>
          <w:rFonts w:ascii="Times New Roman" w:cs="Times New Roman" w:eastAsia="Times New Roman" w:hAnsi="Times New Roman"/>
          <w:sz w:val="19"/>
          <w:szCs w:val="19"/>
          <w:u w:val="single" w:color="auto"/>
          <w:color w:val="0000FF"/>
        </w:rPr>
        <w:t>; provided, further, that no such termination or reduction of Commitments shall be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permitted if, after giving effect thereto (and to any terminations or reductions of Foreign Currency Commitments on the effective date thereof pursuant to Section 2.4(b)), the Foreign Currency Commitment of any Lender would exceed the Commitment of such Lender</w:t>
      </w:r>
      <w:r>
        <w:rPr>
          <w:rFonts w:ascii="Times New Roman" w:cs="Times New Roman" w:eastAsia="Times New Roman" w:hAnsi="Times New Roman"/>
          <w:sz w:val="19"/>
          <w:szCs w:val="19"/>
          <w:color w:val="000000"/>
        </w:rPr>
        <w:t>. Any such</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reduction shall be in an amount equal to $1,000,000, or a whole multiple thereof, and shall reduce permanently the Commitments then in effect.</w:t>
      </w:r>
    </w:p>
    <w:p>
      <w:pPr>
        <w:spacing w:after="0" w:line="59" w:lineRule="exact"/>
        <w:rPr>
          <w:sz w:val="20"/>
          <w:szCs w:val="20"/>
          <w:color w:val="auto"/>
        </w:rPr>
      </w:pPr>
    </w:p>
    <w:p>
      <w:pPr>
        <w:ind w:right="120" w:firstLine="1035"/>
        <w:spacing w:after="0" w:line="245" w:lineRule="auto"/>
        <w:tabs>
          <w:tab w:leader="none" w:pos="1505" w:val="left"/>
        </w:tabs>
        <w:numPr>
          <w:ilvl w:val="0"/>
          <w:numId w:val="76"/>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Borrower shall have the right, upon not less than three Business Days’ notice to the Administrative Agent, to terminate the Foreign Currency Commitments or, from time to time, to reduce the amount of the Foreign Currency Commitments; provided that no such termination or reduction of Foreign Currency Commitments shall be permitted if, after giving effect thereto and to any prepayments of the Foreign Currency Loans made on the effective date thereof, the Total Foreign Currency Extensions of Credit would exceed the Total Foreign Currency Commitments. Any such reduction shall be in an amount equal to $1,000,000, or a whole multiple thereof, and shall reduce permanently the Foreign Currency Commitments then in effect.</w:t>
      </w:r>
    </w:p>
    <w:p>
      <w:pPr>
        <w:spacing w:after="0" w:line="185" w:lineRule="exact"/>
        <w:rPr>
          <w:sz w:val="20"/>
          <w:szCs w:val="20"/>
          <w:color w:val="auto"/>
        </w:rPr>
      </w:pPr>
    </w:p>
    <w:p>
      <w:pPr>
        <w:ind w:right="40" w:firstLine="1027"/>
        <w:spacing w:after="0" w:line="242"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Optional Prepayments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color w:val="auto"/>
        </w:rPr>
        <w:t xml:space="preserve"> The Borrower may at any time and from time to time prepay the </w:t>
      </w:r>
      <w:r>
        <w:rPr>
          <w:rFonts w:ascii="Times New Roman" w:cs="Times New Roman" w:eastAsia="Times New Roman" w:hAnsi="Times New Roman"/>
          <w:sz w:val="20"/>
          <w:szCs w:val="20"/>
          <w:u w:val="single" w:color="auto"/>
          <w:color w:val="0000FF"/>
        </w:rPr>
        <w:t>Dollar</w:t>
      </w:r>
      <w:r>
        <w:rPr>
          <w:rFonts w:ascii="Times New Roman" w:cs="Times New Roman" w:eastAsia="Times New Roman" w:hAnsi="Times New Roman"/>
          <w:sz w:val="20"/>
          <w:szCs w:val="20"/>
          <w:color w:val="auto"/>
        </w:rPr>
        <w:t xml:space="preserve"> Loans, in whole or in part, without premium or penalty, upon irrevocable notice delivered to the Administrative Agent no later than 11:00 A.M., New York City time, three Business Days prior thereto, in the case of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Loans, and no later than 11:00 A.M., New York City time, one Business Day prior thereto, in the case of ABR Loans, which notice shall specify the date and amount of prepayment and whether the prepayment is of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Loans or ABR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 is prepaid on any day other than the last day of the Interest Period applicable thereto, the Borrower shall also pay any amounts owing pursuant to Section 2.15. Upon receipt of any such notice the Administrative Agent shall promptly notify each Lender thereof. If any such notice is given, the amount specified in such notice shall be due and payable on the date specified therein, together with (except in the case of </w:t>
      </w:r>
      <w:r>
        <w:rPr>
          <w:rFonts w:ascii="Times New Roman" w:cs="Times New Roman" w:eastAsia="Times New Roman" w:hAnsi="Times New Roman"/>
          <w:sz w:val="20"/>
          <w:szCs w:val="20"/>
          <w:u w:val="single" w:color="auto"/>
          <w:color w:val="0000FF"/>
        </w:rPr>
        <w:t>Dollar</w:t>
      </w:r>
      <w:r>
        <w:rPr>
          <w:rFonts w:ascii="Times New Roman" w:cs="Times New Roman" w:eastAsia="Times New Roman" w:hAnsi="Times New Roman"/>
          <w:sz w:val="20"/>
          <w:szCs w:val="20"/>
          <w:color w:val="auto"/>
        </w:rPr>
        <w:t xml:space="preserve"> Loans that are ABR Loans) accrued interest to such date on the amount prepaid. Partial prepayments of </w:t>
      </w:r>
      <w:r>
        <w:rPr>
          <w:rFonts w:ascii="Times New Roman" w:cs="Times New Roman" w:eastAsia="Times New Roman" w:hAnsi="Times New Roman"/>
          <w:sz w:val="20"/>
          <w:szCs w:val="20"/>
          <w:u w:val="single" w:color="auto"/>
          <w:color w:val="0000FF"/>
        </w:rPr>
        <w:t>Dollar</w:t>
      </w:r>
      <w:r>
        <w:rPr>
          <w:rFonts w:ascii="Times New Roman" w:cs="Times New Roman" w:eastAsia="Times New Roman" w:hAnsi="Times New Roman"/>
          <w:sz w:val="20"/>
          <w:szCs w:val="20"/>
          <w:color w:val="auto"/>
        </w:rPr>
        <w:t xml:space="preserve"> Loans shall be in an aggregate principal amount of at least $1,000,000.</w:t>
      </w:r>
    </w:p>
    <w:p>
      <w:pPr>
        <w:spacing w:after="0" w:line="85" w:lineRule="exact"/>
        <w:rPr>
          <w:sz w:val="20"/>
          <w:szCs w:val="20"/>
          <w:color w:val="auto"/>
        </w:rPr>
      </w:pPr>
    </w:p>
    <w:p>
      <w:pPr>
        <w:ind w:firstLine="1035"/>
        <w:spacing w:after="0" w:line="243" w:lineRule="auto"/>
        <w:tabs>
          <w:tab w:leader="none" w:pos="1505" w:val="left"/>
        </w:tabs>
        <w:numPr>
          <w:ilvl w:val="0"/>
          <w:numId w:val="77"/>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Borrower may at any time and from time to time prepay the Foreign Currency Loans, in whole or in part, without premium or penalty, upon irrevocable notice delivered to the Administrative Agent no later than 11:00 A.M. Local Time three Business Days prior thereto, which notice shall specify the date and amount of prepayment and the Foreign Currency in which the Foreign Currency Loans to be prepaid are denominated; provided, that if a Foreign Currency Loan is prepaid on any day other than the last day of the Interest Period applicable thereto, the Borrower shall also pay any amounts owing pursuant to Section 2.15. Upon receipt of any such notice the Administrative Agent shall promptly notify each Foreign Currency Lender thereof. If any such notice is given, the amount specified in such notice shall be due and payable on the date specified therein, together with accrued interest to such date on the amount prepaid. Partial prepayments of Foreign Currency Loans shall be in an aggregate principal amount the Dollar Equivalent of which is at least $1,000,000.</w:t>
      </w:r>
    </w:p>
    <w:p>
      <w:pPr>
        <w:spacing w:after="0" w:line="190" w:lineRule="exact"/>
        <w:rPr>
          <w:sz w:val="20"/>
          <w:szCs w:val="20"/>
          <w:color w:val="auto"/>
        </w:rPr>
      </w:pPr>
    </w:p>
    <w:p>
      <w:pPr>
        <w:ind w:right="20" w:firstLine="1027"/>
        <w:spacing w:after="0" w:line="247"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Mandatory Prepayments and Commitment Reductions</w:t>
      </w:r>
      <w:r>
        <w:rPr>
          <w:rFonts w:ascii="Times New Roman" w:cs="Times New Roman" w:eastAsia="Times New Roman" w:hAnsi="Times New Roman"/>
          <w:sz w:val="20"/>
          <w:szCs w:val="20"/>
          <w:color w:val="auto"/>
        </w:rPr>
        <w:t xml:space="preserve">. (a) If </w:t>
      </w:r>
      <w:r>
        <w:rPr>
          <w:rFonts w:ascii="Times New Roman" w:cs="Times New Roman" w:eastAsia="Times New Roman" w:hAnsi="Times New Roman"/>
          <w:sz w:val="20"/>
          <w:szCs w:val="20"/>
          <w:u w:val="single" w:color="auto"/>
          <w:color w:val="0000FF"/>
        </w:rPr>
        <w:t>at any time</w:t>
      </w:r>
      <w:r>
        <w:rPr>
          <w:rFonts w:ascii="Times New Roman" w:cs="Times New Roman" w:eastAsia="Times New Roman" w:hAnsi="Times New Roman"/>
          <w:sz w:val="20"/>
          <w:szCs w:val="20"/>
          <w:color w:val="auto"/>
        </w:rPr>
        <w:t xml:space="preserve"> the sum of (x) 105% of the Dollar Equivalent of Letters of Credit denominated in </w:t>
      </w:r>
      <w:r>
        <w:rPr>
          <w:rFonts w:ascii="Times New Roman" w:cs="Times New Roman" w:eastAsia="Times New Roman" w:hAnsi="Times New Roman"/>
          <w:sz w:val="20"/>
          <w:szCs w:val="20"/>
          <w:color w:val="FF0000"/>
          <w:strike w:val="1"/>
        </w:rPr>
        <w:t>Optional</w:t>
      </w:r>
      <w:r>
        <w:rPr>
          <w:rFonts w:ascii="Times New Roman" w:cs="Times New Roman" w:eastAsia="Times New Roman" w:hAnsi="Times New Roman"/>
          <w:sz w:val="20"/>
          <w:szCs w:val="20"/>
          <w:u w:val="single" w:color="auto"/>
          <w:color w:val="0000FF"/>
        </w:rPr>
        <w:t>L/C Foreign</w:t>
      </w:r>
      <w:r>
        <w:rPr>
          <w:rFonts w:ascii="Times New Roman" w:cs="Times New Roman" w:eastAsia="Times New Roman" w:hAnsi="Times New Roman"/>
          <w:sz w:val="20"/>
          <w:szCs w:val="20"/>
          <w:color w:val="auto"/>
        </w:rPr>
        <w:t xml:space="preserve"> Currencies plus (y) the outstanding amount of the Extensions of Credit other than Letters of Credit denominated in </w:t>
      </w:r>
      <w:r>
        <w:rPr>
          <w:rFonts w:ascii="Times New Roman" w:cs="Times New Roman" w:eastAsia="Times New Roman" w:hAnsi="Times New Roman"/>
          <w:sz w:val="20"/>
          <w:szCs w:val="20"/>
          <w:color w:val="FF0000"/>
          <w:strike w:val="1"/>
        </w:rPr>
        <w:t>Optional</w:t>
      </w:r>
      <w:r>
        <w:rPr>
          <w:rFonts w:ascii="Times New Roman" w:cs="Times New Roman" w:eastAsia="Times New Roman" w:hAnsi="Times New Roman"/>
          <w:sz w:val="20"/>
          <w:szCs w:val="20"/>
          <w:u w:val="single" w:color="auto"/>
          <w:color w:val="0000FF"/>
        </w:rPr>
        <w:t>L/C Foreign</w:t>
      </w:r>
      <w:r>
        <w:rPr>
          <w:rFonts w:ascii="Times New Roman" w:cs="Times New Roman" w:eastAsia="Times New Roman" w:hAnsi="Times New Roman"/>
          <w:sz w:val="20"/>
          <w:szCs w:val="20"/>
          <w:color w:val="auto"/>
        </w:rPr>
        <w:t xml:space="preserve"> Currencies would exceed the Borrowing Base in effect at such time, the Borrower shall, within one (1) Business Day, either prepay (or Collateralize Letters of Credit if there are no, or an insufficient amount of, Loans outstanding) and/or otherwise reduce, as applicable, the then outstanding Extensions of Credit in the amount of such excess.</w:t>
      </w:r>
    </w:p>
    <w:p>
      <w:pPr>
        <w:sectPr>
          <w:pgSz w:w="11900" w:h="16838" w:orient="portrait"/>
          <w:cols w:equalWidth="0" w:num="1">
            <w:col w:w="11420"/>
          </w:cols>
          <w:pgMar w:left="240" w:top="409" w:right="2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41</w:t>
      </w:r>
    </w:p>
    <w:p>
      <w:pPr>
        <w:spacing w:after="0" w:line="238" w:lineRule="exact"/>
        <w:rPr>
          <w:sz w:val="20"/>
          <w:szCs w:val="20"/>
          <w:color w:val="auto"/>
        </w:rPr>
      </w:pPr>
    </w:p>
    <w:p>
      <w:pPr>
        <w:ind w:right="460" w:firstLine="1035"/>
        <w:spacing w:after="0" w:line="254" w:lineRule="auto"/>
        <w:tabs>
          <w:tab w:leader="none" w:pos="1505" w:val="left"/>
        </w:tabs>
        <w:numPr>
          <w:ilvl w:val="0"/>
          <w:numId w:val="78"/>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If at any time the outstanding amount of the Foreign Currency Extensions of Credit would exceed the lesser of (i) the Borrowing Base and (ii) the Total Foreign Currency Commitments in effect at such time, the Borrower shall, within one (1) Business Day, prepay the then outstanding Foreign Currency Extensions of Credit in the amount of such excess.</w:t>
      </w:r>
    </w:p>
    <w:p>
      <w:pPr>
        <w:spacing w:after="0" w:line="175" w:lineRule="exact"/>
        <w:rPr>
          <w:sz w:val="20"/>
          <w:szCs w:val="20"/>
          <w:color w:val="auto"/>
        </w:rPr>
      </w:pPr>
    </w:p>
    <w:p>
      <w:pPr>
        <w:ind w:right="160" w:firstLine="102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FF0000"/>
          <w:strike w:val="1"/>
        </w:rPr>
        <w:t>b</w:t>
      </w:r>
      <w:r>
        <w:rPr>
          <w:rFonts w:ascii="Times New Roman" w:cs="Times New Roman" w:eastAsia="Times New Roman" w:hAnsi="Times New Roman"/>
          <w:sz w:val="20"/>
          <w:szCs w:val="20"/>
          <w:u w:val="single" w:color="auto"/>
          <w:color w:val="0000FF"/>
        </w:rPr>
        <w:t>c</w:t>
      </w:r>
      <w:r>
        <w:rPr>
          <w:rFonts w:ascii="Times New Roman" w:cs="Times New Roman" w:eastAsia="Times New Roman" w:hAnsi="Times New Roman"/>
          <w:sz w:val="20"/>
          <w:szCs w:val="20"/>
          <w:color w:val="auto"/>
        </w:rPr>
        <w:t xml:space="preserve">) If the Borrower prepays outstanding Extensions of Credit </w:t>
      </w:r>
      <w:r>
        <w:rPr>
          <w:rFonts w:ascii="Times New Roman" w:cs="Times New Roman" w:eastAsia="Times New Roman" w:hAnsi="Times New Roman"/>
          <w:sz w:val="20"/>
          <w:szCs w:val="20"/>
          <w:u w:val="single" w:color="auto"/>
          <w:color w:val="0000FF"/>
        </w:rPr>
        <w:t>or Foreign Currency Extensions of Credit</w:t>
      </w:r>
      <w:r>
        <w:rPr>
          <w:rFonts w:ascii="Times New Roman" w:cs="Times New Roman" w:eastAsia="Times New Roman" w:hAnsi="Times New Roman"/>
          <w:sz w:val="20"/>
          <w:szCs w:val="20"/>
          <w:color w:val="auto"/>
        </w:rPr>
        <w:t xml:space="preserve"> to comply with its obligations under </w:t>
      </w:r>
      <w:r>
        <w:rPr>
          <w:rFonts w:ascii="Times New Roman" w:cs="Times New Roman" w:eastAsia="Times New Roman" w:hAnsi="Times New Roman"/>
          <w:sz w:val="20"/>
          <w:szCs w:val="20"/>
          <w:u w:val="single" w:color="auto"/>
          <w:color w:val="0000FF"/>
        </w:rPr>
        <w:t>this</w:t>
      </w:r>
      <w:r>
        <w:rPr>
          <w:rFonts w:ascii="Times New Roman" w:cs="Times New Roman" w:eastAsia="Times New Roman" w:hAnsi="Times New Roman"/>
          <w:sz w:val="20"/>
          <w:szCs w:val="20"/>
          <w:color w:val="auto"/>
        </w:rPr>
        <w:t xml:space="preserve"> Section 2.6</w:t>
      </w:r>
      <w:r>
        <w:rPr>
          <w:rFonts w:ascii="Times New Roman" w:cs="Times New Roman" w:eastAsia="Times New Roman" w:hAnsi="Times New Roman"/>
          <w:sz w:val="20"/>
          <w:szCs w:val="20"/>
          <w:color w:val="FF0000"/>
          <w:strike w:val="1"/>
        </w:rPr>
        <w:t>(a)</w:t>
      </w:r>
      <w:r>
        <w:rPr>
          <w:rFonts w:ascii="Times New Roman" w:cs="Times New Roman" w:eastAsia="Times New Roman" w:hAnsi="Times New Roman"/>
          <w:sz w:val="20"/>
          <w:szCs w:val="20"/>
          <w:color w:val="auto"/>
        </w:rPr>
        <w:t xml:space="preserve"> or Section 7.2, such prepayment may be applied to outstanding Extensions of Credit </w:t>
      </w:r>
      <w:r>
        <w:rPr>
          <w:rFonts w:ascii="Times New Roman" w:cs="Times New Roman" w:eastAsia="Times New Roman" w:hAnsi="Times New Roman"/>
          <w:sz w:val="20"/>
          <w:szCs w:val="20"/>
          <w:u w:val="single" w:color="auto"/>
          <w:color w:val="0000FF"/>
        </w:rPr>
        <w:t>or Foreign Currency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Extensions of Credit, as applicable,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in the order specified by the Borrower.</w:t>
      </w:r>
    </w:p>
    <w:p>
      <w:pPr>
        <w:spacing w:after="0" w:line="175" w:lineRule="exact"/>
        <w:rPr>
          <w:sz w:val="20"/>
          <w:szCs w:val="20"/>
          <w:color w:val="auto"/>
        </w:rPr>
      </w:pPr>
    </w:p>
    <w:p>
      <w:pPr>
        <w:ind w:right="160" w:firstLine="102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FF0000"/>
          <w:strike w:val="1"/>
        </w:rPr>
        <w:t>c</w:t>
      </w:r>
      <w:r>
        <w:rPr>
          <w:rFonts w:ascii="Times New Roman" w:cs="Times New Roman" w:eastAsia="Times New Roman" w:hAnsi="Times New Roman"/>
          <w:sz w:val="20"/>
          <w:szCs w:val="20"/>
          <w:u w:val="single" w:color="auto"/>
          <w:color w:val="0000FF"/>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8000"/>
          <w:strike w:val="1"/>
        </w:rPr>
        <w:t>the last Business Day of each month (</w:t>
      </w:r>
      <w:r>
        <w:rPr>
          <w:rFonts w:ascii="Times New Roman" w:cs="Times New Roman" w:eastAsia="Times New Roman" w:hAnsi="Times New Roman"/>
          <w:sz w:val="20"/>
          <w:szCs w:val="20"/>
          <w:color w:val="FF0000"/>
          <w:strike w:val="1"/>
        </w:rPr>
        <w:t>each an “Adjustment Date”) on which any Letters of Credit denominated in 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Optional Currency are outstanding</w:t>
      </w:r>
      <w:r>
        <w:rPr>
          <w:rFonts w:ascii="Times New Roman" w:cs="Times New Roman" w:eastAsia="Times New Roman" w:hAnsi="Times New Roman"/>
          <w:sz w:val="20"/>
          <w:szCs w:val="20"/>
          <w:color w:val="008000"/>
          <w:strike w:val="1"/>
        </w:rPr>
        <w:t>, the Administrative Agent shall determine</w:t>
      </w:r>
      <w:r>
        <w:rPr>
          <w:rFonts w:ascii="Times New Roman" w:cs="Times New Roman" w:eastAsia="Times New Roman" w:hAnsi="Times New Roman"/>
          <w:sz w:val="20"/>
          <w:szCs w:val="20"/>
          <w:color w:val="FF0000"/>
          <w:strike w:val="1"/>
        </w:rPr>
        <w:t xml:space="preserve"> the Dollar Equivalent of the aggregate outstanding amount of such Letters of Credit as of such day. If, on such Adjustment</w:t>
      </w:r>
      <w:r>
        <w:rPr>
          <w:rFonts w:ascii="Times New Roman" w:cs="Times New Roman" w:eastAsia="Times New Roman" w:hAnsi="Times New Roman"/>
          <w:sz w:val="20"/>
          <w:szCs w:val="20"/>
          <w:u w:val="single" w:color="auto"/>
          <w:color w:val="0000FF"/>
          <w:strike w:val="1"/>
        </w:rPr>
        <w:t>If, on any Calculation</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Date, the sum of (i) 105% of the Dollar Equivalent of</w:t>
      </w:r>
      <w:r>
        <w:rPr>
          <w:rFonts w:ascii="Times New Roman" w:cs="Times New Roman" w:eastAsia="Times New Roman" w:hAnsi="Times New Roman"/>
          <w:sz w:val="20"/>
          <w:szCs w:val="20"/>
          <w:color w:val="FF0000"/>
          <w:strike w:val="1"/>
        </w:rPr>
        <w:t xml:space="preserve"> such</w:t>
      </w:r>
      <w:r>
        <w:rPr>
          <w:rFonts w:ascii="Times New Roman" w:cs="Times New Roman" w:eastAsia="Times New Roman" w:hAnsi="Times New Roman"/>
          <w:sz w:val="20"/>
          <w:szCs w:val="20"/>
          <w:u w:val="single" w:color="auto"/>
          <w:color w:val="0000FF"/>
          <w:strike w:val="1"/>
        </w:rPr>
        <w:t>any outstanding</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Letters of Credit</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denominated in an L/C Foreign Currency</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00"/>
          <w:strike w:val="1"/>
        </w:rPr>
        <w:t>plus</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(ii) the aggregate outstanding Extensions of Credit other</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than such Letters of Credit exceed the Total Commitments then in effect, then the Administrative Agent shall notify the Borrower and within five Business Days of such notice, the Borrower shall prepay Loans or Collateralize Letters of Credit in an aggregate principal or face amount at least equal to such excess.</w:t>
      </w:r>
    </w:p>
    <w:p>
      <w:pPr>
        <w:spacing w:after="0" w:line="187" w:lineRule="exact"/>
        <w:rPr>
          <w:sz w:val="20"/>
          <w:szCs w:val="20"/>
          <w:color w:val="auto"/>
        </w:rPr>
      </w:pPr>
    </w:p>
    <w:p>
      <w:pPr>
        <w:ind w:right="20" w:firstLine="1027"/>
        <w:spacing w:after="0" w:line="257" w:lineRule="auto"/>
        <w:rPr>
          <w:sz w:val="20"/>
          <w:szCs w:val="20"/>
          <w:color w:val="auto"/>
        </w:rPr>
      </w:pPr>
      <w:r>
        <w:rPr>
          <w:rFonts w:ascii="Times New Roman" w:cs="Times New Roman" w:eastAsia="Times New Roman" w:hAnsi="Times New Roman"/>
          <w:sz w:val="19"/>
          <w:szCs w:val="19"/>
          <w:color w:val="auto"/>
        </w:rPr>
        <w:t xml:space="preserve">2.7 </w:t>
      </w:r>
      <w:r>
        <w:rPr>
          <w:rFonts w:ascii="Times New Roman" w:cs="Times New Roman" w:eastAsia="Times New Roman" w:hAnsi="Times New Roman"/>
          <w:sz w:val="19"/>
          <w:szCs w:val="19"/>
          <w:u w:val="single" w:color="auto"/>
          <w:color w:val="auto"/>
        </w:rPr>
        <w:t>Conversion and Continuation Options</w:t>
      </w:r>
      <w:r>
        <w:rPr>
          <w:rFonts w:ascii="Times New Roman" w:cs="Times New Roman" w:eastAsia="Times New Roman" w:hAnsi="Times New Roman"/>
          <w:sz w:val="19"/>
          <w:szCs w:val="19"/>
          <w:color w:val="auto"/>
        </w:rPr>
        <w:t xml:space="preserve">. (a) The Borrower may elect from time to time to convert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Dollar Loans that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are Eurocurrency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Loans to ABR Loans by giving the Administrative Agent prior irrevocable notice of such election no later than 11:00 A.M.,</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New York City time, on the Business Day preceding the proposed conversion date, provided that any such conversion of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Dollar</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Loans that are Eurocurrency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Loans may only be made on the last day of an Interest Period with respect thereto. The Borrower may elect from</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time to time to convert ABR Loans to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Eurocurrency</w:t>
      </w:r>
      <w:r>
        <w:rPr>
          <w:rFonts w:ascii="Times New Roman" w:cs="Times New Roman" w:eastAsia="Times New Roman" w:hAnsi="Times New Roman"/>
          <w:sz w:val="19"/>
          <w:szCs w:val="19"/>
          <w:color w:val="000000"/>
        </w:rPr>
        <w:t xml:space="preserve"> Loans by giving the Administrative Agent prior irrevocable notice of such election no later than 11:00 A.M., New York City time, on the third Business Day preceding the proposed conversion date (which notice shall specify the length of the initial Interest Period therefor), provided that no ABR Loan may be converted into a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Eurocurrency</w:t>
      </w:r>
      <w:r>
        <w:rPr>
          <w:rFonts w:ascii="Times New Roman" w:cs="Times New Roman" w:eastAsia="Times New Roman" w:hAnsi="Times New Roman"/>
          <w:sz w:val="19"/>
          <w:szCs w:val="19"/>
          <w:color w:val="000000"/>
        </w:rPr>
        <w:t xml:space="preserve"> Loan when any Event of Default has occurred and is continuing and the Administrative Agent or the Required Lenders have determined in its or their sole discretion not to permit such conversions. Upon receipt of any such notice the Administrative Agent shall promptly notify each relevant Lender thereof. </w:t>
      </w:r>
      <w:r>
        <w:rPr>
          <w:rFonts w:ascii="Times New Roman" w:cs="Times New Roman" w:eastAsia="Times New Roman" w:hAnsi="Times New Roman"/>
          <w:sz w:val="19"/>
          <w:szCs w:val="19"/>
          <w:u w:val="single" w:color="auto"/>
          <w:color w:val="0000FF"/>
        </w:rPr>
        <w:t>Except as provided in Section 2.21(a), no Eurocurrency Loan may be converted to a Loan denominated in a different currency.</w:t>
      </w:r>
    </w:p>
    <w:p>
      <w:pPr>
        <w:spacing w:after="0" w:line="172" w:lineRule="exact"/>
        <w:rPr>
          <w:sz w:val="20"/>
          <w:szCs w:val="20"/>
          <w:color w:val="auto"/>
        </w:rPr>
      </w:pPr>
    </w:p>
    <w:p>
      <w:pPr>
        <w:ind w:right="20" w:firstLine="1035"/>
        <w:spacing w:after="0" w:line="241" w:lineRule="auto"/>
        <w:tabs>
          <w:tab w:leader="none" w:pos="149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 may be continued as such upon the expiration of the then current Interest Period with respect thereto by the Borrower giving irrevocable notice to the Administrative Agent, in accordance with the applicable provisions of the term “Interest Period” set forth in Section 1.1, of the length of the next Interest Period to be applicable to such Loans</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0"/>
          <w:szCs w:val="20"/>
          <w:color w:val="FF0000"/>
          <w:strike w:val="1"/>
        </w:rPr>
        <w:t>no Eurodollar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8000"/>
          <w:strike w:val="1"/>
        </w:rPr>
        <w:t>Loan may be continued as</w:t>
      </w:r>
      <w:r>
        <w:rPr>
          <w:rFonts w:ascii="Times New Roman" w:cs="Times New Roman" w:eastAsia="Times New Roman" w:hAnsi="Times New Roman"/>
          <w:sz w:val="20"/>
          <w:szCs w:val="20"/>
          <w:color w:val="008000"/>
        </w:rPr>
        <w:t xml:space="preserve"> </w:t>
      </w:r>
      <w:r>
        <w:rPr>
          <w:rFonts w:ascii="Times New Roman" w:cs="Times New Roman" w:eastAsia="Times New Roman" w:hAnsi="Times New Roman"/>
          <w:sz w:val="20"/>
          <w:szCs w:val="20"/>
          <w:color w:val="FF0000"/>
          <w:strike w:val="1"/>
        </w:rPr>
        <w:t>such</w:t>
      </w:r>
      <w:r>
        <w:rPr>
          <w:rFonts w:ascii="Times New Roman" w:cs="Times New Roman" w:eastAsia="Times New Roman" w:hAnsi="Times New Roman"/>
          <w:sz w:val="20"/>
          <w:szCs w:val="20"/>
          <w:color w:val="008000"/>
        </w:rPr>
        <w:t xml:space="preserve"> </w:t>
      </w:r>
      <w:r>
        <w:rPr>
          <w:rFonts w:ascii="Times New Roman" w:cs="Times New Roman" w:eastAsia="Times New Roman" w:hAnsi="Times New Roman"/>
          <w:sz w:val="20"/>
          <w:szCs w:val="20"/>
          <w:color w:val="000000"/>
        </w:rPr>
        <w:t>when any Event of Default has occurred and is continuing and the Administrative Agent or the Required</w:t>
      </w:r>
      <w:r>
        <w:rPr>
          <w:rFonts w:ascii="Times New Roman" w:cs="Times New Roman" w:eastAsia="Times New Roman" w:hAnsi="Times New Roman"/>
          <w:sz w:val="20"/>
          <w:szCs w:val="20"/>
          <w:color w:val="008000"/>
        </w:rPr>
        <w:t xml:space="preserve"> </w:t>
      </w:r>
      <w:r>
        <w:rPr>
          <w:rFonts w:ascii="Times New Roman" w:cs="Times New Roman" w:eastAsia="Times New Roman" w:hAnsi="Times New Roman"/>
          <w:sz w:val="20"/>
          <w:szCs w:val="20"/>
          <w:color w:val="000000"/>
        </w:rPr>
        <w:t>Lenders have determined in its or their sole discretion not to permit such continuations</w:t>
      </w:r>
      <w:r>
        <w:rPr>
          <w:rFonts w:ascii="Times New Roman" w:cs="Times New Roman" w:eastAsia="Times New Roman" w:hAnsi="Times New Roman"/>
          <w:sz w:val="20"/>
          <w:szCs w:val="20"/>
          <w:color w:val="FF0000"/>
          <w:strike w:val="1"/>
        </w:rPr>
        <w:t>, and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0000FF"/>
        </w:rPr>
        <w:t>(i) no Eurocurrency Loan may be continued as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 xml:space="preserve">such, (ii) unless repaid, each Eurocurrency Loan that is a Dollar Loan shall be converted to an ABR Loan on the last day of the Interest Period applicable thereto and (iii) each Foreign Currency Loan shall be due and payable on the last day of the Interest Period applicable thereto;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further</w:t>
      </w:r>
      <w:r>
        <w:rPr>
          <w:rFonts w:ascii="Times New Roman" w:cs="Times New Roman" w:eastAsia="Times New Roman" w:hAnsi="Times New Roman"/>
          <w:sz w:val="20"/>
          <w:szCs w:val="20"/>
          <w:color w:val="000000"/>
        </w:rPr>
        <w:t xml:space="preserve">, that </w:t>
      </w:r>
      <w:r>
        <w:rPr>
          <w:rFonts w:ascii="Times New Roman" w:cs="Times New Roman" w:eastAsia="Times New Roman" w:hAnsi="Times New Roman"/>
          <w:sz w:val="20"/>
          <w:szCs w:val="20"/>
          <w:u w:val="single" w:color="auto"/>
          <w:color w:val="0000FF"/>
        </w:rPr>
        <w:t>(i)</w:t>
      </w:r>
      <w:r>
        <w:rPr>
          <w:rFonts w:ascii="Times New Roman" w:cs="Times New Roman" w:eastAsia="Times New Roman" w:hAnsi="Times New Roman"/>
          <w:sz w:val="20"/>
          <w:szCs w:val="20"/>
          <w:color w:val="000000"/>
        </w:rPr>
        <w:t xml:space="preserve"> if the Borrower shall fail to give any required notice as described above in this paragraph </w:t>
      </w:r>
      <w:r>
        <w:rPr>
          <w:rFonts w:ascii="Times New Roman" w:cs="Times New Roman" w:eastAsia="Times New Roman" w:hAnsi="Times New Roman"/>
          <w:sz w:val="20"/>
          <w:szCs w:val="20"/>
          <w:color w:val="FF0000"/>
          <w:strike w:val="1"/>
        </w:rPr>
        <w:t>or if such continuation is not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permitted pursuant to the preceding proviso such</w:t>
      </w:r>
      <w:r>
        <w:rPr>
          <w:rFonts w:ascii="Times New Roman" w:cs="Times New Roman" w:eastAsia="Times New Roman" w:hAnsi="Times New Roman"/>
          <w:sz w:val="20"/>
          <w:szCs w:val="20"/>
          <w:u w:val="single" w:color="auto"/>
          <w:color w:val="0000FF"/>
        </w:rPr>
        <w:t>with respect to any Dollar Loans that are Eurocurrency Loans, such Dollar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Loans shall be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automatically converted to ABR Loans on the last day of such then expiring Interest Period </w:t>
      </w:r>
      <w:r>
        <w:rPr>
          <w:rFonts w:ascii="Times New Roman" w:cs="Times New Roman" w:eastAsia="Times New Roman" w:hAnsi="Times New Roman"/>
          <w:sz w:val="20"/>
          <w:szCs w:val="20"/>
          <w:color w:val="0000FF"/>
        </w:rPr>
        <w:t>and (ii) if the Borrower shall fail to give any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required notice as described above in this paragraph with respect to any Foreign Currency Loans, such Foreign Currency Loans shall be automatically continued as Eurocurrency Loans with an Interest Period of three months’ duration</w:t>
      </w:r>
      <w:r>
        <w:rPr>
          <w:rFonts w:ascii="Times New Roman" w:cs="Times New Roman" w:eastAsia="Times New Roman" w:hAnsi="Times New Roman"/>
          <w:sz w:val="20"/>
          <w:szCs w:val="20"/>
          <w:color w:val="FF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Upon receipt of any such notice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Administrative Agent shall promptly notify each relevant Lender thereof. </w:t>
      </w:r>
      <w:r>
        <w:rPr>
          <w:rFonts w:ascii="Times New Roman" w:cs="Times New Roman" w:eastAsia="Times New Roman" w:hAnsi="Times New Roman"/>
          <w:sz w:val="20"/>
          <w:szCs w:val="20"/>
          <w:color w:val="0000FF"/>
        </w:rPr>
        <w:t>No Eurocurrency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8000"/>
        </w:rPr>
        <w:t>Loan may be continued as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a Loan denominated in a</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different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-1300480</wp:posOffset>
            </wp:positionV>
            <wp:extent cx="23755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-1334770</wp:posOffset>
            </wp:positionV>
            <wp:extent cx="237299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372995"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-571500</wp:posOffset>
            </wp:positionV>
            <wp:extent cx="22555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255520" cy="8890"/>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-605790</wp:posOffset>
            </wp:positionV>
            <wp:extent cx="22618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26187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-133985</wp:posOffset>
            </wp:positionV>
            <wp:extent cx="9347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3694430</wp:posOffset>
            </wp:positionH>
            <wp:positionV relativeFrom="paragraph">
              <wp:posOffset>-168275</wp:posOffset>
            </wp:positionV>
            <wp:extent cx="93154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31545" cy="88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w:t>
      </w:r>
    </w:p>
    <w:p>
      <w:pPr>
        <w:spacing w:after="0" w:line="238" w:lineRule="exact"/>
        <w:rPr>
          <w:sz w:val="20"/>
          <w:szCs w:val="20"/>
          <w:color w:val="auto"/>
        </w:rPr>
      </w:pPr>
    </w:p>
    <w:p>
      <w:pPr>
        <w:ind w:right="40" w:firstLine="1027"/>
        <w:spacing w:after="0" w:line="260" w:lineRule="auto"/>
        <w:rPr>
          <w:sz w:val="20"/>
          <w:szCs w:val="20"/>
          <w:color w:val="auto"/>
        </w:rPr>
      </w:pPr>
      <w:r>
        <w:rPr>
          <w:rFonts w:ascii="Times New Roman" w:cs="Times New Roman" w:eastAsia="Times New Roman" w:hAnsi="Times New Roman"/>
          <w:sz w:val="19"/>
          <w:szCs w:val="19"/>
          <w:color w:val="auto"/>
        </w:rPr>
        <w:t xml:space="preserve">2.8 </w:t>
      </w:r>
      <w:r>
        <w:rPr>
          <w:rFonts w:ascii="Times New Roman" w:cs="Times New Roman" w:eastAsia="Times New Roman" w:hAnsi="Times New Roman"/>
          <w:sz w:val="19"/>
          <w:szCs w:val="19"/>
          <w:u w:val="single" w:color="auto"/>
          <w:color w:val="auto"/>
        </w:rPr>
        <w:t>Limitations 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DE1A1E"/>
          <w:strike w:val="1"/>
        </w:rPr>
        <w:t>Eurodollar</w:t>
      </w:r>
      <w:r>
        <w:rPr>
          <w:rFonts w:ascii="Times New Roman" w:cs="Times New Roman" w:eastAsia="Times New Roman" w:hAnsi="Times New Roman"/>
          <w:sz w:val="19"/>
          <w:szCs w:val="19"/>
          <w:u w:val="single" w:color="auto"/>
          <w:color w:val="0000FF"/>
        </w:rPr>
        <w:t>Eurocurrency</w:t>
      </w:r>
      <w:r>
        <w:rPr>
          <w:rFonts w:ascii="Times New Roman" w:cs="Times New Roman" w:eastAsia="Times New Roman" w:hAnsi="Times New Roman"/>
          <w:sz w:val="19"/>
          <w:szCs w:val="19"/>
          <w:color w:val="auto"/>
        </w:rPr>
        <w:t xml:space="preserve"> Tranches. Notwithstanding anything to the contrary in this Agreement, all borrowings, conversions and continuations of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Eurocurrency</w:t>
      </w:r>
      <w:r>
        <w:rPr>
          <w:rFonts w:ascii="Times New Roman" w:cs="Times New Roman" w:eastAsia="Times New Roman" w:hAnsi="Times New Roman"/>
          <w:sz w:val="19"/>
          <w:szCs w:val="19"/>
          <w:color w:val="auto"/>
        </w:rPr>
        <w:t xml:space="preserve"> Loans and all selections of Interest Periods shall be in such amounts and be made pursuant to such elections so that, </w:t>
      </w:r>
      <w:r>
        <w:rPr>
          <w:rFonts w:ascii="Times New Roman" w:cs="Times New Roman" w:eastAsia="Times New Roman" w:hAnsi="Times New Roman"/>
          <w:sz w:val="19"/>
          <w:szCs w:val="19"/>
          <w:color w:val="FF0000"/>
          <w:strike w:val="1"/>
        </w:rPr>
        <w:t>(a)</w:t>
      </w:r>
      <w:r>
        <w:rPr>
          <w:rFonts w:ascii="Times New Roman" w:cs="Times New Roman" w:eastAsia="Times New Roman" w:hAnsi="Times New Roman"/>
          <w:sz w:val="19"/>
          <w:szCs w:val="19"/>
          <w:color w:val="auto"/>
        </w:rPr>
        <w:t xml:space="preserve"> after giving effect thereto, </w:t>
      </w:r>
      <w:r>
        <w:rPr>
          <w:rFonts w:ascii="Times New Roman" w:cs="Times New Roman" w:eastAsia="Times New Roman" w:hAnsi="Times New Roman"/>
          <w:sz w:val="19"/>
          <w:szCs w:val="19"/>
          <w:u w:val="single" w:color="auto"/>
          <w:color w:val="0000FF"/>
        </w:rPr>
        <w:t>(a)</w:t>
      </w:r>
      <w:r>
        <w:rPr>
          <w:rFonts w:ascii="Times New Roman" w:cs="Times New Roman" w:eastAsia="Times New Roman" w:hAnsi="Times New Roman"/>
          <w:sz w:val="19"/>
          <w:szCs w:val="19"/>
          <w:color w:val="auto"/>
        </w:rPr>
        <w:t xml:space="preserve"> the aggregate principal amount of </w:t>
      </w:r>
      <w:r>
        <w:rPr>
          <w:rFonts w:ascii="Times New Roman" w:cs="Times New Roman" w:eastAsia="Times New Roman" w:hAnsi="Times New Roman"/>
          <w:sz w:val="19"/>
          <w:szCs w:val="19"/>
          <w:color w:val="FF0000"/>
          <w:strike w:val="1"/>
        </w:rPr>
        <w:t>the Eurodollar</w:t>
      </w:r>
      <w:r>
        <w:rPr>
          <w:rFonts w:ascii="Times New Roman" w:cs="Times New Roman" w:eastAsia="Times New Roman" w:hAnsi="Times New Roman"/>
          <w:sz w:val="19"/>
          <w:szCs w:val="19"/>
          <w:u w:val="single" w:color="auto"/>
          <w:color w:val="0000FF"/>
        </w:rPr>
        <w:t>Dollar Loans that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are Eurocurrency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Loans comprising each</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Eurocurrency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Tranche shall be equal to $5,000,000 or a whole multiple of $1,000,000 in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excess thereof </w:t>
      </w:r>
      <w:r>
        <w:rPr>
          <w:rFonts w:ascii="Times New Roman" w:cs="Times New Roman" w:eastAsia="Times New Roman" w:hAnsi="Times New Roman"/>
          <w:sz w:val="19"/>
          <w:szCs w:val="19"/>
          <w:color w:val="FF0000"/>
        </w:rPr>
        <w:t>and</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000000"/>
        </w:rPr>
        <w:t xml:space="preserve"> (b) </w:t>
      </w:r>
      <w:r>
        <w:rPr>
          <w:rFonts w:ascii="Times New Roman" w:cs="Times New Roman" w:eastAsia="Times New Roman" w:hAnsi="Times New Roman"/>
          <w:sz w:val="19"/>
          <w:szCs w:val="19"/>
          <w:u w:val="single" w:color="auto"/>
          <w:color w:val="0000FF"/>
        </w:rPr>
        <w:t>the Dollar Equivalent of the aggregate principal amount of Foreign Currency Loans comprising each Eurocurrency</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Tranche shall be at least equal to $5,000,000 and (c)</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no more than ten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Eurocurrency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Tranches shall be outstanding at any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-226060</wp:posOffset>
            </wp:positionV>
            <wp:extent cx="2127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2725" cy="8890"/>
                    </a:xfrm>
                    <a:prstGeom prst="rect">
                      <a:avLst/>
                    </a:prstGeom>
                    <a:noFill/>
                  </pic:spPr>
                </pic:pic>
              </a:graphicData>
            </a:graphic>
          </wp:anchor>
        </w:drawing>
      </w:r>
    </w:p>
    <w:p>
      <w:pPr>
        <w:spacing w:after="0" w:line="154" w:lineRule="exact"/>
        <w:rPr>
          <w:sz w:val="20"/>
          <w:szCs w:val="20"/>
          <w:color w:val="auto"/>
        </w:rPr>
      </w:pPr>
    </w:p>
    <w:p>
      <w:pPr>
        <w:ind w:right="160" w:firstLine="1027"/>
        <w:spacing w:after="0" w:line="254" w:lineRule="auto"/>
        <w:rPr>
          <w:sz w:val="20"/>
          <w:szCs w:val="20"/>
          <w:color w:val="auto"/>
        </w:rPr>
      </w:pPr>
      <w:r>
        <w:rPr>
          <w:rFonts w:ascii="Times New Roman" w:cs="Times New Roman" w:eastAsia="Times New Roman" w:hAnsi="Times New Roman"/>
          <w:sz w:val="20"/>
          <w:szCs w:val="20"/>
          <w:color w:val="auto"/>
        </w:rPr>
        <w:t xml:space="preserve">2.9 </w:t>
      </w:r>
      <w:r>
        <w:rPr>
          <w:rFonts w:ascii="Times New Roman" w:cs="Times New Roman" w:eastAsia="Times New Roman" w:hAnsi="Times New Roman"/>
          <w:sz w:val="20"/>
          <w:szCs w:val="20"/>
          <w:u w:val="single" w:color="auto"/>
          <w:color w:val="auto"/>
        </w:rPr>
        <w:t>Interest Rates and Payment Dates</w:t>
      </w:r>
      <w:r>
        <w:rPr>
          <w:rFonts w:ascii="Times New Roman" w:cs="Times New Roman" w:eastAsia="Times New Roman" w:hAnsi="Times New Roman"/>
          <w:sz w:val="20"/>
          <w:szCs w:val="20"/>
          <w:color w:val="auto"/>
        </w:rPr>
        <w:t xml:space="preserve">. (a) Each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 shall bear interest for each day during each Interest Period with respect thereto at a rate per annum equal to the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Rate determined for such day plus the Applicable Margin.</w:t>
      </w:r>
    </w:p>
    <w:p>
      <w:pPr>
        <w:spacing w:after="0" w:line="175" w:lineRule="exact"/>
        <w:rPr>
          <w:sz w:val="20"/>
          <w:szCs w:val="20"/>
          <w:color w:val="auto"/>
        </w:rPr>
      </w:pPr>
    </w:p>
    <w:p>
      <w:pPr>
        <w:ind w:right="500" w:firstLine="1035"/>
        <w:spacing w:after="0" w:line="269" w:lineRule="auto"/>
        <w:tabs>
          <w:tab w:leader="none" w:pos="1505"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ABR Loan shall bear interest for each day at a rate per annum equal to the ABR determined for such day plus the Applicable Margin.</w:t>
      </w:r>
    </w:p>
    <w:p>
      <w:pPr>
        <w:spacing w:after="0" w:line="159" w:lineRule="exact"/>
        <w:rPr>
          <w:rFonts w:ascii="Times New Roman" w:cs="Times New Roman" w:eastAsia="Times New Roman" w:hAnsi="Times New Roman"/>
          <w:sz w:val="20"/>
          <w:szCs w:val="20"/>
          <w:color w:val="auto"/>
        </w:rPr>
      </w:pPr>
    </w:p>
    <w:p>
      <w:pPr>
        <w:ind w:firstLine="1035"/>
        <w:spacing w:after="0" w:line="242" w:lineRule="auto"/>
        <w:tabs>
          <w:tab w:leader="none" w:pos="1445"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If all or a portion of the principal amount of any Loan or Reimbursement Obligation shall not be paid when due (whether at the stated maturity, by acceleration or otherwise) all outstanding Loans and Reimbursement Obligations (whether or not overdue) shall bear interest at a rate per annum equal to (x) in the case of the Loans, the rate that would otherwise be applicable thereto pursuant to the foregoing provisions of this Section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or (y) in the case of Reimbursement Obligations, the rate applicable to ABR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and (ii) </w:t>
      </w:r>
      <w:r>
        <w:rPr>
          <w:rFonts w:ascii="Times New Roman" w:cs="Times New Roman" w:eastAsia="Times New Roman" w:hAnsi="Times New Roman"/>
          <w:sz w:val="20"/>
          <w:szCs w:val="20"/>
          <w:u w:val="single" w:color="auto"/>
          <w:color w:val="0000FF"/>
        </w:rPr>
        <w:t>(x)</w:t>
      </w:r>
      <w:r>
        <w:rPr>
          <w:rFonts w:ascii="Times New Roman" w:cs="Times New Roman" w:eastAsia="Times New Roman" w:hAnsi="Times New Roman"/>
          <w:sz w:val="20"/>
          <w:szCs w:val="20"/>
          <w:color w:val="auto"/>
        </w:rPr>
        <w:t xml:space="preserve"> if all or a portion of any interest payable on any </w:t>
      </w:r>
      <w:r>
        <w:rPr>
          <w:rFonts w:ascii="Times New Roman" w:cs="Times New Roman" w:eastAsia="Times New Roman" w:hAnsi="Times New Roman"/>
          <w:sz w:val="20"/>
          <w:szCs w:val="20"/>
          <w:u w:val="single" w:color="auto"/>
          <w:color w:val="0000FF"/>
        </w:rPr>
        <w:t>Dollar</w:t>
      </w:r>
      <w:r>
        <w:rPr>
          <w:rFonts w:ascii="Times New Roman" w:cs="Times New Roman" w:eastAsia="Times New Roman" w:hAnsi="Times New Roman"/>
          <w:sz w:val="20"/>
          <w:szCs w:val="20"/>
          <w:color w:val="auto"/>
        </w:rPr>
        <w:t xml:space="preserve"> Loan or Reimbursement Obligation or any commitment fee or other amount payable hereunder </w:t>
      </w:r>
      <w:r>
        <w:rPr>
          <w:rFonts w:ascii="Times New Roman" w:cs="Times New Roman" w:eastAsia="Times New Roman" w:hAnsi="Times New Roman"/>
          <w:sz w:val="20"/>
          <w:szCs w:val="20"/>
          <w:u w:val="single" w:color="auto"/>
          <w:color w:val="0000FF"/>
        </w:rPr>
        <w:t>in Dollars</w:t>
      </w:r>
      <w:r>
        <w:rPr>
          <w:rFonts w:ascii="Times New Roman" w:cs="Times New Roman" w:eastAsia="Times New Roman" w:hAnsi="Times New Roman"/>
          <w:sz w:val="20"/>
          <w:szCs w:val="20"/>
          <w:color w:val="auto"/>
        </w:rPr>
        <w:t xml:space="preserve"> shall not be paid when due (whether at the stated maturity, by acceleration or otherwise), such overdue amount (in the case of any Reimbursement Obligations converted into Dollars on the applicable Reimbursement Date if necessary) shall bear interest at a rate per annum equal to the rate then applicable to ABR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w:t>
      </w:r>
      <w:r>
        <w:rPr>
          <w:rFonts w:ascii="Times New Roman" w:cs="Times New Roman" w:eastAsia="Times New Roman" w:hAnsi="Times New Roman"/>
          <w:sz w:val="20"/>
          <w:szCs w:val="20"/>
          <w:color w:val="0000FF"/>
        </w:rPr>
        <w:t>and (y) if all or a portion of any interest payable on any Foreign Currency 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or other amount payable hereunder in any Foreign Currency shall not be paid when due (whether at the stated maturity, by acceleration or otherwise), such overdue amount shall bear interest at a rate per annum equal to the rate that would otherwise be applicable to Foreign Currency Loans plus 2%</w:t>
      </w:r>
      <w:r>
        <w:rPr>
          <w:rFonts w:ascii="Times New Roman" w:cs="Times New Roman" w:eastAsia="Times New Roman" w:hAnsi="Times New Roman"/>
          <w:sz w:val="20"/>
          <w:szCs w:val="20"/>
          <w:color w:val="000000"/>
        </w:rPr>
        <w:t>, in each case, with respect to clauses (i) and (ii) above, from the date of such non-payment until such amount is paid in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full (as well after as before judgment).</w:t>
      </w:r>
    </w:p>
    <w:p>
      <w:pPr>
        <w:spacing w:after="0" w:line="188" w:lineRule="exact"/>
        <w:rPr>
          <w:rFonts w:ascii="Times New Roman" w:cs="Times New Roman" w:eastAsia="Times New Roman" w:hAnsi="Times New Roman"/>
          <w:sz w:val="20"/>
          <w:szCs w:val="20"/>
          <w:color w:val="auto"/>
        </w:rPr>
      </w:pPr>
    </w:p>
    <w:p>
      <w:pPr>
        <w:ind w:left="1520" w:hanging="485"/>
        <w:spacing w:after="0"/>
        <w:tabs>
          <w:tab w:leader="none" w:pos="152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shall be payable in arrears on each Interest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interest accruing pursuant to paragraph</w:t>
      </w:r>
    </w:p>
    <w:p>
      <w:pPr>
        <w:spacing w:after="0" w:line="21" w:lineRule="exact"/>
        <w:rPr>
          <w:rFonts w:ascii="Times New Roman" w:cs="Times New Roman" w:eastAsia="Times New Roman" w:hAnsi="Times New Roman"/>
          <w:sz w:val="20"/>
          <w:szCs w:val="20"/>
          <w:color w:val="auto"/>
        </w:rPr>
      </w:pPr>
    </w:p>
    <w:p>
      <w:pPr>
        <w:ind w:right="180" w:firstLine="8"/>
        <w:spacing w:after="0" w:line="246" w:lineRule="auto"/>
        <w:tabs>
          <w:tab w:leader="none" w:pos="269"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this Section shall be payable from time to time on demand. If any Letters of Credit remain outstanding on the Termination Date the fees in respect thereof shall be payable from time to time on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-1155700</wp:posOffset>
            </wp:positionV>
            <wp:extent cx="403034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030345" cy="8890"/>
                    </a:xfrm>
                    <a:prstGeom prst="rect">
                      <a:avLst/>
                    </a:prstGeom>
                    <a:noFill/>
                  </pic:spPr>
                </pic:pic>
              </a:graphicData>
            </a:graphic>
          </wp:anchor>
        </w:drawing>
        <w:drawing>
          <wp:anchor simplePos="0" relativeHeight="251657728" behindDoc="1" locked="0" layoutInCell="0" allowOverlap="1">
            <wp:simplePos x="0" y="0"/>
            <wp:positionH relativeFrom="column">
              <wp:posOffset>3177540</wp:posOffset>
            </wp:positionH>
            <wp:positionV relativeFrom="paragraph">
              <wp:posOffset>-1189990</wp:posOffset>
            </wp:positionV>
            <wp:extent cx="402780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027805" cy="8890"/>
                    </a:xfrm>
                    <a:prstGeom prst="rect">
                      <a:avLst/>
                    </a:prstGeom>
                    <a:noFill/>
                  </pic:spPr>
                </pic:pic>
              </a:graphicData>
            </a:graphic>
          </wp:anchor>
        </w:drawing>
      </w:r>
    </w:p>
    <w:p>
      <w:pPr>
        <w:spacing w:after="0" w:line="162" w:lineRule="exact"/>
        <w:rPr>
          <w:sz w:val="20"/>
          <w:szCs w:val="20"/>
          <w:color w:val="auto"/>
        </w:rPr>
      </w:pPr>
    </w:p>
    <w:p>
      <w:pPr>
        <w:ind w:firstLine="1027"/>
        <w:spacing w:after="0" w:line="247" w:lineRule="auto"/>
        <w:rPr>
          <w:sz w:val="20"/>
          <w:szCs w:val="20"/>
          <w:color w:val="auto"/>
        </w:rPr>
      </w:pPr>
      <w:r>
        <w:rPr>
          <w:rFonts w:ascii="Times New Roman" w:cs="Times New Roman" w:eastAsia="Times New Roman" w:hAnsi="Times New Roman"/>
          <w:sz w:val="20"/>
          <w:szCs w:val="20"/>
          <w:color w:val="auto"/>
        </w:rPr>
        <w:t xml:space="preserve">2.10 </w:t>
      </w:r>
      <w:r>
        <w:rPr>
          <w:rFonts w:ascii="Times New Roman" w:cs="Times New Roman" w:eastAsia="Times New Roman" w:hAnsi="Times New Roman"/>
          <w:sz w:val="20"/>
          <w:szCs w:val="20"/>
          <w:u w:val="single" w:color="auto"/>
          <w:color w:val="auto"/>
        </w:rPr>
        <w:t>Computation of Interest and Fees</w:t>
      </w:r>
      <w:r>
        <w:rPr>
          <w:rFonts w:ascii="Times New Roman" w:cs="Times New Roman" w:eastAsia="Times New Roman" w:hAnsi="Times New Roman"/>
          <w:sz w:val="20"/>
          <w:szCs w:val="20"/>
          <w:color w:val="auto"/>
        </w:rPr>
        <w:t>. (a) Interest and fees payable pursuant hereto shall be calculated on the basis of a 360-day year for the actual days elapsed, except that</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(i)</w:t>
      </w:r>
      <w:r>
        <w:rPr>
          <w:rFonts w:ascii="Times New Roman" w:cs="Times New Roman" w:eastAsia="Times New Roman" w:hAnsi="Times New Roman"/>
          <w:sz w:val="20"/>
          <w:szCs w:val="20"/>
          <w:color w:val="auto"/>
        </w:rPr>
        <w:t xml:space="preserve"> with respect to ABR Loans the rate of interest on which is calculated on the basis of the Prime Rate, the interest thereon shall be calculated on the basis of a 365- (or 366-, as the case may be) day year for the actual days elapsed </w:t>
      </w:r>
      <w:r>
        <w:rPr>
          <w:rFonts w:ascii="Times New Roman" w:cs="Times New Roman" w:eastAsia="Times New Roman" w:hAnsi="Times New Roman"/>
          <w:sz w:val="20"/>
          <w:szCs w:val="20"/>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6635750</wp:posOffset>
            </wp:positionH>
            <wp:positionV relativeFrom="paragraph">
              <wp:posOffset>-24130</wp:posOffset>
            </wp:positionV>
            <wp:extent cx="2127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2725" cy="8890"/>
                    </a:xfrm>
                    <a:prstGeom prst="rect">
                      <a:avLst/>
                    </a:prstGeom>
                    <a:noFill/>
                  </pic:spPr>
                </pic:pic>
              </a:graphicData>
            </a:graphic>
          </wp:anchor>
        </w:drawing>
      </w:r>
    </w:p>
    <w:p>
      <w:pPr>
        <w:ind w:firstLine="8"/>
        <w:spacing w:after="0"/>
        <w:tabs>
          <w:tab w:leader="none" w:pos="291" w:val="left"/>
        </w:tabs>
        <w:numPr>
          <w:ilvl w:val="0"/>
          <w:numId w:val="8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with respect to Foreign Currency Loans denominated in Pounds Sterling or Australian Dollars, the interest thereon shall be calculated on the basis of a 365 day year for the actual days elapsed</w:t>
      </w:r>
      <w:r>
        <w:rPr>
          <w:rFonts w:ascii="Times New Roman" w:cs="Times New Roman" w:eastAsia="Times New Roman" w:hAnsi="Times New Roman"/>
          <w:sz w:val="20"/>
          <w:szCs w:val="20"/>
          <w:color w:val="000000"/>
        </w:rPr>
        <w:t>. The Administrative Agent shall as soon as practicable notify the Borrower and the relevant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Lenders of each determination of a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000000"/>
        </w:rPr>
        <w:t xml:space="preserve"> Rate. Any change in the interest rate on a Loan resulting from a change in the ABR or the Eurocurrency Reserve Requirements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6634480</wp:posOffset>
            </wp:positionH>
            <wp:positionV relativeFrom="paragraph">
              <wp:posOffset>-866775</wp:posOffset>
            </wp:positionV>
            <wp:extent cx="21463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43</w:t>
      </w:r>
    </w:p>
    <w:p>
      <w:pPr>
        <w:spacing w:after="0" w:line="238" w:lineRule="exact"/>
        <w:rPr>
          <w:sz w:val="20"/>
          <w:szCs w:val="20"/>
          <w:color w:val="auto"/>
        </w:rPr>
      </w:pPr>
    </w:p>
    <w:p>
      <w:pPr>
        <w:ind w:right="140" w:firstLine="1035"/>
        <w:spacing w:after="0" w:line="245" w:lineRule="auto"/>
        <w:tabs>
          <w:tab w:leader="none" w:pos="150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determination of an interest rate by the Administrative Agent pursuant to any provision of this Agreement shall be conclusive and binding on the Borrower and the Lenders in the absence of manifest error. The Administrative Agent shall deliver to the Borrower at least one Business Day prior to the related Payment Date a statement showing the quotations used by the Administrative Agent in determining (i) any interest rate pursuant to Section 2.9(a) and (ii) any interest rate pursuant to Section 2.9(b) when clause (b) or (c) of the definition of ABR is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provide any such statement shall not relieve the Borrower of its obligation to pay any such amounts due under Section 2.9 as and when the same become due pursuant to the terms hereof.</w:t>
      </w:r>
    </w:p>
    <w:p>
      <w:pPr>
        <w:spacing w:after="0" w:line="185" w:lineRule="exact"/>
        <w:rPr>
          <w:rFonts w:ascii="Times New Roman" w:cs="Times New Roman" w:eastAsia="Times New Roman" w:hAnsi="Times New Roman"/>
          <w:sz w:val="20"/>
          <w:szCs w:val="20"/>
          <w:color w:val="auto"/>
        </w:rPr>
      </w:pPr>
    </w:p>
    <w:p>
      <w:pPr>
        <w:jc w:val="both"/>
        <w:ind w:right="340" w:firstLine="1035"/>
        <w:spacing w:after="0" w:line="249" w:lineRule="auto"/>
        <w:tabs>
          <w:tab w:leader="none" w:pos="1491"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provide to the Borrower at least one Business Day prior to each Interest Payment Date, a statement of the amounts due on such date pursuant to Sections 2.3, 2.9, and 3.3,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provide any such statement shall not relieve the Borrower of its obligation to pay any such amounts as and when the same become due pursuant to the terms hereof.</w:t>
      </w:r>
    </w:p>
    <w:p>
      <w:pPr>
        <w:spacing w:after="0" w:line="180" w:lineRule="exact"/>
        <w:rPr>
          <w:sz w:val="20"/>
          <w:szCs w:val="20"/>
          <w:color w:val="auto"/>
        </w:rPr>
      </w:pPr>
    </w:p>
    <w:p>
      <w:pPr>
        <w:ind w:right="60" w:firstLine="1027"/>
        <w:spacing w:after="0" w:line="242" w:lineRule="auto"/>
        <w:rPr>
          <w:sz w:val="20"/>
          <w:szCs w:val="20"/>
          <w:color w:val="auto"/>
        </w:rPr>
      </w:pPr>
      <w:r>
        <w:rPr>
          <w:rFonts w:ascii="Times New Roman" w:cs="Times New Roman" w:eastAsia="Times New Roman" w:hAnsi="Times New Roman"/>
          <w:sz w:val="20"/>
          <w:szCs w:val="20"/>
          <w:u w:val="single" w:color="auto"/>
          <w:color w:val="0000FF"/>
        </w:rPr>
        <w:t xml:space="preserve">2.11 Market Disruption; </w:t>
      </w:r>
      <w:r>
        <w:rPr>
          <w:rFonts w:ascii="Times New Roman" w:cs="Times New Roman" w:eastAsia="Times New Roman" w:hAnsi="Times New Roman"/>
          <w:sz w:val="20"/>
          <w:szCs w:val="20"/>
          <w:u w:val="single" w:color="auto"/>
          <w:color w:val="008000"/>
        </w:rPr>
        <w:t>Inability to Determine Interest Rate; Illegality</w:t>
      </w:r>
      <w:r>
        <w:rPr>
          <w:rFonts w:ascii="Times New Roman" w:cs="Times New Roman" w:eastAsia="Times New Roman" w:hAnsi="Times New Roman"/>
          <w:sz w:val="20"/>
          <w:szCs w:val="20"/>
          <w:u w:val="single" w:color="auto"/>
          <w:color w:val="0000FF"/>
        </w:rPr>
        <w:t xml:space="preserve">. (a) If at the time that the Administrative Agent shall seek to determine the relevant Screen Rate on the Quotation Day for any Interest Period for a Eurocurrency Loan in Dollars or any Foreign Currency, the applicable Screen Rate shall not be available for such Interest Period with respect to such currency for any reason and the Administrative Agent shall reasonably determine that it is not possible to determine the Interpolated Rate for such Interest Period with respect to such currency (which conclusion shall be conclusive and binding absent manifest error), then the Reference Bank Rate shall be the Eurocurrency Base Rate for such Interest Period for such Eurocurrency Loan in such currency; provided that if any Reference Bank </w:t>
      </w:r>
      <w:r>
        <w:rPr>
          <w:rFonts w:ascii="Times New Roman" w:cs="Times New Roman" w:eastAsia="Times New Roman" w:hAnsi="Times New Roman"/>
          <w:sz w:val="20"/>
          <w:szCs w:val="20"/>
          <w:u w:val="single" w:color="auto"/>
          <w:color w:val="008000"/>
        </w:rPr>
        <w:t>Rate shall</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be less than zero, such rate shall be deemed to be zero for purposes of this Agreement</w:t>
      </w:r>
      <w:r>
        <w:rPr>
          <w:rFonts w:ascii="Times New Roman" w:cs="Times New Roman" w:eastAsia="Times New Roman" w:hAnsi="Times New Roman"/>
          <w:sz w:val="20"/>
          <w:szCs w:val="20"/>
          <w:u w:val="single" w:color="auto"/>
          <w:color w:val="0000FF"/>
        </w:rPr>
        <w:t>; provided, further, that if, as of the Specified Time on the</w:t>
      </w:r>
      <w:r>
        <w:rPr>
          <w:rFonts w:ascii="Times New Roman" w:cs="Times New Roman" w:eastAsia="Times New Roman" w:hAnsi="Times New Roman"/>
          <w:sz w:val="20"/>
          <w:szCs w:val="20"/>
          <w:u w:val="single" w:color="auto"/>
          <w:color w:val="008000"/>
        </w:rPr>
        <w:t xml:space="preserve"> </w:t>
      </w:r>
      <w:r>
        <w:rPr>
          <w:rFonts w:ascii="Times New Roman" w:cs="Times New Roman" w:eastAsia="Times New Roman" w:hAnsi="Times New Roman"/>
          <w:sz w:val="20"/>
          <w:szCs w:val="20"/>
          <w:u w:val="single" w:color="auto"/>
          <w:color w:val="0000FF"/>
        </w:rPr>
        <w:t>Quotation Day for such Interest Period, less than two Reference Banks shall have supplied a Submitted Reference Bank Rate to the Administrative Agent for purposes of determining the Eurocurrency Base Rate for such Eurocurrency Loan in such currency, the Administrative Agent shall be deemed to have determined that adequate and reasonable means do not exist for ascertaining the Eurocurrency Base Rate for such Eurocurrency Loan in such currency for such Interest Period and Section 2.11(b)(i) shall apply.</w:t>
      </w:r>
    </w:p>
    <w:p>
      <w:pPr>
        <w:spacing w:after="0" w:line="191" w:lineRule="exact"/>
        <w:rPr>
          <w:sz w:val="20"/>
          <w:szCs w:val="20"/>
          <w:color w:val="auto"/>
        </w:rPr>
      </w:pPr>
    </w:p>
    <w:p>
      <w:pPr>
        <w:ind w:right="300" w:firstLine="1027"/>
        <w:spacing w:after="0" w:line="269" w:lineRule="auto"/>
        <w:rPr>
          <w:sz w:val="20"/>
          <w:szCs w:val="20"/>
          <w:color w:val="auto"/>
        </w:rPr>
      </w:pPr>
      <w:r>
        <w:rPr>
          <w:rFonts w:ascii="Times New Roman" w:cs="Times New Roman" w:eastAsia="Times New Roman" w:hAnsi="Times New Roman"/>
          <w:sz w:val="20"/>
          <w:szCs w:val="20"/>
          <w:color w:val="FF0000"/>
          <w:strike w:val="1"/>
        </w:rPr>
        <w:t>2.11</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8000"/>
          <w:strike w:val="1"/>
        </w:rPr>
        <w:t>Inability to Determine Interest Rate; Illegality</w:t>
      </w:r>
      <w:r>
        <w:rPr>
          <w:rFonts w:ascii="Times New Roman" w:cs="Times New Roman" w:eastAsia="Times New Roman" w:hAnsi="Times New Roman"/>
          <w:sz w:val="20"/>
          <w:szCs w:val="20"/>
          <w:color w:val="FF0000"/>
          <w:strike w:val="1"/>
        </w:rPr>
        <w:t>. (a)</w:t>
      </w:r>
      <w:r>
        <w:rPr>
          <w:rFonts w:ascii="Times New Roman" w:cs="Times New Roman" w:eastAsia="Times New Roman" w:hAnsi="Times New Roman"/>
          <w:sz w:val="20"/>
          <w:szCs w:val="20"/>
          <w:u w:val="single" w:color="auto"/>
          <w:color w:val="0000FF"/>
        </w:rPr>
        <w:t>(b)</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If prior to the first day of any Interest Period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FF"/>
        </w:rPr>
        <w:t>for any Eurocurrency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Loan in any currency</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-158115</wp:posOffset>
            </wp:positionV>
            <wp:extent cx="11061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5953760</wp:posOffset>
            </wp:positionH>
            <wp:positionV relativeFrom="paragraph">
              <wp:posOffset>-192405</wp:posOffset>
            </wp:positionV>
            <wp:extent cx="11061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40" w:lineRule="exact"/>
        <w:rPr>
          <w:sz w:val="20"/>
          <w:szCs w:val="20"/>
          <w:color w:val="auto"/>
        </w:rPr>
      </w:pPr>
    </w:p>
    <w:p>
      <w:pPr>
        <w:ind w:left="460" w:right="40" w:firstLine="492"/>
        <w:spacing w:after="0" w:line="274" w:lineRule="auto"/>
        <w:tabs>
          <w:tab w:leader="none" w:pos="1481"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w:t>
      </w:r>
      <w:r>
        <w:rPr>
          <w:rFonts w:ascii="Times New Roman" w:cs="Times New Roman" w:eastAsia="Times New Roman" w:hAnsi="Times New Roman"/>
          <w:sz w:val="19"/>
          <w:szCs w:val="19"/>
          <w:color w:val="FF0000"/>
          <w:strike w:val="1"/>
        </w:rPr>
        <w:t>shall have</w:t>
      </w:r>
      <w:r>
        <w:rPr>
          <w:rFonts w:ascii="Times New Roman" w:cs="Times New Roman" w:eastAsia="Times New Roman" w:hAnsi="Times New Roman"/>
          <w:sz w:val="19"/>
          <w:szCs w:val="19"/>
          <w:color w:val="auto"/>
        </w:rPr>
        <w:t xml:space="preserve"> determine</w:t>
      </w:r>
      <w:r>
        <w:rPr>
          <w:rFonts w:ascii="Times New Roman" w:cs="Times New Roman" w:eastAsia="Times New Roman" w:hAnsi="Times New Roman"/>
          <w:sz w:val="19"/>
          <w:szCs w:val="19"/>
          <w:color w:val="FF0000"/>
          <w:strike w:val="1"/>
        </w:rPr>
        <w:t>d</w:t>
      </w:r>
      <w:r>
        <w:rPr>
          <w:rFonts w:ascii="Times New Roman" w:cs="Times New Roman" w:eastAsia="Times New Roman" w:hAnsi="Times New Roman"/>
          <w:sz w:val="19"/>
          <w:szCs w:val="19"/>
          <w:u w:val="single" w:color="auto"/>
          <w:color w:val="0000FF"/>
        </w:rPr>
        <w:t>s</w:t>
      </w:r>
      <w:r>
        <w:rPr>
          <w:rFonts w:ascii="Times New Roman" w:cs="Times New Roman" w:eastAsia="Times New Roman" w:hAnsi="Times New Roman"/>
          <w:sz w:val="19"/>
          <w:szCs w:val="19"/>
          <w:color w:val="auto"/>
        </w:rPr>
        <w:t xml:space="preserve"> (which determination shall be conclusive and binding upon the Borrower) that</w:t>
      </w:r>
      <w:r>
        <w:rPr>
          <w:rFonts w:ascii="Times New Roman" w:cs="Times New Roman" w:eastAsia="Times New Roman" w:hAnsi="Times New Roman"/>
          <w:sz w:val="19"/>
          <w:szCs w:val="19"/>
          <w:color w:val="FF0000"/>
          <w:strike w:val="1"/>
        </w:rPr>
        <w:t>, by reason of circumstances affecting the relevant market,</w:t>
      </w:r>
      <w:r>
        <w:rPr>
          <w:rFonts w:ascii="Times New Roman" w:cs="Times New Roman" w:eastAsia="Times New Roman" w:hAnsi="Times New Roman"/>
          <w:sz w:val="19"/>
          <w:szCs w:val="19"/>
          <w:color w:val="auto"/>
        </w:rPr>
        <w:t xml:space="preserve"> adequate and reasonable means do not exist for ascertaining the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Rate</w:t>
      </w:r>
      <w:r>
        <w:rPr>
          <w:rFonts w:ascii="Times New Roman" w:cs="Times New Roman" w:eastAsia="Times New Roman" w:hAnsi="Times New Roman"/>
          <w:sz w:val="19"/>
          <w:szCs w:val="19"/>
          <w:u w:val="single" w:color="auto"/>
          <w:color w:val="0000FF"/>
        </w:rPr>
        <w:t>Eurocurrency Base Rate or the Eurocurrency Rate for such Eurocurrency Loan in such currency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for such Interest Period, or</w:t>
      </w:r>
    </w:p>
    <w:p>
      <w:pPr>
        <w:spacing w:after="0" w:line="156" w:lineRule="exact"/>
        <w:rPr>
          <w:rFonts w:ascii="Times New Roman" w:cs="Times New Roman" w:eastAsia="Times New Roman" w:hAnsi="Times New Roman"/>
          <w:sz w:val="19"/>
          <w:szCs w:val="19"/>
          <w:color w:val="auto"/>
        </w:rPr>
      </w:pPr>
    </w:p>
    <w:p>
      <w:pPr>
        <w:ind w:left="460" w:right="140" w:firstLine="492"/>
        <w:spacing w:after="0" w:line="247" w:lineRule="auto"/>
        <w:tabs>
          <w:tab w:leader="none" w:pos="153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w:t>
      </w:r>
      <w:r>
        <w:rPr>
          <w:rFonts w:ascii="Times New Roman" w:cs="Times New Roman" w:eastAsia="Times New Roman" w:hAnsi="Times New Roman"/>
          <w:sz w:val="20"/>
          <w:szCs w:val="20"/>
          <w:color w:val="FF0000"/>
          <w:strike w:val="1"/>
        </w:rPr>
        <w:t>shall have</w:t>
      </w:r>
      <w:r>
        <w:rPr>
          <w:rFonts w:ascii="Times New Roman" w:cs="Times New Roman" w:eastAsia="Times New Roman" w:hAnsi="Times New Roman"/>
          <w:sz w:val="20"/>
          <w:szCs w:val="20"/>
          <w:color w:val="auto"/>
        </w:rPr>
        <w:t xml:space="preserve"> receive</w:t>
      </w:r>
      <w:r>
        <w:rPr>
          <w:rFonts w:ascii="Times New Roman" w:cs="Times New Roman" w:eastAsia="Times New Roman" w:hAnsi="Times New Roman"/>
          <w:sz w:val="20"/>
          <w:szCs w:val="20"/>
          <w:color w:val="FF0000"/>
          <w:strike w:val="1"/>
        </w:rPr>
        <w:t>d</w:t>
      </w:r>
      <w:r>
        <w:rPr>
          <w:rFonts w:ascii="Times New Roman" w:cs="Times New Roman" w:eastAsia="Times New Roman" w:hAnsi="Times New Roman"/>
          <w:sz w:val="20"/>
          <w:szCs w:val="20"/>
          <w:u w:val="single" w:color="auto"/>
          <w:color w:val="0000FF"/>
        </w:rPr>
        <w:t>s</w:t>
      </w:r>
      <w:r>
        <w:rPr>
          <w:rFonts w:ascii="Times New Roman" w:cs="Times New Roman" w:eastAsia="Times New Roman" w:hAnsi="Times New Roman"/>
          <w:sz w:val="20"/>
          <w:szCs w:val="20"/>
          <w:color w:val="auto"/>
        </w:rPr>
        <w:t xml:space="preserve"> notice from the Required Lenders that the </w:t>
      </w:r>
      <w:r>
        <w:rPr>
          <w:rFonts w:ascii="Times New Roman" w:cs="Times New Roman" w:eastAsia="Times New Roman" w:hAnsi="Times New Roman"/>
          <w:sz w:val="20"/>
          <w:szCs w:val="20"/>
          <w:color w:val="FF0000"/>
          <w:strike w:val="1"/>
        </w:rPr>
        <w:t>Eurodollar Rate determined or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be determined</w:t>
      </w:r>
      <w:r>
        <w:rPr>
          <w:rFonts w:ascii="Times New Roman" w:cs="Times New Roman" w:eastAsia="Times New Roman" w:hAnsi="Times New Roman"/>
          <w:sz w:val="20"/>
          <w:szCs w:val="20"/>
          <w:u w:val="single" w:color="auto"/>
          <w:color w:val="0000FF"/>
        </w:rPr>
        <w:t>Eurocurrency Base Rate or the Eurocurrency Rate with respect to such Eurocurrency Loan in such currency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for such</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Interest Period will not adequately and fairly reflect the cost to such Lenders (as conclusively certified by such Lenders in a certificate setting forth in reasonable detail the basis for such determination) of making or maintaining their affected Loans </w:t>
      </w:r>
      <w:r>
        <w:rPr>
          <w:rFonts w:ascii="Times New Roman" w:cs="Times New Roman" w:eastAsia="Times New Roman" w:hAnsi="Times New Roman"/>
          <w:sz w:val="20"/>
          <w:szCs w:val="20"/>
          <w:u w:val="single" w:color="auto"/>
          <w:color w:val="0000FF"/>
        </w:rPr>
        <w:t>in such currency</w:t>
      </w:r>
      <w:r>
        <w:rPr>
          <w:rFonts w:ascii="Times New Roman" w:cs="Times New Roman" w:eastAsia="Times New Roman" w:hAnsi="Times New Roman"/>
          <w:sz w:val="20"/>
          <w:szCs w:val="20"/>
          <w:color w:val="000000"/>
        </w:rPr>
        <w:t xml:space="preserve"> during such Interest Period,</w:t>
      </w:r>
    </w:p>
    <w:p>
      <w:pPr>
        <w:sectPr>
          <w:pgSz w:w="11900" w:h="16838" w:orient="portrait"/>
          <w:cols w:equalWidth="0" w:num="1">
            <w:col w:w="11420"/>
          </w:cols>
          <w:pgMar w:left="240" w:top="409" w:right="2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44</w:t>
      </w:r>
    </w:p>
    <w:p>
      <w:pPr>
        <w:spacing w:after="0" w:line="23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the Administrative Agent shall give telecopy or telephonic notice thereof to the Borrower and the relevant Lenders as soon as practicable thereafter. If such notice is given (</w:t>
      </w:r>
      <w:r>
        <w:rPr>
          <w:rFonts w:ascii="Times New Roman" w:cs="Times New Roman" w:eastAsia="Times New Roman" w:hAnsi="Times New Roman"/>
          <w:sz w:val="19"/>
          <w:szCs w:val="19"/>
          <w:color w:val="FF0000"/>
          <w:strike w:val="1"/>
        </w:rPr>
        <w:t>x</w:t>
      </w:r>
      <w:r>
        <w:rPr>
          <w:rFonts w:ascii="Times New Roman" w:cs="Times New Roman" w:eastAsia="Times New Roman" w:hAnsi="Times New Roman"/>
          <w:sz w:val="19"/>
          <w:szCs w:val="19"/>
          <w:u w:val="single" w:color="auto"/>
          <w:color w:val="0000FF"/>
        </w:rPr>
        <w:t>v</w:t>
      </w:r>
      <w:r>
        <w:rPr>
          <w:rFonts w:ascii="Times New Roman" w:cs="Times New Roman" w:eastAsia="Times New Roman" w:hAnsi="Times New Roman"/>
          <w:sz w:val="19"/>
          <w:szCs w:val="19"/>
          <w:color w:val="auto"/>
        </w:rPr>
        <w:t xml:space="preserve">) any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Dollar</w:t>
      </w:r>
      <w:r>
        <w:rPr>
          <w:rFonts w:ascii="Times New Roman" w:cs="Times New Roman" w:eastAsia="Times New Roman" w:hAnsi="Times New Roman"/>
          <w:sz w:val="19"/>
          <w:szCs w:val="19"/>
          <w:color w:val="auto"/>
        </w:rPr>
        <w:t xml:space="preserve"> Loan requested to be made </w:t>
      </w:r>
      <w:r>
        <w:rPr>
          <w:rFonts w:ascii="Times New Roman" w:cs="Times New Roman" w:eastAsia="Times New Roman" w:hAnsi="Times New Roman"/>
          <w:sz w:val="19"/>
          <w:szCs w:val="19"/>
          <w:u w:val="single" w:color="auto"/>
          <w:color w:val="0000FF"/>
        </w:rPr>
        <w:t>as a Eurocurrency Loan</w:t>
      </w:r>
      <w:r>
        <w:rPr>
          <w:rFonts w:ascii="Times New Roman" w:cs="Times New Roman" w:eastAsia="Times New Roman" w:hAnsi="Times New Roman"/>
          <w:sz w:val="19"/>
          <w:szCs w:val="19"/>
          <w:color w:val="auto"/>
        </w:rPr>
        <w:t xml:space="preserve"> on the first day of such Interest Period shall be made as an ABR Loan, (</w:t>
      </w:r>
      <w:r>
        <w:rPr>
          <w:rFonts w:ascii="Times New Roman" w:cs="Times New Roman" w:eastAsia="Times New Roman" w:hAnsi="Times New Roman"/>
          <w:sz w:val="19"/>
          <w:szCs w:val="19"/>
          <w:color w:val="FF0000"/>
          <w:strike w:val="1"/>
        </w:rPr>
        <w:t>y</w:t>
      </w:r>
      <w:r>
        <w:rPr>
          <w:rFonts w:ascii="Times New Roman" w:cs="Times New Roman" w:eastAsia="Times New Roman" w:hAnsi="Times New Roman"/>
          <w:sz w:val="19"/>
          <w:szCs w:val="19"/>
          <w:u w:val="single" w:color="auto"/>
          <w:color w:val="0000FF"/>
        </w:rPr>
        <w:t>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any Foreign Currency Loan requested to be made on the first day of such Interest Period shall not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be made, (x)</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any ABR Loans that were to have been converted on the first day of such Interest Period to</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Eurocurrency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Loans shall</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be continued as ABR Loans </w:t>
      </w:r>
      <w:r>
        <w:rPr>
          <w:rFonts w:ascii="Times New Roman" w:cs="Times New Roman" w:eastAsia="Times New Roman" w:hAnsi="Times New Roman"/>
          <w:sz w:val="19"/>
          <w:szCs w:val="19"/>
          <w:color w:val="FF0000"/>
        </w:rPr>
        <w:t>and</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z</w:t>
      </w:r>
      <w:r>
        <w:rPr>
          <w:rFonts w:ascii="Times New Roman" w:cs="Times New Roman" w:eastAsia="Times New Roman" w:hAnsi="Times New Roman"/>
          <w:sz w:val="19"/>
          <w:szCs w:val="19"/>
          <w:u w:val="single" w:color="auto"/>
          <w:color w:val="0000FF"/>
        </w:rPr>
        <w:t>y</w:t>
      </w:r>
      <w:r>
        <w:rPr>
          <w:rFonts w:ascii="Times New Roman" w:cs="Times New Roman" w:eastAsia="Times New Roman" w:hAnsi="Times New Roman"/>
          <w:sz w:val="19"/>
          <w:szCs w:val="19"/>
          <w:color w:val="000000"/>
        </w:rPr>
        <w:t xml:space="preserve">) any outstanding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Eurocurrency Loans that are Dollar</w:t>
      </w:r>
      <w:r>
        <w:rPr>
          <w:rFonts w:ascii="Times New Roman" w:cs="Times New Roman" w:eastAsia="Times New Roman" w:hAnsi="Times New Roman"/>
          <w:sz w:val="19"/>
          <w:szCs w:val="19"/>
          <w:color w:val="000000"/>
        </w:rPr>
        <w:t xml:space="preserve"> Loans shall be converted, on the last day of the then-current Interest Period, to ABR Loans </w:t>
      </w:r>
      <w:r>
        <w:rPr>
          <w:rFonts w:ascii="Times New Roman" w:cs="Times New Roman" w:eastAsia="Times New Roman" w:hAnsi="Times New Roman"/>
          <w:sz w:val="19"/>
          <w:szCs w:val="19"/>
          <w:color w:val="0000FF"/>
        </w:rPr>
        <w:t>and (z) any outstanding Eurocurrency Loan that is denominated in any Foreign Currency</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shall be continued on the last day of the then-current Interest Period as a Eurocurrency Loan denominated in such Foreign Currency bearing interest at an interest rate equal to the sum of (i) the weighted average of the rates notified to the Administrative Agent by each Foreign Currency Lender as soon as practicable and in any event no later than the close of business on the date that is one Business Day after the Quotation Day for the applicable Interest Period (or, if earlier, the first day of such Interest Period), to be that which expresses as a percentage rate per annum the cost to the relevant Foreign Currency Lender of funding its portion of such Eurocurrency Loan denominated in such Foreign Currency for such Interest Period from whatever source it may reasonably select (provided that if any Foreign Currency Lender does not supply a quotation by the time specified in this clause (z)(i) the rate of interest shall be calculated on the basis of the quotations of the remaining Foreign Currency Lenders) plus (ii) the Applicable Margin hereunder</w:t>
      </w:r>
      <w:r>
        <w:rPr>
          <w:rFonts w:ascii="Times New Roman" w:cs="Times New Roman" w:eastAsia="Times New Roman" w:hAnsi="Times New Roman"/>
          <w:sz w:val="19"/>
          <w:szCs w:val="19"/>
          <w:color w:val="000000"/>
        </w:rPr>
        <w:t>. Until such notice has been withdrawn by the Administrative Agent, no</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further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Eurocurrency</w:t>
      </w:r>
      <w:r>
        <w:rPr>
          <w:rFonts w:ascii="Times New Roman" w:cs="Times New Roman" w:eastAsia="Times New Roman" w:hAnsi="Times New Roman"/>
          <w:sz w:val="19"/>
          <w:szCs w:val="19"/>
          <w:color w:val="000000"/>
        </w:rPr>
        <w:t xml:space="preserve"> Loans shall be made </w:t>
      </w:r>
      <w:r>
        <w:rPr>
          <w:rFonts w:ascii="Times New Roman" w:cs="Times New Roman" w:eastAsia="Times New Roman" w:hAnsi="Times New Roman"/>
          <w:sz w:val="19"/>
          <w:szCs w:val="19"/>
          <w:color w:val="FF0000"/>
          <w:strike w:val="1"/>
        </w:rPr>
        <w:t>or</w:t>
      </w:r>
      <w:r>
        <w:rPr>
          <w:rFonts w:ascii="Times New Roman" w:cs="Times New Roman" w:eastAsia="Times New Roman" w:hAnsi="Times New Roman"/>
          <w:sz w:val="19"/>
          <w:szCs w:val="19"/>
          <w:u w:val="single" w:color="auto"/>
          <w:color w:val="0000FF"/>
        </w:rPr>
        <w:t>and no Eurocurrency Loans denominated in Dollars shall be</w:t>
      </w:r>
      <w:r>
        <w:rPr>
          <w:rFonts w:ascii="Times New Roman" w:cs="Times New Roman" w:eastAsia="Times New Roman" w:hAnsi="Times New Roman"/>
          <w:sz w:val="19"/>
          <w:szCs w:val="19"/>
          <w:color w:val="000000"/>
        </w:rPr>
        <w:t xml:space="preserve"> continued as such, nor shall the Borrower have the right to convert Loans to </w:t>
      </w:r>
      <w:r>
        <w:rPr>
          <w:rFonts w:ascii="Times New Roman" w:cs="Times New Roman" w:eastAsia="Times New Roman" w:hAnsi="Times New Roman"/>
          <w:sz w:val="19"/>
          <w:szCs w:val="19"/>
          <w:color w:val="FF0000"/>
          <w:strike w:val="1"/>
        </w:rPr>
        <w:t>Eurodollar Loans.</w:t>
      </w:r>
      <w:r>
        <w:rPr>
          <w:rFonts w:ascii="Times New Roman" w:cs="Times New Roman" w:eastAsia="Times New Roman" w:hAnsi="Times New Roman"/>
          <w:sz w:val="19"/>
          <w:szCs w:val="19"/>
          <w:u w:val="single" w:color="auto"/>
          <w:color w:val="0000FF"/>
        </w:rPr>
        <w:t>Eurocurrency Loans. Notwithstanding the foregoing, if the circumstances</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giving rise to such notice affect Eurocurrency Loans in some (but not all) currencies in which a Eurocurrency Loan may be denominated hereunder, then any Eurocurrency Loans denominated in other currencies will not be affected by the provisions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1415415</wp:posOffset>
            </wp:positionH>
            <wp:positionV relativeFrom="paragraph">
              <wp:posOffset>-1967230</wp:posOffset>
            </wp:positionV>
            <wp:extent cx="2127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2725" cy="8890"/>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-1744345</wp:posOffset>
            </wp:positionV>
            <wp:extent cx="449389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493895" cy="889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-1778635</wp:posOffset>
            </wp:positionV>
            <wp:extent cx="449897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498975" cy="8890"/>
                    </a:xfrm>
                    <a:prstGeom prst="rect">
                      <a:avLst/>
                    </a:prstGeom>
                    <a:noFill/>
                  </pic:spPr>
                </pic:pic>
              </a:graphicData>
            </a:graphic>
          </wp:anchor>
        </w:drawing>
      </w:r>
    </w:p>
    <w:p>
      <w:pPr>
        <w:spacing w:after="0" w:line="167" w:lineRule="exact"/>
        <w:rPr>
          <w:sz w:val="20"/>
          <w:szCs w:val="20"/>
          <w:color w:val="auto"/>
        </w:rPr>
      </w:pPr>
    </w:p>
    <w:p>
      <w:pPr>
        <w:ind w:right="60" w:firstLine="102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FF0000"/>
          <w:strike w:val="1"/>
        </w:rPr>
        <w:t>b</w:t>
      </w:r>
      <w:r>
        <w:rPr>
          <w:rFonts w:ascii="Times New Roman" w:cs="Times New Roman" w:eastAsia="Times New Roman" w:hAnsi="Times New Roman"/>
          <w:sz w:val="20"/>
          <w:szCs w:val="20"/>
          <w:u w:val="single" w:color="auto"/>
          <w:color w:val="0000FF"/>
        </w:rPr>
        <w:t>c</w:t>
      </w:r>
      <w:r>
        <w:rPr>
          <w:rFonts w:ascii="Times New Roman" w:cs="Times New Roman" w:eastAsia="Times New Roman" w:hAnsi="Times New Roman"/>
          <w:sz w:val="20"/>
          <w:szCs w:val="20"/>
          <w:color w:val="auto"/>
        </w:rPr>
        <w:t xml:space="preserve">) Notwithstanding any other provision of this Agreement, if the adoption of or any change in any Requirement of Law or in the interpretation or application thereof shall make it unlawful for any Lender to make or maintain any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 or to give effect to its obligations as contemplated hereby with respect to any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 then, by written notice to the Borrower and to the Administrative Agent:</w:t>
      </w:r>
    </w:p>
    <w:p>
      <w:pPr>
        <w:spacing w:after="0" w:line="180" w:lineRule="exact"/>
        <w:rPr>
          <w:sz w:val="20"/>
          <w:szCs w:val="20"/>
          <w:color w:val="auto"/>
        </w:rPr>
      </w:pPr>
    </w:p>
    <w:p>
      <w:pPr>
        <w:ind w:left="460" w:right="40" w:firstLine="492"/>
        <w:spacing w:after="0" w:line="260" w:lineRule="auto"/>
        <w:tabs>
          <w:tab w:leader="none" w:pos="1481"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Lender may declare that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Eurocurrency</w:t>
      </w:r>
      <w:r>
        <w:rPr>
          <w:rFonts w:ascii="Times New Roman" w:cs="Times New Roman" w:eastAsia="Times New Roman" w:hAnsi="Times New Roman"/>
          <w:sz w:val="19"/>
          <w:szCs w:val="19"/>
          <w:color w:val="auto"/>
        </w:rPr>
        <w:t xml:space="preserve"> Loans will not thereafter (for the duration of such unlawfulness) be made by such Lender hereunder (or be continued for additional Interest Periods) and ABR Loans will not thereafter (for such duration) be converted into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Eurocurrency</w:t>
      </w:r>
      <w:r>
        <w:rPr>
          <w:rFonts w:ascii="Times New Roman" w:cs="Times New Roman" w:eastAsia="Times New Roman" w:hAnsi="Times New Roman"/>
          <w:sz w:val="19"/>
          <w:szCs w:val="19"/>
          <w:color w:val="auto"/>
        </w:rPr>
        <w:t xml:space="preserve"> Loans, whereupon any request for a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Eurocurrency</w:t>
      </w:r>
      <w:r>
        <w:rPr>
          <w:rFonts w:ascii="Times New Roman" w:cs="Times New Roman" w:eastAsia="Times New Roman" w:hAnsi="Times New Roman"/>
          <w:sz w:val="19"/>
          <w:szCs w:val="19"/>
          <w:color w:val="auto"/>
        </w:rPr>
        <w:t xml:space="preserve"> Loan (or to convert an ABR Loan to a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Eurocurrency</w:t>
      </w:r>
      <w:r>
        <w:rPr>
          <w:rFonts w:ascii="Times New Roman" w:cs="Times New Roman" w:eastAsia="Times New Roman" w:hAnsi="Times New Roman"/>
          <w:sz w:val="19"/>
          <w:szCs w:val="19"/>
          <w:color w:val="auto"/>
        </w:rPr>
        <w:t xml:space="preserve"> Loan or to continue a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Eurocurrency</w:t>
      </w:r>
      <w:r>
        <w:rPr>
          <w:rFonts w:ascii="Times New Roman" w:cs="Times New Roman" w:eastAsia="Times New Roman" w:hAnsi="Times New Roman"/>
          <w:sz w:val="19"/>
          <w:szCs w:val="19"/>
          <w:color w:val="auto"/>
        </w:rPr>
        <w:t xml:space="preserve"> Loan for an additional Interest Period) shall, as to such Lender only, be deemed a request for an ABR Loan (or a request to continue an ABR Loan as such for an additional Interest Period or to convert a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Eurocurrency</w:t>
      </w:r>
      <w:r>
        <w:rPr>
          <w:rFonts w:ascii="Times New Roman" w:cs="Times New Roman" w:eastAsia="Times New Roman" w:hAnsi="Times New Roman"/>
          <w:sz w:val="19"/>
          <w:szCs w:val="19"/>
          <w:color w:val="auto"/>
        </w:rPr>
        <w:t xml:space="preserve"> Loan into an ABR Loan, as the case may be), unless such declaration shall be subsequently withdrawn; and</w:t>
      </w:r>
    </w:p>
    <w:p>
      <w:pPr>
        <w:spacing w:after="0" w:line="173" w:lineRule="exact"/>
        <w:rPr>
          <w:rFonts w:ascii="Times New Roman" w:cs="Times New Roman" w:eastAsia="Times New Roman" w:hAnsi="Times New Roman"/>
          <w:sz w:val="19"/>
          <w:szCs w:val="19"/>
          <w:color w:val="auto"/>
        </w:rPr>
      </w:pPr>
    </w:p>
    <w:p>
      <w:pPr>
        <w:ind w:left="460" w:right="20" w:firstLine="492"/>
        <w:spacing w:after="0" w:line="254" w:lineRule="auto"/>
        <w:tabs>
          <w:tab w:leader="none" w:pos="153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may require that all outstanding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Loans </w:t>
      </w:r>
      <w:r>
        <w:rPr>
          <w:rFonts w:ascii="Times New Roman" w:cs="Times New Roman" w:eastAsia="Times New Roman" w:hAnsi="Times New Roman"/>
          <w:sz w:val="20"/>
          <w:szCs w:val="20"/>
          <w:u w:val="single" w:color="auto"/>
          <w:color w:val="0000FF"/>
        </w:rPr>
        <w:t>denominated in Dollars</w:t>
      </w:r>
      <w:r>
        <w:rPr>
          <w:rFonts w:ascii="Times New Roman" w:cs="Times New Roman" w:eastAsia="Times New Roman" w:hAnsi="Times New Roman"/>
          <w:sz w:val="20"/>
          <w:szCs w:val="20"/>
          <w:color w:val="auto"/>
        </w:rPr>
        <w:t xml:space="preserve"> made by it be converted to ABR Loans, in which event all such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Loans </w:t>
      </w:r>
      <w:r>
        <w:rPr>
          <w:rFonts w:ascii="Times New Roman" w:cs="Times New Roman" w:eastAsia="Times New Roman" w:hAnsi="Times New Roman"/>
          <w:sz w:val="20"/>
          <w:szCs w:val="20"/>
          <w:u w:val="single" w:color="auto"/>
          <w:color w:val="0000FF"/>
        </w:rPr>
        <w:t>denominated in Dollars</w:t>
      </w:r>
      <w:r>
        <w:rPr>
          <w:rFonts w:ascii="Times New Roman" w:cs="Times New Roman" w:eastAsia="Times New Roman" w:hAnsi="Times New Roman"/>
          <w:sz w:val="20"/>
          <w:szCs w:val="20"/>
          <w:color w:val="auto"/>
        </w:rPr>
        <w:t xml:space="preserve"> shall be automatically converted to ABR Loans as of the effective date of such notice as provided in the last sentence of this Section 2.11(b).</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 xml:space="preserve">In the event any Lender shall exercise its rights under (i) or (ii) above, all payments and prepayments of principal that would otherwise have been applied to repay the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Loans that would have been made by such Lender or the converted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Loans of such Lender shall</w:t>
      </w:r>
    </w:p>
    <w:p>
      <w:pPr>
        <w:sectPr>
          <w:pgSz w:w="11900" w:h="16838" w:orient="portrait"/>
          <w:cols w:equalWidth="0" w:num="1">
            <w:col w:w="11420"/>
          </w:cols>
          <w:pgMar w:left="240" w:top="409" w:right="239" w:bottom="1440" w:gutter="0" w:footer="0" w:header="0"/>
        </w:sectPr>
      </w:pPr>
    </w:p>
    <w:bookmarkStart w:id="140" w:name="page141"/>
    <w:bookmarkEnd w:id="140"/>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45</w:t>
      </w:r>
    </w:p>
    <w:p>
      <w:pPr>
        <w:spacing w:after="0" w:line="23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 xml:space="preserve">instead be applied to repay the ABR Loans made by such Lender in lieu of, or resulting from the conversion of, such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Loans. For purposes of this Section 2.11(b), a notice to the Borrower by any Lender shall be effective as to each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 made by such Lender, if lawful, on the last day of the Interest Period then applicable to such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 in all other cases such notice shall be effective on the date of receipt by the Borrower.</w:t>
      </w:r>
    </w:p>
    <w:p>
      <w:pPr>
        <w:spacing w:after="0" w:line="180" w:lineRule="exact"/>
        <w:rPr>
          <w:sz w:val="20"/>
          <w:szCs w:val="20"/>
          <w:color w:val="auto"/>
        </w:rPr>
      </w:pPr>
    </w:p>
    <w:p>
      <w:pPr>
        <w:ind w:right="120" w:firstLine="1027"/>
        <w:spacing w:after="0" w:line="247" w:lineRule="auto"/>
        <w:rPr>
          <w:sz w:val="20"/>
          <w:szCs w:val="20"/>
          <w:color w:val="auto"/>
        </w:rPr>
      </w:pPr>
      <w:r>
        <w:rPr>
          <w:rFonts w:ascii="Times New Roman" w:cs="Times New Roman" w:eastAsia="Times New Roman" w:hAnsi="Times New Roman"/>
          <w:sz w:val="20"/>
          <w:szCs w:val="20"/>
          <w:color w:val="auto"/>
        </w:rPr>
        <w:t xml:space="preserve">2.12 </w:t>
      </w:r>
      <w:r>
        <w:rPr>
          <w:rFonts w:ascii="Times New Roman" w:cs="Times New Roman" w:eastAsia="Times New Roman" w:hAnsi="Times New Roman"/>
          <w:sz w:val="20"/>
          <w:szCs w:val="20"/>
          <w:u w:val="single" w:color="auto"/>
          <w:color w:val="auto"/>
        </w:rPr>
        <w:t>Pro Rata Treatment and Payments</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0000FF"/>
        </w:rPr>
        <w:t>Except as provided in Section 2.20,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E</w:t>
      </w:r>
      <w:r>
        <w:rPr>
          <w:rFonts w:ascii="Times New Roman" w:cs="Times New Roman" w:eastAsia="Times New Roman" w:hAnsi="Times New Roman"/>
          <w:sz w:val="20"/>
          <w:szCs w:val="20"/>
          <w:u w:val="single" w:color="auto"/>
          <w:color w:val="0000FF"/>
        </w:rPr>
        <w:t>e</w:t>
      </w:r>
      <w:r>
        <w:rPr>
          <w:rFonts w:ascii="Times New Roman" w:cs="Times New Roman" w:eastAsia="Times New Roman" w:hAnsi="Times New Roman"/>
          <w:sz w:val="20"/>
          <w:szCs w:val="20"/>
          <w:color w:val="auto"/>
        </w:rPr>
        <w:t xml:space="preserve">ach borrowing </w:t>
      </w:r>
      <w:r>
        <w:rPr>
          <w:rFonts w:ascii="Times New Roman" w:cs="Times New Roman" w:eastAsia="Times New Roman" w:hAnsi="Times New Roman"/>
          <w:sz w:val="20"/>
          <w:szCs w:val="20"/>
          <w:u w:val="single" w:color="auto"/>
          <w:color w:val="0000FF"/>
        </w:rPr>
        <w:t>of Dollar Loans</w:t>
      </w:r>
      <w:r>
        <w:rPr>
          <w:rFonts w:ascii="Times New Roman" w:cs="Times New Roman" w:eastAsia="Times New Roman" w:hAnsi="Times New Roman"/>
          <w:sz w:val="20"/>
          <w:szCs w:val="20"/>
          <w:color w:val="auto"/>
        </w:rPr>
        <w:t xml:space="preserve"> by the Borrower from the Lenders hereunder</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shall be made in accordance with the Pro Rata Share of the Lenders in effect on the date of such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borrowing.</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e</w:t>
      </w:r>
      <w:r>
        <w:rPr>
          <w:rFonts w:ascii="Times New Roman" w:cs="Times New Roman" w:eastAsia="Times New Roman" w:hAnsi="Times New Roman"/>
          <w:sz w:val="20"/>
          <w:szCs w:val="20"/>
          <w:u w:val="single" w:color="auto"/>
          <w:color w:val="0000FF"/>
        </w:rPr>
        <w:t>E</w:t>
      </w:r>
      <w:r>
        <w:rPr>
          <w:rFonts w:ascii="Times New Roman" w:cs="Times New Roman" w:eastAsia="Times New Roman" w:hAnsi="Times New Roman"/>
          <w:sz w:val="20"/>
          <w:szCs w:val="20"/>
          <w:color w:val="000000"/>
        </w:rPr>
        <w:t>ach payment by the Borrower on account of any commitment fee and any reduction of the Commitments of the Lenders shall be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made </w:t>
      </w:r>
      <w:r>
        <w:rPr>
          <w:rFonts w:ascii="Times New Roman" w:cs="Times New Roman" w:eastAsia="Times New Roman" w:hAnsi="Times New Roman"/>
          <w:sz w:val="20"/>
          <w:szCs w:val="20"/>
          <w:u w:val="single" w:color="auto"/>
          <w:color w:val="000000"/>
        </w:rPr>
        <w:t>pro rata</w:t>
      </w:r>
      <w:r>
        <w:rPr>
          <w:rFonts w:ascii="Times New Roman" w:cs="Times New Roman" w:eastAsia="Times New Roman" w:hAnsi="Times New Roman"/>
          <w:sz w:val="20"/>
          <w:szCs w:val="20"/>
          <w:color w:val="000000"/>
        </w:rPr>
        <w:t xml:space="preserve"> according to the </w:t>
      </w:r>
      <w:r>
        <w:rPr>
          <w:rFonts w:ascii="Times New Roman" w:cs="Times New Roman" w:eastAsia="Times New Roman" w:hAnsi="Times New Roman"/>
          <w:sz w:val="20"/>
          <w:szCs w:val="20"/>
          <w:color w:val="FF0000"/>
          <w:strike w:val="1"/>
        </w:rPr>
        <w:t>respective Percentage</w:t>
      </w:r>
      <w:r>
        <w:rPr>
          <w:rFonts w:ascii="Times New Roman" w:cs="Times New Roman" w:eastAsia="Times New Roman" w:hAnsi="Times New Roman"/>
          <w:sz w:val="20"/>
          <w:szCs w:val="20"/>
          <w:u w:val="single" w:color="auto"/>
          <w:color w:val="0000FF"/>
        </w:rPr>
        <w:t>Commitments</w:t>
      </w:r>
      <w:r>
        <w:rPr>
          <w:rFonts w:ascii="Times New Roman" w:cs="Times New Roman" w:eastAsia="Times New Roman" w:hAnsi="Times New Roman"/>
          <w:sz w:val="20"/>
          <w:szCs w:val="20"/>
          <w:color w:val="000000"/>
        </w:rPr>
        <w:t xml:space="preserve"> of the </w:t>
      </w:r>
      <w:r>
        <w:rPr>
          <w:rFonts w:ascii="Times New Roman" w:cs="Times New Roman" w:eastAsia="Times New Roman" w:hAnsi="Times New Roman"/>
          <w:sz w:val="20"/>
          <w:szCs w:val="20"/>
          <w:color w:val="FF0000"/>
          <w:strike w:val="1"/>
        </w:rPr>
        <w:t>relevant</w:t>
      </w:r>
      <w:r>
        <w:rPr>
          <w:rFonts w:ascii="Times New Roman" w:cs="Times New Roman" w:eastAsia="Times New Roman" w:hAnsi="Times New Roman"/>
          <w:sz w:val="20"/>
          <w:szCs w:val="20"/>
          <w:color w:val="000000"/>
        </w:rPr>
        <w:t xml:space="preserve"> Lenders </w:t>
      </w:r>
      <w:r>
        <w:rPr>
          <w:rFonts w:ascii="Times New Roman" w:cs="Times New Roman" w:eastAsia="Times New Roman" w:hAnsi="Times New Roman"/>
          <w:sz w:val="20"/>
          <w:szCs w:val="20"/>
          <w:color w:val="FF0000"/>
          <w:strike w:val="1"/>
        </w:rPr>
        <w:t>except to the extent required or permitted pursuant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to</w:t>
      </w:r>
      <w:r>
        <w:rPr>
          <w:rFonts w:ascii="Times New Roman" w:cs="Times New Roman" w:eastAsia="Times New Roman" w:hAnsi="Times New Roman"/>
          <w:sz w:val="20"/>
          <w:szCs w:val="20"/>
          <w:u w:val="single" w:color="auto"/>
          <w:color w:val="0000FF"/>
        </w:rPr>
        <w:t>. Subject to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Section</w:t>
      </w:r>
      <w:r>
        <w:rPr>
          <w:rFonts w:ascii="Times New Roman" w:cs="Times New Roman" w:eastAsia="Times New Roman" w:hAnsi="Times New Roman"/>
          <w:sz w:val="20"/>
          <w:szCs w:val="20"/>
          <w:color w:val="FF0000"/>
          <w:strike w:val="1"/>
        </w:rPr>
        <w:t>s 2.17, 2.18 and 2.19.</w:t>
      </w:r>
    </w:p>
    <w:p>
      <w:pPr>
        <w:spacing w:after="0" w:line="181" w:lineRule="exact"/>
        <w:rPr>
          <w:sz w:val="20"/>
          <w:szCs w:val="20"/>
          <w:color w:val="auto"/>
        </w:rPr>
      </w:pPr>
    </w:p>
    <w:p>
      <w:pPr>
        <w:ind w:right="100" w:firstLine="1027"/>
        <w:spacing w:after="0" w:line="243" w:lineRule="auto"/>
        <w:rPr>
          <w:sz w:val="20"/>
          <w:szCs w:val="20"/>
          <w:color w:val="auto"/>
        </w:rPr>
      </w:pPr>
      <w:r>
        <w:rPr>
          <w:rFonts w:ascii="Times New Roman" w:cs="Times New Roman" w:eastAsia="Times New Roman" w:hAnsi="Times New Roman"/>
          <w:sz w:val="20"/>
          <w:szCs w:val="20"/>
          <w:u w:val="single" w:color="auto"/>
          <w:color w:val="0000FF"/>
        </w:rPr>
        <w:t>2.12</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FF0000"/>
          <w:strike w:val="1"/>
        </w:rPr>
        <w:t>b</w:t>
      </w:r>
      <w:r>
        <w:rPr>
          <w:rFonts w:ascii="Times New Roman" w:cs="Times New Roman" w:eastAsia="Times New Roman" w:hAnsi="Times New Roman"/>
          <w:sz w:val="20"/>
          <w:szCs w:val="20"/>
          <w:u w:val="single" w:color="auto"/>
          <w:color w:val="0000FF"/>
        </w:rPr>
        <w:t>c</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FF0000"/>
          <w:strike w:val="1"/>
        </w:rPr>
        <w: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e</w:t>
      </w:r>
      <w:r>
        <w:rPr>
          <w:rFonts w:ascii="Times New Roman" w:cs="Times New Roman" w:eastAsia="Times New Roman" w:hAnsi="Times New Roman"/>
          <w:sz w:val="20"/>
          <w:szCs w:val="20"/>
          <w:color w:val="000000"/>
        </w:rPr>
        <w:t>ach payment (including each prepayment) by the Borrower on account of principal of and interest on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Dollar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Loans shall be made </w:t>
      </w:r>
      <w:r>
        <w:rPr>
          <w:rFonts w:ascii="Times New Roman" w:cs="Times New Roman" w:eastAsia="Times New Roman" w:hAnsi="Times New Roman"/>
          <w:sz w:val="20"/>
          <w:szCs w:val="20"/>
          <w:u w:val="single" w:color="auto"/>
          <w:color w:val="000000"/>
        </w:rPr>
        <w:t>pro rata</w:t>
      </w:r>
      <w:r>
        <w:rPr>
          <w:rFonts w:ascii="Times New Roman" w:cs="Times New Roman" w:eastAsia="Times New Roman" w:hAnsi="Times New Roman"/>
          <w:sz w:val="20"/>
          <w:szCs w:val="20"/>
          <w:color w:val="000000"/>
        </w:rPr>
        <w:t xml:space="preserve"> according to the respective outstanding principal amounts of the </w:t>
      </w:r>
      <w:r>
        <w:rPr>
          <w:rFonts w:ascii="Times New Roman" w:cs="Times New Roman" w:eastAsia="Times New Roman" w:hAnsi="Times New Roman"/>
          <w:sz w:val="20"/>
          <w:szCs w:val="20"/>
          <w:u w:val="single" w:color="auto"/>
          <w:color w:val="0000FF"/>
        </w:rPr>
        <w:t>Dollar</w:t>
      </w:r>
      <w:r>
        <w:rPr>
          <w:rFonts w:ascii="Times New Roman" w:cs="Times New Roman" w:eastAsia="Times New Roman" w:hAnsi="Times New Roman"/>
          <w:sz w:val="20"/>
          <w:szCs w:val="20"/>
          <w:color w:val="000000"/>
        </w:rPr>
        <w:t xml:space="preserve"> Loans then held by the Lenders </w:t>
      </w:r>
      <w:r>
        <w:rPr>
          <w:rFonts w:ascii="Times New Roman" w:cs="Times New Roman" w:eastAsia="Times New Roman" w:hAnsi="Times New Roman"/>
          <w:sz w:val="20"/>
          <w:szCs w:val="20"/>
          <w:color w:val="FF0000"/>
          <w:strike w:val="1"/>
        </w:rPr>
        <w:t>except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008000"/>
          <w:strike w:val="1"/>
        </w:rPr>
        <w:t>to</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008000"/>
          <w:strike w:val="1"/>
        </w:rPr>
        <w:t>the extent required or permitted pursuant to Sections 2.17, 2.18</w:t>
      </w:r>
      <w:r>
        <w:rPr>
          <w:rFonts w:ascii="Times New Roman" w:cs="Times New Roman" w:eastAsia="Times New Roman" w:hAnsi="Times New Roman"/>
          <w:sz w:val="20"/>
          <w:szCs w:val="20"/>
          <w:color w:val="008000"/>
        </w:rPr>
        <w:t xml:space="preserve"> </w:t>
      </w:r>
      <w:r>
        <w:rPr>
          <w:rFonts w:ascii="Times New Roman" w:cs="Times New Roman" w:eastAsia="Times New Roman" w:hAnsi="Times New Roman"/>
          <w:sz w:val="20"/>
          <w:szCs w:val="20"/>
          <w:color w:val="FF0000"/>
          <w:strike w:val="1"/>
        </w:rPr>
        <w:t>and 2.19.</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008000"/>
        </w:rPr>
        <w:t xml:space="preserve"> </w:t>
      </w:r>
      <w:r>
        <w:rPr>
          <w:rFonts w:ascii="Times New Roman" w:cs="Times New Roman" w:eastAsia="Times New Roman" w:hAnsi="Times New Roman"/>
          <w:sz w:val="20"/>
          <w:szCs w:val="20"/>
          <w:color w:val="FF0000"/>
          <w:strike w:val="1"/>
        </w:rPr>
        <w:t>(c)</w:t>
      </w:r>
      <w:r>
        <w:rPr>
          <w:rFonts w:ascii="Times New Roman" w:cs="Times New Roman" w:eastAsia="Times New Roman" w:hAnsi="Times New Roman"/>
          <w:sz w:val="20"/>
          <w:szCs w:val="20"/>
          <w:color w:val="008000"/>
        </w:rPr>
        <w:t xml:space="preserve"> </w:t>
      </w:r>
      <w:r>
        <w:rPr>
          <w:rFonts w:ascii="Times New Roman" w:cs="Times New Roman" w:eastAsia="Times New Roman" w:hAnsi="Times New Roman"/>
          <w:sz w:val="20"/>
          <w:szCs w:val="20"/>
          <w:color w:val="000000"/>
        </w:rPr>
        <w:t>All payments (including prepayments) to be made by the</w:t>
      </w:r>
      <w:r>
        <w:rPr>
          <w:rFonts w:ascii="Times New Roman" w:cs="Times New Roman" w:eastAsia="Times New Roman" w:hAnsi="Times New Roman"/>
          <w:sz w:val="20"/>
          <w:szCs w:val="20"/>
          <w:color w:val="008000"/>
        </w:rPr>
        <w:t xml:space="preserve"> </w:t>
      </w:r>
      <w:r>
        <w:rPr>
          <w:rFonts w:ascii="Times New Roman" w:cs="Times New Roman" w:eastAsia="Times New Roman" w:hAnsi="Times New Roman"/>
          <w:sz w:val="20"/>
          <w:szCs w:val="20"/>
          <w:color w:val="000000"/>
        </w:rPr>
        <w:t xml:space="preserve">Borrower hereunder </w:t>
      </w:r>
      <w:r>
        <w:rPr>
          <w:rFonts w:ascii="Times New Roman" w:cs="Times New Roman" w:eastAsia="Times New Roman" w:hAnsi="Times New Roman"/>
          <w:sz w:val="20"/>
          <w:szCs w:val="20"/>
          <w:u w:val="single" w:color="auto"/>
          <w:color w:val="0000FF"/>
        </w:rPr>
        <w:t>in Dollars</w:t>
      </w:r>
      <w:r>
        <w:rPr>
          <w:rFonts w:ascii="Times New Roman" w:cs="Times New Roman" w:eastAsia="Times New Roman" w:hAnsi="Times New Roman"/>
          <w:sz w:val="20"/>
          <w:szCs w:val="20"/>
          <w:color w:val="000000"/>
        </w:rPr>
        <w:t xml:space="preserve">, whether on account of principal, interest, fees or otherwise, shall be made without setoff or counterclaim and shall be made prior to 12:00 Noon, New York City time, on the due date thereof to the Administrative Agent, for the account of the Lenders, at the </w:t>
      </w:r>
      <w:r>
        <w:rPr>
          <w:rFonts w:ascii="Times New Roman" w:cs="Times New Roman" w:eastAsia="Times New Roman" w:hAnsi="Times New Roman"/>
          <w:sz w:val="20"/>
          <w:szCs w:val="20"/>
          <w:u w:val="single" w:color="auto"/>
          <w:color w:val="0000FF"/>
        </w:rPr>
        <w:t>Domestic</w:t>
      </w:r>
      <w:r>
        <w:rPr>
          <w:rFonts w:ascii="Times New Roman" w:cs="Times New Roman" w:eastAsia="Times New Roman" w:hAnsi="Times New Roman"/>
          <w:sz w:val="20"/>
          <w:szCs w:val="20"/>
          <w:color w:val="000000"/>
        </w:rPr>
        <w:t xml:space="preserve"> Funding Office, in Dollars and in immediately available funds;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reimbursement of drawings under Letters of Credit shall be made as provided in Section 3.5. The Administrative Agent shall distribute such payments to each relevant Lender promptly upon receipt in like funds as received, net of any amounts owing by such Lender pursuant to Section 9.7.</w:t>
      </w:r>
    </w:p>
    <w:p>
      <w:pPr>
        <w:spacing w:after="0" w:line="190" w:lineRule="exact"/>
        <w:rPr>
          <w:sz w:val="20"/>
          <w:szCs w:val="20"/>
          <w:color w:val="auto"/>
        </w:rPr>
      </w:pPr>
    </w:p>
    <w:p>
      <w:pPr>
        <w:ind w:right="20" w:firstLine="1035"/>
        <w:spacing w:after="0" w:line="242" w:lineRule="auto"/>
        <w:tabs>
          <w:tab w:leader="none" w:pos="1505" w:val="left"/>
        </w:tabs>
        <w:numPr>
          <w:ilvl w:val="0"/>
          <w:numId w:val="86"/>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Each borrowing of Foreign Currency Loans by the Borrower from the Foreign Currency Lenders hereunder shall be made, and any reduction of the Foreign Currency Commitments shall be allocated by the Administrative Agent, in accordance with the Pro Rata Share of the Foreign Currency Lenders in effect on the date of such borrowing. Subject to Section 2.12 (c), each payment (including each prepayment) by the Borrower on account of principal of and interest on any Foreign Currency Loans shall be made pro rata according to the respective outstanding principal amounts of the Foreign Currency Loans then held by the Foreign Currency Lenders. All payments (including prepayments) to be made by the Borrower hereunder in respect of Foreign Currency Loans, whether on account of principal, interest, fees or otherwise, shall be made without setoff or counterclaim and shall be made prior to 12:00 Noon Local Time on the due date thereof to the Administrative Agent, for the account of the Foreign Currency Lenders, at the Applicable Foreign Currency Funding Office for the relevant Foreign Currency, in the currency of such Foreign Currency Loan and in immediately available funds. The Administrative Agent shall distribute such payments to each Foreign Currency Lender promptly upon receipt in like funds as received, net of any amounts owing by such Foreign Currency Lender pursuant to Section 9.7.</w:t>
      </w:r>
    </w:p>
    <w:p>
      <w:pPr>
        <w:spacing w:after="0" w:line="190" w:lineRule="exact"/>
        <w:rPr>
          <w:rFonts w:ascii="Times New Roman" w:cs="Times New Roman" w:eastAsia="Times New Roman" w:hAnsi="Times New Roman"/>
          <w:sz w:val="20"/>
          <w:szCs w:val="20"/>
          <w:u w:val="single" w:color="auto"/>
          <w:color w:val="0000FF"/>
        </w:rPr>
      </w:pPr>
    </w:p>
    <w:p>
      <w:pPr>
        <w:ind w:right="420" w:firstLine="1035"/>
        <w:spacing w:after="0" w:line="296" w:lineRule="auto"/>
        <w:tabs>
          <w:tab w:leader="none" w:pos="1494" w:val="left"/>
        </w:tabs>
        <w:numPr>
          <w:ilvl w:val="0"/>
          <w:numId w:val="86"/>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After any Conversion Date, all payments in respect of the Obligations hereunder (including any payments pursuant to Section 6.5 of the Guarantee and Collateral Agreement) shall be made pro rata in accordance with the Aggregate Exposure of each Lender.</w:t>
      </w:r>
    </w:p>
    <w:p>
      <w:pPr>
        <w:spacing w:after="0" w:line="136" w:lineRule="exact"/>
        <w:rPr>
          <w:rFonts w:ascii="Times New Roman" w:cs="Times New Roman" w:eastAsia="Times New Roman" w:hAnsi="Times New Roman"/>
          <w:sz w:val="19"/>
          <w:szCs w:val="19"/>
          <w:u w:val="single" w:color="auto"/>
          <w:color w:val="0000FF"/>
        </w:rPr>
      </w:pPr>
    </w:p>
    <w:p>
      <w:pPr>
        <w:ind w:right="60" w:firstLine="1035"/>
        <w:spacing w:after="0" w:line="245" w:lineRule="auto"/>
        <w:tabs>
          <w:tab w:leader="none" w:pos="1505" w:val="left"/>
        </w:tabs>
        <w:numPr>
          <w:ilvl w:val="0"/>
          <w:numId w:val="86"/>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 xml:space="preserve">If any payment hereunder (other than payments on the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Loans) becomes due and payable on a day other than a Business Day, such payment shall be extended to the next succeeding Business Day. If any payment on a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ectPr>
          <w:pgSz w:w="11900" w:h="16838" w:orient="portrait"/>
          <w:cols w:equalWidth="0" w:num="1">
            <w:col w:w="11420"/>
          </w:cols>
          <w:pgMar w:left="240" w:top="409" w:right="2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46</w:t>
      </w:r>
    </w:p>
    <w:p>
      <w:pPr>
        <w:spacing w:after="0" w:line="238" w:lineRule="exact"/>
        <w:rPr>
          <w:sz w:val="20"/>
          <w:szCs w:val="20"/>
          <w:color w:val="auto"/>
        </w:rPr>
      </w:pPr>
    </w:p>
    <w:p>
      <w:pPr>
        <w:ind w:right="460" w:firstLine="1035"/>
        <w:spacing w:after="0" w:line="269" w:lineRule="auto"/>
        <w:tabs>
          <w:tab w:leader="none" w:pos="1494" w:val="left"/>
        </w:tabs>
        <w:numPr>
          <w:ilvl w:val="0"/>
          <w:numId w:val="87"/>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 xml:space="preserve">Notwithstanding the foregoing, payments and reductions in Commitments and Foreign Currency Commitments may be made on a non pro rata basis </w:t>
      </w:r>
      <w:r>
        <w:rPr>
          <w:rFonts w:ascii="Times New Roman" w:cs="Times New Roman" w:eastAsia="Times New Roman" w:hAnsi="Times New Roman"/>
          <w:sz w:val="20"/>
          <w:szCs w:val="20"/>
          <w:u w:val="single" w:color="auto"/>
          <w:color w:val="008000"/>
        </w:rPr>
        <w:t>to the extent required or permitted pursuant to Sections 2.17, 2.18,</w:t>
      </w:r>
      <w:r>
        <w:rPr>
          <w:rFonts w:ascii="Times New Roman" w:cs="Times New Roman" w:eastAsia="Times New Roman" w:hAnsi="Times New Roman"/>
          <w:sz w:val="20"/>
          <w:szCs w:val="20"/>
          <w:u w:val="single" w:color="auto"/>
          <w:color w:val="0000FF"/>
        </w:rPr>
        <w:t xml:space="preserve"> 2.19 and 2.20.</w:t>
      </w:r>
    </w:p>
    <w:p>
      <w:pPr>
        <w:spacing w:after="0" w:line="160" w:lineRule="exact"/>
        <w:rPr>
          <w:sz w:val="20"/>
          <w:szCs w:val="20"/>
          <w:color w:val="auto"/>
        </w:rPr>
      </w:pPr>
    </w:p>
    <w:p>
      <w:pPr>
        <w:ind w:right="40" w:firstLine="1027"/>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FF0000"/>
          <w:strike w:val="1"/>
        </w:rPr>
        <w:t>d</w:t>
      </w:r>
      <w:r>
        <w:rPr>
          <w:rFonts w:ascii="Times New Roman" w:cs="Times New Roman" w:eastAsia="Times New Roman" w:hAnsi="Times New Roman"/>
          <w:sz w:val="20"/>
          <w:szCs w:val="20"/>
          <w:u w:val="single" w:color="auto"/>
          <w:color w:val="0000FF"/>
        </w:rPr>
        <w:t>f</w:t>
      </w:r>
      <w:r>
        <w:rPr>
          <w:rFonts w:ascii="Times New Roman" w:cs="Times New Roman" w:eastAsia="Times New Roman" w:hAnsi="Times New Roman"/>
          <w:sz w:val="20"/>
          <w:szCs w:val="20"/>
          <w:color w:val="auto"/>
        </w:rPr>
        <w:t xml:space="preserve"> ) Unless the Administrative Agent shall have been notified in writing by any Lender prior to a borrowing </w:t>
      </w:r>
      <w:r>
        <w:rPr>
          <w:rFonts w:ascii="Times New Roman" w:cs="Times New Roman" w:eastAsia="Times New Roman" w:hAnsi="Times New Roman"/>
          <w:sz w:val="20"/>
          <w:szCs w:val="20"/>
          <w:u w:val="single" w:color="auto"/>
          <w:color w:val="0000FF"/>
        </w:rPr>
        <w:t>of Dollar Loans</w:t>
      </w:r>
      <w:r>
        <w:rPr>
          <w:rFonts w:ascii="Times New Roman" w:cs="Times New Roman" w:eastAsia="Times New Roman" w:hAnsi="Times New Roman"/>
          <w:sz w:val="20"/>
          <w:szCs w:val="20"/>
          <w:color w:val="auto"/>
        </w:rPr>
        <w:t xml:space="preserve">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greater of (i) the Federal Funds Effective Rate and (ii) a rate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w:t>
      </w:r>
      <w:r>
        <w:rPr>
          <w:rFonts w:ascii="Times New Roman" w:cs="Times New Roman" w:eastAsia="Times New Roman" w:hAnsi="Times New Roman"/>
          <w:sz w:val="20"/>
          <w:szCs w:val="20"/>
          <w:u w:val="single" w:color="auto"/>
          <w:color w:val="0000FF"/>
        </w:rPr>
        <w:t>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Dollar Loans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is not made available to the Administrative Agent by such Lender within three Business Days after such Borrowing Date,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Administrative Agent shall also be entitled to recover such amount with interest thereon at the rate per annum applicable to ABR Loans, on demand, from the Borrower. Nothing in this Section 2.12(</w:t>
      </w:r>
      <w:r>
        <w:rPr>
          <w:rFonts w:ascii="Times New Roman" w:cs="Times New Roman" w:eastAsia="Times New Roman" w:hAnsi="Times New Roman"/>
          <w:sz w:val="20"/>
          <w:szCs w:val="20"/>
          <w:color w:val="FF0000"/>
          <w:strike w:val="1"/>
        </w:rPr>
        <w:t>d</w:t>
      </w:r>
      <w:r>
        <w:rPr>
          <w:rFonts w:ascii="Times New Roman" w:cs="Times New Roman" w:eastAsia="Times New Roman" w:hAnsi="Times New Roman"/>
          <w:sz w:val="20"/>
          <w:szCs w:val="20"/>
          <w:u w:val="single" w:color="auto"/>
          <w:color w:val="0000FF"/>
        </w:rPr>
        <w:t>f</w:t>
      </w:r>
      <w:r>
        <w:rPr>
          <w:rFonts w:ascii="Times New Roman" w:cs="Times New Roman" w:eastAsia="Times New Roman" w:hAnsi="Times New Roman"/>
          <w:sz w:val="20"/>
          <w:szCs w:val="20"/>
          <w:color w:val="000000"/>
        </w:rPr>
        <w:t>) shall be deemed to limit the rights of the Borrower against such Lender.</w:t>
      </w:r>
    </w:p>
    <w:p>
      <w:pPr>
        <w:spacing w:after="0" w:line="188" w:lineRule="exact"/>
        <w:rPr>
          <w:sz w:val="20"/>
          <w:szCs w:val="20"/>
          <w:color w:val="auto"/>
        </w:rPr>
      </w:pPr>
    </w:p>
    <w:p>
      <w:pPr>
        <w:ind w:firstLine="1035"/>
        <w:spacing w:after="0" w:line="241" w:lineRule="auto"/>
        <w:tabs>
          <w:tab w:leader="none" w:pos="1505" w:val="left"/>
        </w:tabs>
        <w:numPr>
          <w:ilvl w:val="0"/>
          <w:numId w:val="88"/>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 xml:space="preserve">Unless the Administrative Agent shall have been notified in writing by any Foreign Currency Lender prior to a borrowing of Foreign Currency Loans that such Lender will not make the amount that would constitute its share of such borrowing available to the Administrative Agent, the Administrative Agent may assume that such Foreign Currency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Foreign Currency Lender shall pay to the Administrative Agent, on demand, such amount with interest thereon, at a rate equal to the greater of (i) the Eurocurrency Rate and (ii) a rate </w:t>
      </w:r>
      <w:r>
        <w:rPr>
          <w:rFonts w:ascii="Times New Roman" w:cs="Times New Roman" w:eastAsia="Times New Roman" w:hAnsi="Times New Roman"/>
          <w:sz w:val="20"/>
          <w:szCs w:val="20"/>
          <w:u w:val="single" w:color="auto"/>
          <w:color w:val="008000"/>
        </w:rPr>
        <w:t>determined by the Administrative Agent</w:t>
      </w:r>
      <w:r>
        <w:rPr>
          <w:rFonts w:ascii="Times New Roman" w:cs="Times New Roman" w:eastAsia="Times New Roman" w:hAnsi="Times New Roman"/>
          <w:sz w:val="20"/>
          <w:szCs w:val="20"/>
          <w:u w:val="single" w:color="auto"/>
          <w:color w:val="0000FF"/>
        </w:rPr>
        <w:t xml:space="preserve"> in accordance with banking industry rules on interbank compensation, for the period until such Foreign Currency Lender makes such amount immediately available </w:t>
      </w:r>
      <w:r>
        <w:rPr>
          <w:rFonts w:ascii="Times New Roman" w:cs="Times New Roman" w:eastAsia="Times New Roman" w:hAnsi="Times New Roman"/>
          <w:sz w:val="20"/>
          <w:szCs w:val="20"/>
          <w:u w:val="single" w:color="auto"/>
          <w:color w:val="008000"/>
        </w:rPr>
        <w:t>to the Administrative Agent. A</w:t>
      </w:r>
      <w:r>
        <w:rPr>
          <w:rFonts w:ascii="Times New Roman" w:cs="Times New Roman" w:eastAsia="Times New Roman" w:hAnsi="Times New Roman"/>
          <w:sz w:val="20"/>
          <w:szCs w:val="20"/>
          <w:u w:val="single" w:color="auto"/>
          <w:color w:val="0000FF"/>
        </w:rPr>
        <w:t xml:space="preserve"> certificate of the Administrative Agent submitted to any Foreign Currency Lender with respect to any amounts owing under this paragraph shall be conclusive in the absence of manifest error. If such Foreign Currency Lender’s share of such borrowing of Foreign Currency Loans is not made available to the Administrative Agent by such Foreign Currency Lender within three Business Days after such Borrowing Date, the Administrative Agent shall also be entitled to recover such amount with interest thereon at the rate per annum applicable to Eurocurrency Loans, on demand, from the Borrower. Nothing in this Section 2.12(g) shall be deemed to limit the rights of the Borrower against such Foreign Currency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-1009015</wp:posOffset>
            </wp:positionV>
            <wp:extent cx="482790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827905" cy="8890"/>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-862965</wp:posOffset>
            </wp:positionV>
            <wp:extent cx="156083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177" w:lineRule="exact"/>
        <w:rPr>
          <w:sz w:val="20"/>
          <w:szCs w:val="20"/>
          <w:color w:val="auto"/>
        </w:rPr>
      </w:pPr>
    </w:p>
    <w:p>
      <w:pPr>
        <w:ind w:right="140" w:firstLine="102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FF0000"/>
          <w:strike w:val="1"/>
        </w:rPr>
        <w:t>e</w:t>
      </w:r>
      <w:r>
        <w:rPr>
          <w:rFonts w:ascii="Times New Roman" w:cs="Times New Roman" w:eastAsia="Times New Roman" w:hAnsi="Times New Roman"/>
          <w:sz w:val="20"/>
          <w:szCs w:val="20"/>
          <w:u w:val="single" w:color="auto"/>
          <w:color w:val="0000FF"/>
        </w:rPr>
        <w:t>h</w:t>
      </w:r>
      <w:r>
        <w:rPr>
          <w:rFonts w:ascii="Times New Roman" w:cs="Times New Roman" w:eastAsia="Times New Roman" w:hAnsi="Times New Roman"/>
          <w:sz w:val="20"/>
          <w:szCs w:val="20"/>
          <w:color w:val="auto"/>
        </w:rPr>
        <w:t xml:space="preserve"> ) 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w:t>
      </w:r>
      <w:r>
        <w:rPr>
          <w:rFonts w:ascii="Times New Roman" w:cs="Times New Roman" w:eastAsia="Times New Roman" w:hAnsi="Times New Roman"/>
          <w:sz w:val="20"/>
          <w:szCs w:val="20"/>
          <w:u w:val="single" w:color="auto"/>
          <w:color w:val="0000FF"/>
        </w:rPr>
        <w:t>applicable</w:t>
      </w:r>
      <w:r>
        <w:rPr>
          <w:rFonts w:ascii="Times New Roman" w:cs="Times New Roman" w:eastAsia="Times New Roman" w:hAnsi="Times New Roman"/>
          <w:sz w:val="20"/>
          <w:szCs w:val="20"/>
          <w:color w:val="auto"/>
        </w:rPr>
        <w:t xml:space="preserve"> Lenders their respective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shares of a corresponding amount. If such payment is not made to the Administrative Agent by the Borrower within three Business Days after such due date, the Administrative Agent shall be entitled to recover, on</w:t>
      </w:r>
    </w:p>
    <w:p>
      <w:pPr>
        <w:sectPr>
          <w:pgSz w:w="11900" w:h="16838" w:orient="portrait"/>
          <w:cols w:equalWidth="0" w:num="1">
            <w:col w:w="11420"/>
          </w:cols>
          <w:pgMar w:left="240" w:top="409" w:right="239" w:bottom="1440" w:gutter="0" w:footer="0" w:header="0"/>
        </w:sectPr>
      </w:pPr>
    </w:p>
    <w:bookmarkStart w:id="142" w:name="page143"/>
    <w:bookmarkEnd w:id="142"/>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47</w:t>
      </w:r>
    </w:p>
    <w:p>
      <w:pPr>
        <w:spacing w:after="0" w:line="238"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 xml:space="preserve">demand, from each Lender to which any amount was made available pursuant to the preceding sentence, such amount with interest thereon at the rate per annum equal to the daily average Federal Funds Effective Rate </w:t>
      </w:r>
      <w:r>
        <w:rPr>
          <w:rFonts w:ascii="Times New Roman" w:cs="Times New Roman" w:eastAsia="Times New Roman" w:hAnsi="Times New Roman"/>
          <w:sz w:val="20"/>
          <w:szCs w:val="20"/>
          <w:color w:val="0000FF"/>
        </w:rPr>
        <w:t>(in the case of any amounts made available in Dollars) or the daily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average Eurocurrency Rate (in the case of any amounts made available in any currency other than Dollars)</w:t>
      </w:r>
      <w:r>
        <w:rPr>
          <w:rFonts w:ascii="Times New Roman" w:cs="Times New Roman" w:eastAsia="Times New Roman" w:hAnsi="Times New Roman"/>
          <w:sz w:val="20"/>
          <w:szCs w:val="20"/>
          <w:color w:val="000000"/>
        </w:rPr>
        <w:t>. Nothing in this Section 2.12(</w:t>
      </w:r>
      <w:r>
        <w:rPr>
          <w:rFonts w:ascii="Times New Roman" w:cs="Times New Roman" w:eastAsia="Times New Roman" w:hAnsi="Times New Roman"/>
          <w:sz w:val="20"/>
          <w:szCs w:val="20"/>
          <w:color w:val="FF0000"/>
          <w:strike w:val="1"/>
        </w:rPr>
        <w:t>e</w:t>
      </w:r>
      <w:r>
        <w:rPr>
          <w:rFonts w:ascii="Times New Roman" w:cs="Times New Roman" w:eastAsia="Times New Roman" w:hAnsi="Times New Roman"/>
          <w:sz w:val="20"/>
          <w:szCs w:val="20"/>
          <w:u w:val="single" w:color="auto"/>
          <w:color w:val="0000FF"/>
        </w:rPr>
        <w:t>h</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shall be deemed to limit the rights of the Administrative Agent or any Lender against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-290830</wp:posOffset>
            </wp:positionV>
            <wp:extent cx="33788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78835" cy="8890"/>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-325120</wp:posOffset>
            </wp:positionV>
            <wp:extent cx="33750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75025" cy="8890"/>
                    </a:xfrm>
                    <a:prstGeom prst="rect">
                      <a:avLst/>
                    </a:prstGeom>
                    <a:noFill/>
                  </pic:spPr>
                </pic:pic>
              </a:graphicData>
            </a:graphic>
          </wp:anchor>
        </w:drawing>
      </w:r>
    </w:p>
    <w:p>
      <w:pPr>
        <w:spacing w:after="0" w:line="160" w:lineRule="exact"/>
        <w:rPr>
          <w:sz w:val="20"/>
          <w:szCs w:val="20"/>
          <w:color w:val="auto"/>
        </w:rPr>
      </w:pPr>
    </w:p>
    <w:p>
      <w:pPr>
        <w:ind w:right="60" w:firstLine="102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FF0000"/>
          <w:strike w:val="1"/>
        </w:rPr>
        <w:t>f</w:t>
      </w:r>
      <w:r>
        <w:rPr>
          <w:rFonts w:ascii="Times New Roman" w:cs="Times New Roman" w:eastAsia="Times New Roman" w:hAnsi="Times New Roman"/>
          <w:sz w:val="20"/>
          <w:szCs w:val="20"/>
          <w:u w:val="single" w:color="auto"/>
          <w:color w:val="0000FF"/>
        </w:rPr>
        <w:t>i</w:t>
      </w:r>
      <w:r>
        <w:rPr>
          <w:rFonts w:ascii="Times New Roman" w:cs="Times New Roman" w:eastAsia="Times New Roman" w:hAnsi="Times New Roman"/>
          <w:sz w:val="20"/>
          <w:szCs w:val="20"/>
          <w:color w:val="auto"/>
        </w:rPr>
        <w:t>) If any Lender shall fail to make any payment required to be made by it pursuant to Section 2.2, 2.12(</w:t>
      </w:r>
      <w:r>
        <w:rPr>
          <w:rFonts w:ascii="Times New Roman" w:cs="Times New Roman" w:eastAsia="Times New Roman" w:hAnsi="Times New Roman"/>
          <w:sz w:val="20"/>
          <w:szCs w:val="20"/>
          <w:color w:val="FF0000"/>
          <w:strike w:val="1"/>
        </w:rPr>
        <w:t>d</w:t>
      </w:r>
      <w:r>
        <w:rPr>
          <w:rFonts w:ascii="Times New Roman" w:cs="Times New Roman" w:eastAsia="Times New Roman" w:hAnsi="Times New Roman"/>
          <w:sz w:val="20"/>
          <w:szCs w:val="20"/>
          <w:u w:val="single" w:color="auto"/>
          <w:color w:val="0000FF"/>
        </w:rPr>
        <w:t>f</w:t>
      </w:r>
      <w:r>
        <w:rPr>
          <w:rFonts w:ascii="Times New Roman" w:cs="Times New Roman" w:eastAsia="Times New Roman" w:hAnsi="Times New Roman"/>
          <w:sz w:val="20"/>
          <w:szCs w:val="20"/>
          <w:color w:val="auto"/>
        </w:rPr>
        <w:t>), 2.12(</w:t>
      </w:r>
      <w:r>
        <w:rPr>
          <w:rFonts w:ascii="Times New Roman" w:cs="Times New Roman" w:eastAsia="Times New Roman" w:hAnsi="Times New Roman"/>
          <w:sz w:val="20"/>
          <w:szCs w:val="20"/>
          <w:color w:val="FF0000"/>
          <w:strike w:val="1"/>
        </w:rPr>
        <w:t>e</w:t>
      </w:r>
      <w:r>
        <w:rPr>
          <w:rFonts w:ascii="Times New Roman" w:cs="Times New Roman" w:eastAsia="Times New Roman" w:hAnsi="Times New Roman"/>
          <w:sz w:val="20"/>
          <w:szCs w:val="20"/>
          <w:u w:val="single" w:color="auto"/>
          <w:color w:val="0000FF"/>
        </w:rPr>
        <w:t>g</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0000FF"/>
        </w:rPr>
        <w:t>, 2.12(h)</w:t>
      </w:r>
      <w:r>
        <w:rPr>
          <w:rFonts w:ascii="Times New Roman" w:cs="Times New Roman" w:eastAsia="Times New Roman" w:hAnsi="Times New Roman"/>
          <w:sz w:val="20"/>
          <w:szCs w:val="20"/>
          <w:color w:val="auto"/>
        </w:rPr>
        <w:t>, 2.14(e)</w:t>
      </w:r>
      <w:r>
        <w:rPr>
          <w:rFonts w:ascii="Times New Roman" w:cs="Times New Roman" w:eastAsia="Times New Roman" w:hAnsi="Times New Roman"/>
          <w:sz w:val="20"/>
          <w:szCs w:val="20"/>
          <w:u w:val="single" w:color="auto"/>
          <w:color w:val="0000FF"/>
        </w:rPr>
        <w:t>, 2.20, 2.21</w:t>
      </w:r>
      <w:r>
        <w:rPr>
          <w:rFonts w:ascii="Times New Roman" w:cs="Times New Roman" w:eastAsia="Times New Roman" w:hAnsi="Times New Roman"/>
          <w:sz w:val="20"/>
          <w:szCs w:val="20"/>
          <w:color w:val="auto"/>
        </w:rPr>
        <w:t>, 3.4 or 9.7, then the Administrative Agent may, in its discretion and notwithstanding any contrary provision hereof, (i) apply any amounts thereafter received hereunder by the Administrative Agent for the account of such Lender for the benefit of the Administrative Agent or the Issuing Lender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pacing w:after="0" w:line="187" w:lineRule="exact"/>
        <w:rPr>
          <w:sz w:val="20"/>
          <w:szCs w:val="20"/>
          <w:color w:val="auto"/>
        </w:rPr>
      </w:pPr>
    </w:p>
    <w:p>
      <w:pPr>
        <w:ind w:right="260" w:firstLine="1027"/>
        <w:spacing w:after="0" w:line="254" w:lineRule="auto"/>
        <w:rPr>
          <w:sz w:val="20"/>
          <w:szCs w:val="20"/>
          <w:color w:val="auto"/>
        </w:rPr>
      </w:pPr>
      <w:r>
        <w:rPr>
          <w:rFonts w:ascii="Times New Roman" w:cs="Times New Roman" w:eastAsia="Times New Roman" w:hAnsi="Times New Roman"/>
          <w:sz w:val="20"/>
          <w:szCs w:val="20"/>
          <w:color w:val="auto"/>
        </w:rPr>
        <w:t xml:space="preserve">2.13 </w:t>
      </w:r>
      <w:r>
        <w:rPr>
          <w:rFonts w:ascii="Times New Roman" w:cs="Times New Roman" w:eastAsia="Times New Roman" w:hAnsi="Times New Roman"/>
          <w:sz w:val="20"/>
          <w:szCs w:val="20"/>
          <w:u w:val="single" w:color="auto"/>
          <w:color w:val="auto"/>
        </w:rPr>
        <w:t>Requirements of Law</w:t>
      </w:r>
      <w:r>
        <w:rPr>
          <w:rFonts w:ascii="Times New Roman" w:cs="Times New Roman" w:eastAsia="Times New Roman" w:hAnsi="Times New Roman"/>
          <w:sz w:val="20"/>
          <w:szCs w:val="20"/>
          <w:color w:val="auto"/>
        </w:rPr>
        <w:t>. (a) If the adoption of or any change in any Requirement of Law or in the interpretation or application thereof or compliance by any Credit Party with any request or directive (whether or not having the force of law) from any central bank or other Governmental Authority made subsequent to the Effective Date:</w:t>
      </w:r>
    </w:p>
    <w:p>
      <w:pPr>
        <w:spacing w:after="0" w:line="175" w:lineRule="exact"/>
        <w:rPr>
          <w:sz w:val="20"/>
          <w:szCs w:val="20"/>
          <w:color w:val="auto"/>
        </w:rPr>
      </w:pPr>
    </w:p>
    <w:p>
      <w:pPr>
        <w:ind w:left="460" w:right="100" w:firstLine="542"/>
        <w:spacing w:after="0" w:line="269" w:lineRule="auto"/>
        <w:tabs>
          <w:tab w:leader="none" w:pos="153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subject such Credit Party to any Taxes (other than Indemnified Taxes and Excluded Taxes) on its loans, loan principal, letters of credit, commitments, or other obligations, or its deposits, reserves, other liabilities or capital attributable thereto;</w:t>
      </w:r>
    </w:p>
    <w:p>
      <w:pPr>
        <w:spacing w:after="0" w:line="159" w:lineRule="exact"/>
        <w:rPr>
          <w:rFonts w:ascii="Times New Roman" w:cs="Times New Roman" w:eastAsia="Times New Roman" w:hAnsi="Times New Roman"/>
          <w:sz w:val="20"/>
          <w:szCs w:val="20"/>
          <w:color w:val="auto"/>
        </w:rPr>
      </w:pPr>
    </w:p>
    <w:p>
      <w:pPr>
        <w:ind w:left="460" w:right="280" w:firstLine="542"/>
        <w:spacing w:after="0" w:line="249" w:lineRule="auto"/>
        <w:tabs>
          <w:tab w:leader="none" w:pos="158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impose, modify or hold applicable any reserve, special deposit, compulsory loan, insurance charge or similar requirement against assets held by, deposits or other liabilities in or for the account of, advances, loans or other extensions of credit (or participations therein) by, or any other acquisition of funds by, any office of such Credit Party that is not otherwise included in the determination of the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Rate; or</w:t>
      </w:r>
    </w:p>
    <w:p>
      <w:pPr>
        <w:spacing w:after="0" w:line="180" w:lineRule="exact"/>
        <w:rPr>
          <w:rFonts w:ascii="Times New Roman" w:cs="Times New Roman" w:eastAsia="Times New Roman" w:hAnsi="Times New Roman"/>
          <w:sz w:val="20"/>
          <w:szCs w:val="20"/>
          <w:color w:val="auto"/>
        </w:rPr>
      </w:pPr>
    </w:p>
    <w:p>
      <w:pPr>
        <w:ind w:left="1680" w:hanging="645"/>
        <w:spacing w:after="0"/>
        <w:tabs>
          <w:tab w:leader="none" w:pos="168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impose on such Credit Party any other condition;</w:t>
      </w:r>
    </w:p>
    <w:p>
      <w:pPr>
        <w:spacing w:after="0" w:line="21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and the result of any of the foregoing is to increase the cost to such Credit Party, by an amount that such Credit Party deems to be material, of making, converting into, continuing or maintaining Loans or issuing or participating in Letters of Credit, or to reduce any amount receivable hereunder in respect thereof, then, in any such case, the Borrower shall promptly pay such Credit Party, upon its demand, any additional amounts necessary to compensate such Credit Party for such increased cost or reduced amount receivable. If any Credit Party becomes entitled to claim any additional amounts pursuant to this paragraph, it shall promptly notify the Borrower (with a copy to the Administrative Agent) of the event by reason of which it has become so entitled.</w:t>
      </w:r>
    </w:p>
    <w:p>
      <w:pPr>
        <w:spacing w:after="0" w:line="185" w:lineRule="exact"/>
        <w:rPr>
          <w:sz w:val="20"/>
          <w:szCs w:val="20"/>
          <w:color w:val="auto"/>
        </w:rPr>
      </w:pPr>
    </w:p>
    <w:p>
      <w:pPr>
        <w:ind w:right="40" w:firstLine="1035"/>
        <w:spacing w:after="0" w:line="245" w:lineRule="auto"/>
        <w:tabs>
          <w:tab w:leader="none" w:pos="160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shall have determined that the adoption of or any change in any Requirement of Law regarding capital adequacy or liquidity or in the interpretation or application thereof or compliance by such Lender or any corporation controlling such Lender with any request or directive regarding capital adequacy or liquidity (whether or not having the force of law) from any Governmental Authority made subsequent to the Effective Date shall have the effect of reducing the rate of return on such Lender’s or such corporation’s capital as a consequence of its obligations hereunder or under or in respect of any Letter of Credit to a level below that which such Lender or such corporation could have achieved but for such adoption, change or compliance (taking into consideration such Lender’s or such</w:t>
      </w:r>
    </w:p>
    <w:p>
      <w:pPr>
        <w:sectPr>
          <w:pgSz w:w="11900" w:h="16838" w:orient="portrait"/>
          <w:cols w:equalWidth="0" w:num="1">
            <w:col w:w="11420"/>
          </w:cols>
          <w:pgMar w:left="240" w:top="409" w:right="2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48</w:t>
      </w:r>
    </w:p>
    <w:p>
      <w:pPr>
        <w:spacing w:after="0" w:line="238"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9"/>
          <w:szCs w:val="19"/>
          <w:color w:val="auto"/>
        </w:rPr>
        <w:t>corporation’s policies with respect to capital adequacy or liquidity) by an amount deemed by such Lender to be material, then from time to time, after submission by such Lender to the Borrower (with a copy to the Administrative Agent) of a written request therefor, the Borrower shall pay to such Lender such additional amount or amounts as will compensate such Lender or such corporation for such reduction.</w:t>
      </w:r>
    </w:p>
    <w:p>
      <w:pPr>
        <w:spacing w:after="0" w:line="157" w:lineRule="exact"/>
        <w:rPr>
          <w:sz w:val="20"/>
          <w:szCs w:val="20"/>
          <w:color w:val="auto"/>
        </w:rPr>
      </w:pPr>
    </w:p>
    <w:p>
      <w:pPr>
        <w:ind w:right="20" w:firstLine="1035"/>
        <w:spacing w:after="0" w:line="242" w:lineRule="auto"/>
        <w:tabs>
          <w:tab w:leader="none" w:pos="1494" w:val="left"/>
        </w:tabs>
        <w:numPr>
          <w:ilvl w:val="0"/>
          <w:numId w:val="91"/>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If by reason of the adoption of or any change in any Requirement of Law subsequent to the First Amendment Effective Date, disruption of currency or foreign exchange markets, war or civil disturbance or similar event, the funding of any Foreign Currency Loan in any relevant Foreign Currency or the funding of any Foreign Currency Loan in any relevant Foreign Currency to an office located other than in New York shall be impossible or, in the reasonable judgment of the Administrative Agent such Foreign Currency is no longer available or readily convertible into Dollars, or the Dollar Equivalent of such Foreign Currency is no longer readily calculable, then, no Foreign Currency Loans in the relevant currency shall be made or any Foreign Currency Loan in the relevant currency shall be made to an office of the Administrative Agent located in New York, as the case may be, until such time as, in the reasonable judgment of the Administrative Agent, the funding of Foreign Currency Loans in the relevant Foreign Currency is possible, the funding of Foreign Currency Loans in the relevant Foreign Currency to an office located other than in New York is possible, the relevant Foreign Currency is available and readily convertible into Dollars or the Dollar Equivalent of the relevant Foreign Currency Loan is readily calculable, as applicable.</w:t>
      </w:r>
    </w:p>
    <w:p>
      <w:pPr>
        <w:spacing w:after="0" w:line="193" w:lineRule="exact"/>
        <w:rPr>
          <w:rFonts w:ascii="Times New Roman" w:cs="Times New Roman" w:eastAsia="Times New Roman" w:hAnsi="Times New Roman"/>
          <w:sz w:val="20"/>
          <w:szCs w:val="20"/>
          <w:u w:val="single" w:color="auto"/>
          <w:color w:val="0000FF"/>
        </w:rPr>
      </w:pPr>
    </w:p>
    <w:p>
      <w:pPr>
        <w:ind w:right="40" w:firstLine="1035"/>
        <w:spacing w:after="0" w:line="242" w:lineRule="auto"/>
        <w:tabs>
          <w:tab w:leader="none" w:pos="1505" w:val="left"/>
        </w:tabs>
        <w:numPr>
          <w:ilvl w:val="0"/>
          <w:numId w:val="91"/>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 If by reason of the adoption of or any change in any Requirement of Law subsequent to the First Amendment Effective Date, disruption of currency or foreign exchange markets, war or civil disturbance or similar event, any payment in respect of any Foreign Currency Loans due in a Foreign Currency or and/or at a place of payment other than New York shall be impossible or, in the reasonable judgment of the Administrative Agent, such Foreign Currency is no longer available or readily convertible into Dollars, or the Dollar Equivalent of such Foreign Currency is no longer readily calculable, then, at the election of any affected Foreign Currency Lender, the Borrower shall make payment of such Foreign Currency Loans in dollars (based upon the Exchange Rate in effect for the day on which such payment occurs, as determined by the Administrative Agent in accordance with the terms hereof) and/or in New York or (ii) if any Foreign Currency in which Foreign Loans are outstanding is redenominated then, at the election of any affected Foreign Currency Lender, such affected Foreign Currency Loan and all obligations of the Borrower in respect thereof shall be converted into obligations in Dollars (based upon the Exchange Rate in effect on such date, as determined by the Administrative Agent in accordance with the terms hereof), and, in each case, the Borrower shall indemnify the Foreign Currency Lenders, against any currency exchange losses as reasonably determined by such affected Foreign Currency Lender or reasonable out-of-pocket expenses that it shall sustain as a result of such alternative payment.</w:t>
      </w:r>
    </w:p>
    <w:p>
      <w:pPr>
        <w:spacing w:after="0" w:line="188" w:lineRule="exact"/>
        <w:rPr>
          <w:sz w:val="20"/>
          <w:szCs w:val="20"/>
          <w:color w:val="auto"/>
        </w:rPr>
      </w:pPr>
    </w:p>
    <w:p>
      <w:pPr>
        <w:ind w:firstLine="1027"/>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c</w:t>
      </w:r>
      <w:r>
        <w:rPr>
          <w:rFonts w:ascii="Times New Roman" w:cs="Times New Roman" w:eastAsia="Times New Roman" w:hAnsi="Times New Roman"/>
          <w:sz w:val="19"/>
          <w:szCs w:val="19"/>
          <w:u w:val="single" w:color="auto"/>
          <w:color w:val="0000FF"/>
        </w:rPr>
        <w:t>e</w:t>
      </w:r>
      <w:r>
        <w:rPr>
          <w:rFonts w:ascii="Times New Roman" w:cs="Times New Roman" w:eastAsia="Times New Roman" w:hAnsi="Times New Roman"/>
          <w:sz w:val="19"/>
          <w:szCs w:val="19"/>
          <w:color w:val="auto"/>
        </w:rPr>
        <w:t xml:space="preserve"> ) 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in each case be deemed to be a change in any Requirement of Law, regardless of the date enacted, adopted, issued or implemented.</w:t>
      </w:r>
    </w:p>
    <w:p>
      <w:pPr>
        <w:spacing w:after="0" w:line="167" w:lineRule="exact"/>
        <w:rPr>
          <w:sz w:val="20"/>
          <w:szCs w:val="20"/>
          <w:color w:val="auto"/>
        </w:rPr>
      </w:pPr>
    </w:p>
    <w:p>
      <w:pPr>
        <w:ind w:right="100" w:firstLine="102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FF0000"/>
          <w:strike w:val="1"/>
        </w:rPr>
        <w:t>d</w:t>
      </w:r>
      <w:r>
        <w:rPr>
          <w:rFonts w:ascii="Times New Roman" w:cs="Times New Roman" w:eastAsia="Times New Roman" w:hAnsi="Times New Roman"/>
          <w:sz w:val="20"/>
          <w:szCs w:val="20"/>
          <w:u w:val="single" w:color="auto"/>
          <w:color w:val="0000FF"/>
        </w:rPr>
        <w:t>f</w:t>
      </w:r>
      <w:r>
        <w:rPr>
          <w:rFonts w:ascii="Times New Roman" w:cs="Times New Roman" w:eastAsia="Times New Roman" w:hAnsi="Times New Roman"/>
          <w:sz w:val="20"/>
          <w:szCs w:val="20"/>
          <w:color w:val="auto"/>
        </w:rPr>
        <w:t>) A certificate as to any additional amounts payable pursuant to this Section 2.13 (which certificate shall set forth in reasonable detail the basis for the claim for such additional amounts and a calculation thereof) submitted by any Credit Party to the Borrower (with a copy to the Administrative Agent) shall be conclusive in the absence of manifest error. Notwithstanding anything to the contrary in this Section 2.13, the Borrower shall not be required to compensate a Credit Party pursuant</w:t>
      </w:r>
    </w:p>
    <w:p>
      <w:pPr>
        <w:sectPr>
          <w:pgSz w:w="11900" w:h="16838" w:orient="portrait"/>
          <w:cols w:equalWidth="0" w:num="1">
            <w:col w:w="11420"/>
          </w:cols>
          <w:pgMar w:left="240" w:top="409" w:right="2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49</w:t>
      </w:r>
    </w:p>
    <w:p>
      <w:pPr>
        <w:spacing w:after="0" w:line="23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9"/>
          <w:szCs w:val="19"/>
          <w:color w:val="auto"/>
        </w:rPr>
        <w:t xml:space="preserve">to this Section 2.13 for any amounts incurred more than nine months prior to the date that such Credit Party notifies the Borrower of such Credit Party’s intention to claim compensation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circumstances giving rise to such claim have a retroactive effect, then such nine-month period shall be extended to include the period of such retroactive effect. The obligations of the Borrower pursuant to this Section 2.13 shall survive the termination of this Agreement and the payment of the Loans and all other amounts payable hereunder.</w:t>
      </w:r>
    </w:p>
    <w:p>
      <w:pPr>
        <w:spacing w:after="0" w:line="166" w:lineRule="exact"/>
        <w:rPr>
          <w:sz w:val="20"/>
          <w:szCs w:val="20"/>
          <w:color w:val="auto"/>
        </w:rPr>
      </w:pPr>
    </w:p>
    <w:p>
      <w:pPr>
        <w:ind w:right="20" w:firstLine="1027"/>
        <w:spacing w:after="0" w:line="243" w:lineRule="auto"/>
        <w:rPr>
          <w:sz w:val="20"/>
          <w:szCs w:val="20"/>
          <w:color w:val="auto"/>
        </w:rPr>
      </w:pPr>
      <w:r>
        <w:rPr>
          <w:rFonts w:ascii="Times New Roman" w:cs="Times New Roman" w:eastAsia="Times New Roman" w:hAnsi="Times New Roman"/>
          <w:sz w:val="20"/>
          <w:szCs w:val="20"/>
          <w:color w:val="auto"/>
        </w:rPr>
        <w:t xml:space="preserve">2.14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xml:space="preserve">. (a) Each payment by or on behalf of any Loan Party under any Loan Document shall be made without withholding for any Taxes, unless such withholding is required by any law (as determined by the applicable withholding agent in its sole discretion exercised in good faith),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Taxes are withheld by a Loan Party (or the Administrative Agent, as the case may be) and such Taxes are Indemnified Taxes, then the amount payable by such Loan Party shall be increased as necessary so that, net of such withholding (including such withholding applicable to additional amounts payable under this Section 2.14), the applicable Credit Party receives the amount it would have received had no such withholding been made, and (ii) if the Taxes were withheld by a Loan Party or the Administrative Agent, as the case may be, such Loan Party or the Administrative Agent, as the case may be, shall timely pay the full amount of such Taxes to the relevant Governmental Authority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-721995</wp:posOffset>
            </wp:positionV>
            <wp:extent cx="342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-756285</wp:posOffset>
            </wp:positionV>
            <wp:extent cx="3111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70" w:lineRule="exact"/>
        <w:rPr>
          <w:sz w:val="20"/>
          <w:szCs w:val="20"/>
          <w:color w:val="auto"/>
        </w:rPr>
      </w:pPr>
    </w:p>
    <w:p>
      <w:pPr>
        <w:ind w:left="1460" w:hanging="425"/>
        <w:spacing w:after="0"/>
        <w:tabs>
          <w:tab w:leader="none" w:pos="14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timely pay any Other Taxes to the relevant Governmental Authority in accordance with applicable law.</w:t>
      </w:r>
    </w:p>
    <w:p>
      <w:pPr>
        <w:spacing w:after="0" w:line="215" w:lineRule="exact"/>
        <w:rPr>
          <w:rFonts w:ascii="Times New Roman" w:cs="Times New Roman" w:eastAsia="Times New Roman" w:hAnsi="Times New Roman"/>
          <w:sz w:val="20"/>
          <w:szCs w:val="20"/>
          <w:color w:val="auto"/>
        </w:rPr>
      </w:pPr>
    </w:p>
    <w:p>
      <w:pPr>
        <w:jc w:val="both"/>
        <w:ind w:right="200" w:firstLine="1035"/>
        <w:spacing w:after="0" w:line="249" w:lineRule="auto"/>
        <w:tabs>
          <w:tab w:leader="none" w:pos="143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after any payment of Indemnified Taxes by any Loan Party to a Governmental Authority,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0" w:lineRule="exact"/>
        <w:rPr>
          <w:rFonts w:ascii="Times New Roman" w:cs="Times New Roman" w:eastAsia="Times New Roman" w:hAnsi="Times New Roman"/>
          <w:sz w:val="20"/>
          <w:szCs w:val="20"/>
          <w:color w:val="auto"/>
        </w:rPr>
      </w:pPr>
    </w:p>
    <w:p>
      <w:pPr>
        <w:ind w:right="20" w:firstLine="1035"/>
        <w:spacing w:after="0" w:line="244" w:lineRule="auto"/>
        <w:tabs>
          <w:tab w:leader="none" w:pos="150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shall jointly and severally indemnify each Credit Party for any Indemnified Taxes that are paid or payable by such Credit Party in connection with any Loan Document (including amounts paid or payable under this Section 2.14(d)) and any reasonable expenses arising therefrom or with respect thereto, whether or not such Indemnified Taxes were correctly or legally imposed or asserted by the relevant Governmental Authority. The indemnity under this Section 2.14(d) shall be paid within 10 days after the Credit Party delivers to the Borrower a certificate stating the amount of any Indemnified Taxes so paid or payable by such Credit Party and describing the basis for the indemnification claim. Such certificate shall be conclusive of the amount so paid or payable absent manifest error. Such Credit Party shall deliver a copy of such certificate to the Administrative Agent.</w:t>
      </w:r>
    </w:p>
    <w:p>
      <w:pPr>
        <w:spacing w:after="0" w:line="186" w:lineRule="exact"/>
        <w:rPr>
          <w:rFonts w:ascii="Times New Roman" w:cs="Times New Roman" w:eastAsia="Times New Roman" w:hAnsi="Times New Roman"/>
          <w:sz w:val="20"/>
          <w:szCs w:val="20"/>
          <w:color w:val="auto"/>
        </w:rPr>
      </w:pPr>
    </w:p>
    <w:p>
      <w:pPr>
        <w:ind w:right="40" w:firstLine="1035"/>
        <w:spacing w:after="0" w:line="244" w:lineRule="auto"/>
        <w:tabs>
          <w:tab w:leader="none" w:pos="144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severally indemnify the Administrative Agent for any Taxes (but, in the case of any Indemnified Taxes, only to the extent that the Loan Parties have not already indemnified the Administrative Agent for such Indemnified Taxes and without limiting the obligation of the Loan Parties to do so) attributable to such Lender that are paid or payable by the Administrative Agent in connection with any Loan Document and any reasonable expenses arising therefrom or with respect thereto, whether or not such Taxes were correctly or legally imposed or asserted by the relevant Governmental Authority. The indemnity under this Section 2.14(e) shall be paid within 10 days after the Administrative Agent delivers to the applicable Lender a certificate stating the amount of Taxes so paid or payable by the Administrative Agent. Such certificate shall be conclusive of the amount so paid or payable absent manifest error.</w:t>
      </w:r>
    </w:p>
    <w:p>
      <w:pPr>
        <w:sectPr>
          <w:pgSz w:w="11900" w:h="16838" w:orient="portrait"/>
          <w:cols w:equalWidth="0" w:num="1">
            <w:col w:w="11420"/>
          </w:cols>
          <w:pgMar w:left="240" w:top="409" w:right="2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50</w:t>
      </w:r>
    </w:p>
    <w:p>
      <w:pPr>
        <w:spacing w:after="0" w:line="238" w:lineRule="exact"/>
        <w:rPr>
          <w:sz w:val="20"/>
          <w:szCs w:val="20"/>
          <w:color w:val="auto"/>
        </w:rPr>
      </w:pPr>
    </w:p>
    <w:p>
      <w:pPr>
        <w:ind w:right="120" w:firstLine="1035"/>
        <w:spacing w:after="0" w:line="254" w:lineRule="auto"/>
        <w:tabs>
          <w:tab w:leader="none" w:pos="1423" w:val="left"/>
        </w:tabs>
        <w:numPr>
          <w:ilvl w:val="2"/>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Any Lender that is entitled to an exemption from, or reduction of, any applicable withholding Tax with respect to any payments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or at a reduced rate of, withholding. In addition, any Lender, if requested by the Borrower or the Administrative Agent, shall deliver such other documentation prescribed by law or reasonably requested by the Borrower or the Administrative Agent as will enable the Borrower or the Administrative Agent to determine whether or not such Lender is subject to any withholding (including backup withholding) or information reporting requirements. Notwithstanding anything to the contrary in the preceding two sentences, the completion, execution and submission of such documentation (other than such documentation set forth in Sections 2.14(f)(ii)(A) through (E) and 2.14(f)(iii)) shall not be required if in the Lender’s judgment such completion, execution or submission would subject such Lender to any material unreimbursed cost or expense (or, in the case of a Change in Law, any incremental material unreimbursed cost or expense) or would materially prejudice the legal or commercial position of such Lender. Upon the reasonable request of such Borrower or the Administrative Agent, any Lender shall update any form or certification previously delivered pursuant to this</w:t>
      </w:r>
    </w:p>
    <w:p>
      <w:pPr>
        <w:spacing w:after="0" w:line="2" w:lineRule="exact"/>
        <w:rPr>
          <w:rFonts w:ascii="Times New Roman" w:cs="Times New Roman" w:eastAsia="Times New Roman" w:hAnsi="Times New Roman"/>
          <w:sz w:val="19"/>
          <w:szCs w:val="19"/>
          <w:color w:val="auto"/>
        </w:rPr>
      </w:pPr>
    </w:p>
    <w:p>
      <w:pPr>
        <w:ind w:right="140"/>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Section 2.14(f). If any form or certification previously delivered pursuant to this Section 2.14(f) expires or becomes obsolete or inaccurate in any respect with respect to a Lender, such Lender shall promptly (and in any event within 10 days after such expiration, obsolescence or inaccuracy) notify such Borrower and the Administrative Agent in writing of such expiration, obsolescence or inaccuracy and update the form or certification if it is legally eligible to do so.</w:t>
      </w:r>
    </w:p>
    <w:p>
      <w:pPr>
        <w:spacing w:after="0" w:line="188" w:lineRule="exact"/>
        <w:rPr>
          <w:rFonts w:ascii="Times New Roman" w:cs="Times New Roman" w:eastAsia="Times New Roman" w:hAnsi="Times New Roman"/>
          <w:sz w:val="19"/>
          <w:szCs w:val="19"/>
          <w:color w:val="auto"/>
        </w:rPr>
      </w:pPr>
    </w:p>
    <w:p>
      <w:pPr>
        <w:ind w:left="460" w:right="360" w:firstLine="443"/>
        <w:spacing w:after="0" w:line="249" w:lineRule="auto"/>
        <w:tabs>
          <w:tab w:leader="none" w:pos="1334"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if the Borrower is a U.S. Person, any Lender with respect to the Borrower shall, if it is legally eligible to do so, deliver to such Borrower and the Administrative Agent (in such number of copies reasonably requested by such Borrower and the Administrative Agent) on or prior to the date on which such Lender becomes a party hereto, duly completed and executed copies of whichever of the following is applicable:</w:t>
      </w:r>
    </w:p>
    <w:p>
      <w:pPr>
        <w:spacing w:after="0" w:line="180" w:lineRule="exact"/>
        <w:rPr>
          <w:rFonts w:ascii="Times New Roman" w:cs="Times New Roman" w:eastAsia="Times New Roman" w:hAnsi="Times New Roman"/>
          <w:sz w:val="20"/>
          <w:szCs w:val="20"/>
          <w:color w:val="auto"/>
        </w:rPr>
      </w:pPr>
    </w:p>
    <w:p>
      <w:pPr>
        <w:ind w:left="460" w:right="280" w:firstLine="990"/>
        <w:spacing w:after="0" w:line="269" w:lineRule="auto"/>
        <w:tabs>
          <w:tab w:leader="none" w:pos="1919" w:val="left"/>
        </w:tabs>
        <w:numPr>
          <w:ilvl w:val="3"/>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Lender that is a U.S. Person, IRS Form W-9 certifying that such Lender is exempt from U.S. Federal backup withholding tax;</w:t>
      </w:r>
    </w:p>
    <w:p>
      <w:pPr>
        <w:spacing w:after="0" w:line="159" w:lineRule="exact"/>
        <w:rPr>
          <w:rFonts w:ascii="Times New Roman" w:cs="Times New Roman" w:eastAsia="Times New Roman" w:hAnsi="Times New Roman"/>
          <w:sz w:val="20"/>
          <w:szCs w:val="20"/>
          <w:color w:val="auto"/>
        </w:rPr>
      </w:pPr>
    </w:p>
    <w:p>
      <w:pPr>
        <w:ind w:left="1920" w:hanging="470"/>
        <w:spacing w:after="0"/>
        <w:tabs>
          <w:tab w:leader="none" w:pos="1920" w:val="left"/>
        </w:tabs>
        <w:numPr>
          <w:ilvl w:val="3"/>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Non-U.S. Lender claiming the benefits of an income tax treaty to which the United States is a party</w:t>
      </w:r>
    </w:p>
    <w:p>
      <w:pPr>
        <w:spacing w:after="0" w:line="21" w:lineRule="exact"/>
        <w:rPr>
          <w:rFonts w:ascii="Times New Roman" w:cs="Times New Roman" w:eastAsia="Times New Roman" w:hAnsi="Times New Roman"/>
          <w:sz w:val="20"/>
          <w:szCs w:val="20"/>
          <w:color w:val="auto"/>
        </w:rPr>
      </w:pPr>
    </w:p>
    <w:p>
      <w:pPr>
        <w:jc w:val="both"/>
        <w:ind w:left="460" w:right="200" w:firstLine="4"/>
        <w:spacing w:after="0" w:line="241" w:lineRule="auto"/>
        <w:tabs>
          <w:tab w:leader="none" w:pos="74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payments of interest under Loan Document, IRS Form W-8BEN or IRS Form W-8BEN-E establishing an exemption from, or reduction of, U.S. Federal withholding Tax pursuant to the “interest” article of such tax treaty and (2) with respect to any other applicable payments under Loan Document, IRS Form W-8BEN or IRS Form W-8BEN-E establishing an exemption from, or reduction of, U.S. Federal withholding Tax pursuant to the “business profits” or “other income” article of such tax treaty;</w:t>
      </w:r>
    </w:p>
    <w:p>
      <w:pPr>
        <w:spacing w:after="0" w:line="188" w:lineRule="exact"/>
        <w:rPr>
          <w:rFonts w:ascii="Times New Roman" w:cs="Times New Roman" w:eastAsia="Times New Roman" w:hAnsi="Times New Roman"/>
          <w:sz w:val="20"/>
          <w:szCs w:val="20"/>
          <w:color w:val="auto"/>
        </w:rPr>
      </w:pPr>
    </w:p>
    <w:p>
      <w:pPr>
        <w:ind w:left="460" w:right="240" w:firstLine="990"/>
        <w:spacing w:after="0" w:line="269" w:lineRule="auto"/>
        <w:tabs>
          <w:tab w:leader="none" w:pos="1908" w:val="left"/>
        </w:tabs>
        <w:numPr>
          <w:ilvl w:val="3"/>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Non-U.S. Lender for whom payments under any Loan Document constitute income that is effectively connected with such Lender’s conduct of a trade or business in the United States, IRS Form W-8ECI;</w:t>
      </w:r>
    </w:p>
    <w:p>
      <w:pPr>
        <w:spacing w:after="0" w:line="159" w:lineRule="exact"/>
        <w:rPr>
          <w:rFonts w:ascii="Times New Roman" w:cs="Times New Roman" w:eastAsia="Times New Roman" w:hAnsi="Times New Roman"/>
          <w:sz w:val="20"/>
          <w:szCs w:val="20"/>
          <w:color w:val="auto"/>
        </w:rPr>
      </w:pPr>
    </w:p>
    <w:p>
      <w:pPr>
        <w:ind w:left="460" w:right="20" w:firstLine="990"/>
        <w:spacing w:after="0" w:line="245" w:lineRule="auto"/>
        <w:tabs>
          <w:tab w:leader="none" w:pos="1919" w:val="left"/>
        </w:tabs>
        <w:numPr>
          <w:ilvl w:val="3"/>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Non-U.S. Lender claiming the benefits of the exemption for portfolio interest under Section 881(c) of the Code both (1) IRS Form W-8BEN or IRS Form W-8BEN-E and (2) a certificate substantially in the form of Exhibit H (a “</w:t>
      </w:r>
      <w:r>
        <w:rPr>
          <w:rFonts w:ascii="Times New Roman" w:cs="Times New Roman" w:eastAsia="Times New Roman" w:hAnsi="Times New Roman"/>
          <w:sz w:val="20"/>
          <w:szCs w:val="20"/>
          <w:u w:val="single" w:color="auto"/>
          <w:color w:val="auto"/>
        </w:rPr>
        <w:t>U.S.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to the effect that such Lender is not (a) a “bank” within the meaning of Section 881(c)(3)(A) of the Code, (b) a “10 percent shareholder” of the Borrower within the meaning of Section 881(c)(3)(B) of the Code, (c) a “controlled foreign corporation” described in Section 881(c)(3)(C) of the Code and (d) conducting a trade or business in the United States with which the relevant interest payments are effectively connected;</w:t>
      </w:r>
    </w:p>
    <w:p>
      <w:pPr>
        <w:sectPr>
          <w:pgSz w:w="11900" w:h="16838" w:orient="portrait"/>
          <w:cols w:equalWidth="0" w:num="1">
            <w:col w:w="11420"/>
          </w:cols>
          <w:pgMar w:left="240" w:top="409" w:right="2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w:t>
      </w:r>
    </w:p>
    <w:p>
      <w:pPr>
        <w:spacing w:after="0" w:line="238" w:lineRule="exact"/>
        <w:rPr>
          <w:sz w:val="20"/>
          <w:szCs w:val="20"/>
          <w:color w:val="auto"/>
        </w:rPr>
      </w:pPr>
    </w:p>
    <w:p>
      <w:pPr>
        <w:ind w:left="460" w:right="220" w:firstLine="990"/>
        <w:spacing w:after="0" w:line="245" w:lineRule="auto"/>
        <w:tabs>
          <w:tab w:leader="none" w:pos="1897" w:val="left"/>
        </w:tabs>
        <w:numPr>
          <w:ilvl w:val="2"/>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Non-U.S. Lender that is not the beneficial owner of payments made under any Loan Document (including a partnership or a participating Lender) (1) an IRS Form W-8IMY on behalf of itself and (2) the relevant forms prescribed in clauses (A), (B), (C) and (D) and (F) of this paragraph (f)(ii) that would be required of each such beneficial owner or partner of such partnership if such beneficial owner or partner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Lender is a partnership and one or more of its partners are claiming the exemption for portfolio interest under Section 881(c) of the Code, such Lender may provide a U.S. Tax Certificate on behalf of such partners; or</w:t>
      </w:r>
    </w:p>
    <w:p>
      <w:pPr>
        <w:spacing w:after="0" w:line="185" w:lineRule="exact"/>
        <w:rPr>
          <w:rFonts w:ascii="Times New Roman" w:cs="Times New Roman" w:eastAsia="Times New Roman" w:hAnsi="Times New Roman"/>
          <w:sz w:val="20"/>
          <w:szCs w:val="20"/>
          <w:color w:val="auto"/>
        </w:rPr>
      </w:pPr>
    </w:p>
    <w:p>
      <w:pPr>
        <w:ind w:left="460" w:right="240" w:firstLine="990"/>
        <w:spacing w:after="0" w:line="254" w:lineRule="auto"/>
        <w:tabs>
          <w:tab w:leader="none" w:pos="1886" w:val="left"/>
        </w:tabs>
        <w:numPr>
          <w:ilvl w:val="2"/>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form prescribed by law as a basis for claiming exemption from, or a reduction of, U.S. Federal withholding Tax together with such supplementary documentation necessary to enable the Borrower or the Administrative Agent to determine the amount of Tax (if any) required by law to be withheld.</w:t>
      </w:r>
    </w:p>
    <w:p>
      <w:pPr>
        <w:spacing w:after="0" w:line="174" w:lineRule="exact"/>
        <w:rPr>
          <w:rFonts w:ascii="Times New Roman" w:cs="Times New Roman" w:eastAsia="Times New Roman" w:hAnsi="Times New Roman"/>
          <w:sz w:val="20"/>
          <w:szCs w:val="20"/>
          <w:color w:val="auto"/>
        </w:rPr>
      </w:pPr>
    </w:p>
    <w:p>
      <w:pPr>
        <w:ind w:left="460" w:right="60" w:firstLine="443"/>
        <w:spacing w:after="0" w:line="243" w:lineRule="auto"/>
        <w:tabs>
          <w:tab w:leader="none" w:pos="139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applicable Loan Party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or the Administrative Agent to comply with its obligations under FATCA, to determine that such Lender has or has not complied with such Lender’s obligations under FATCA or to determine the amount to deduct and withhold from such payment. Solely for purposes of this Section 2.14(f)(iii), “FATCA” shall include any amendments made to FATCA after the date of this Agreement.</w:t>
      </w:r>
    </w:p>
    <w:p>
      <w:pPr>
        <w:spacing w:after="0" w:line="146" w:lineRule="exact"/>
        <w:rPr>
          <w:rFonts w:ascii="Times New Roman" w:cs="Times New Roman" w:eastAsia="Times New Roman" w:hAnsi="Times New Roman"/>
          <w:sz w:val="20"/>
          <w:szCs w:val="20"/>
          <w:color w:val="auto"/>
        </w:rPr>
      </w:pPr>
    </w:p>
    <w:p>
      <w:pPr>
        <w:ind w:right="60" w:firstLine="1035"/>
        <w:spacing w:after="0" w:line="274" w:lineRule="auto"/>
        <w:tabs>
          <w:tab w:leader="none" w:pos="1456"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purposes of determining withholding Taxes imposed under FATCA, from and after the Second Amendment </w:t>
      </w:r>
      <w:r>
        <w:rPr>
          <w:rFonts w:ascii="Times New Roman" w:cs="Times New Roman" w:eastAsia="Times New Roman" w:hAnsi="Times New Roman"/>
          <w:sz w:val="19"/>
          <w:szCs w:val="19"/>
          <w:u w:val="single" w:color="auto"/>
          <w:color w:val="0000FF"/>
        </w:rPr>
        <w:t>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Restatement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Effective Date, the Borrower and the Administrative Agent shall treat (and the Lenders hereby authorize the Administrative Agent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to treat) the Obligations as not qualifying as a “grandfathered obligation” within the meaning of Treasury Regulation Section 1.1471-2(b)(2)(i).</w:t>
      </w:r>
    </w:p>
    <w:p>
      <w:pPr>
        <w:spacing w:after="0" w:line="129" w:lineRule="exact"/>
        <w:rPr>
          <w:rFonts w:ascii="Times New Roman" w:cs="Times New Roman" w:eastAsia="Times New Roman" w:hAnsi="Times New Roman"/>
          <w:sz w:val="19"/>
          <w:szCs w:val="19"/>
          <w:color w:val="auto"/>
        </w:rPr>
      </w:pPr>
    </w:p>
    <w:p>
      <w:pPr>
        <w:ind w:right="20" w:firstLine="1035"/>
        <w:spacing w:after="0" w:line="242" w:lineRule="auto"/>
        <w:tabs>
          <w:tab w:leader="none" w:pos="1456"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party determines, in its sole discretion exercised in good faith, that it has received a refund of any Taxes as to which it has been indemnified pursuant to this Section 2.14 (including additional amounts paid pursuant to this Section 2.14), it shall pay to the indemnifying party an amount equal to such refund (but only to the extent of indemnity payments made under this Section 2.14 with respect to the Taxes giving rise to such refund), net of all out-of-pocket expenses (including any Taxes) of such indemnified party and without interest (other than any interest paid by the relevant Governmental Authority with respect to such refund). Such indemnifying party, upon the request of such indemnified party, shall repay to such indemnified party the amount paid to such indemnified party pursuant to the previous sentence (plus any penalties, interest or other charges imposed by the relevant Governmental Authority) in the event such indemnified party is required to repay such refund to such Governmental Authority. Notwithstanding anything to the contrary in this Section 2.14(h), in no event will any indemnified party be required to pay any amount to any indemnifying party pursuant to this Section 2.14(h) if such payment would place such indemnified party in a less favorable position (on a net after-Tax basis) than such indemnified party would have been in if the indemnification payments or additional amounts giving rise to such refund had never been paid. This Section 2.14(h) shall not be construed to require any indemnified party to make available its Tax returns (or any other information relating to its Taxes which it deems confidential) to the indemnifying party or any other Person.</w:t>
      </w:r>
    </w:p>
    <w:p>
      <w:pPr>
        <w:sectPr>
          <w:pgSz w:w="11900" w:h="16838" w:orient="portrait"/>
          <w:cols w:equalWidth="0" w:num="1">
            <w:col w:w="11420"/>
          </w:cols>
          <w:pgMar w:left="240" w:top="409" w:right="2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52</w:t>
      </w:r>
    </w:p>
    <w:p>
      <w:pPr>
        <w:spacing w:after="0" w:line="238" w:lineRule="exact"/>
        <w:rPr>
          <w:sz w:val="20"/>
          <w:szCs w:val="20"/>
          <w:color w:val="auto"/>
        </w:rPr>
      </w:pPr>
    </w:p>
    <w:p>
      <w:pPr>
        <w:ind w:right="160" w:firstLine="1035"/>
        <w:spacing w:after="0" w:line="296" w:lineRule="auto"/>
        <w:tabs>
          <w:tab w:leader="none" w:pos="1560"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party’s obligations under this Section 2.14 shall survive any assignment of rights by, or the replacement of, a Lender, the termination of the Commitments and the repayment, satisfaction or discharge of all other obligations under the Loan Documents.</w:t>
      </w:r>
    </w:p>
    <w:p>
      <w:pPr>
        <w:spacing w:after="0" w:line="136" w:lineRule="exact"/>
        <w:rPr>
          <w:rFonts w:ascii="Times New Roman" w:cs="Times New Roman" w:eastAsia="Times New Roman" w:hAnsi="Times New Roman"/>
          <w:sz w:val="19"/>
          <w:szCs w:val="19"/>
          <w:color w:val="auto"/>
        </w:rPr>
      </w:pPr>
    </w:p>
    <w:p>
      <w:pPr>
        <w:ind w:left="1560" w:hanging="525"/>
        <w:spacing w:after="0"/>
        <w:tabs>
          <w:tab w:leader="none" w:pos="15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Sections 2.14(e) and (f), the term “Lender” includes the Issuing Lender.</w:t>
      </w:r>
    </w:p>
    <w:p>
      <w:pPr>
        <w:spacing w:after="0" w:line="216" w:lineRule="exact"/>
        <w:rPr>
          <w:sz w:val="20"/>
          <w:szCs w:val="20"/>
          <w:color w:val="auto"/>
        </w:rPr>
      </w:pPr>
    </w:p>
    <w:p>
      <w:pPr>
        <w:ind w:left="1040"/>
        <w:spacing w:after="0"/>
        <w:tabs>
          <w:tab w:leader="none" w:pos="156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u w:val="single" w:color="auto"/>
          <w:color w:val="auto"/>
        </w:rPr>
        <w:t>Indemnity</w:t>
      </w:r>
      <w:r>
        <w:rPr>
          <w:rFonts w:ascii="Times New Roman" w:cs="Times New Roman" w:eastAsia="Times New Roman" w:hAnsi="Times New Roman"/>
          <w:sz w:val="19"/>
          <w:szCs w:val="19"/>
          <w:color w:val="auto"/>
        </w:rPr>
        <w:t>. The Borrower agrees to indemnify each Lender for, and to hold each Lender harmless from, any loss or expense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 such Lender may sustain or incur as a consequence of (a) default by the Borrower in making a borrowing of, conversion into or</w:t>
      </w:r>
    </w:p>
    <w:p>
      <w:pPr>
        <w:spacing w:after="0"/>
        <w:rPr>
          <w:sz w:val="20"/>
          <w:szCs w:val="20"/>
          <w:color w:val="auto"/>
        </w:rPr>
      </w:pPr>
      <w:r>
        <w:rPr>
          <w:rFonts w:ascii="Times New Roman" w:cs="Times New Roman" w:eastAsia="Times New Roman" w:hAnsi="Times New Roman"/>
          <w:sz w:val="20"/>
          <w:szCs w:val="20"/>
          <w:color w:val="auto"/>
        </w:rPr>
        <w:t xml:space="preserve">continuation of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Loans after the Borrower has given a notice requesting the same in accordance with the provisions of</w:t>
      </w:r>
    </w:p>
    <w:p>
      <w:pPr>
        <w:spacing w:after="0"/>
        <w:rPr>
          <w:sz w:val="20"/>
          <w:szCs w:val="20"/>
          <w:color w:val="auto"/>
        </w:rPr>
      </w:pPr>
      <w:r>
        <w:rPr>
          <w:rFonts w:ascii="Times New Roman" w:cs="Times New Roman" w:eastAsia="Times New Roman" w:hAnsi="Times New Roman"/>
          <w:sz w:val="20"/>
          <w:szCs w:val="20"/>
          <w:color w:val="auto"/>
        </w:rPr>
        <w:t xml:space="preserve">this Agreement, (b) default by the Borrower in making any prepayment of or conversion from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Loans after the</w:t>
      </w:r>
    </w:p>
    <w:p>
      <w:pPr>
        <w:spacing w:after="0"/>
        <w:rPr>
          <w:sz w:val="20"/>
          <w:szCs w:val="20"/>
          <w:color w:val="auto"/>
        </w:rPr>
      </w:pPr>
      <w:r>
        <w:rPr>
          <w:rFonts w:ascii="Times New Roman" w:cs="Times New Roman" w:eastAsia="Times New Roman" w:hAnsi="Times New Roman"/>
          <w:sz w:val="20"/>
          <w:szCs w:val="20"/>
          <w:color w:val="auto"/>
        </w:rPr>
        <w:t>Borrower has given a notice thereof in accordance with the provisions of this Agreement or (c) the making of a prepayment of</w:t>
      </w:r>
    </w:p>
    <w:p>
      <w:pPr>
        <w:spacing w:after="0"/>
        <w:rPr>
          <w:sz w:val="20"/>
          <w:szCs w:val="20"/>
          <w:color w:val="auto"/>
        </w:rPr>
      </w:pP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Loans on a day that is not the last day of an Interest Period with respect thereto. Such indemnification may include an</w:t>
      </w:r>
    </w:p>
    <w:p>
      <w:pPr>
        <w:spacing w:after="0"/>
        <w:rPr>
          <w:sz w:val="20"/>
          <w:szCs w:val="20"/>
          <w:color w:val="auto"/>
        </w:rPr>
      </w:pPr>
      <w:r>
        <w:rPr>
          <w:rFonts w:ascii="Times New Roman" w:cs="Times New Roman" w:eastAsia="Times New Roman" w:hAnsi="Times New Roman"/>
          <w:sz w:val="20"/>
          <w:szCs w:val="20"/>
          <w:color w:val="auto"/>
        </w:rPr>
        <w:t>amount equal to the excess, if any, of (i) the amount of interest that would have accrued on the amount so prepaid, or not so borrowed,</w:t>
      </w:r>
    </w:p>
    <w:p>
      <w:pPr>
        <w:spacing w:after="0"/>
        <w:rPr>
          <w:sz w:val="20"/>
          <w:szCs w:val="20"/>
          <w:color w:val="auto"/>
        </w:rPr>
      </w:pPr>
      <w:r>
        <w:rPr>
          <w:rFonts w:ascii="Times New Roman" w:cs="Times New Roman" w:eastAsia="Times New Roman" w:hAnsi="Times New Roman"/>
          <w:sz w:val="19"/>
          <w:szCs w:val="19"/>
          <w:color w:val="auto"/>
        </w:rPr>
        <w:t>converted or continued, for the period from the date of such prepayment or of such failure to borrow, convert or continue to the last day of such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Period (or, in the case of a failure to borrow, convert or continue, the Interest Period that would have commenced on the date of such</w:t>
      </w:r>
    </w:p>
    <w:p>
      <w:pPr>
        <w:spacing w:after="0"/>
        <w:rPr>
          <w:sz w:val="20"/>
          <w:szCs w:val="20"/>
          <w:color w:val="auto"/>
        </w:rPr>
      </w:pPr>
      <w:r>
        <w:rPr>
          <w:rFonts w:ascii="Times New Roman" w:cs="Times New Roman" w:eastAsia="Times New Roman" w:hAnsi="Times New Roman"/>
          <w:sz w:val="20"/>
          <w:szCs w:val="20"/>
          <w:color w:val="auto"/>
        </w:rPr>
        <w:t>failure) in each case at the applicable rate of interest for such Loans provided for herein (excluding, however, the Applicable Margin included</w:t>
      </w:r>
    </w:p>
    <w:p>
      <w:pPr>
        <w:spacing w:after="0"/>
        <w:rPr>
          <w:sz w:val="20"/>
          <w:szCs w:val="20"/>
          <w:color w:val="auto"/>
        </w:rPr>
      </w:pPr>
      <w:r>
        <w:rPr>
          <w:rFonts w:ascii="Times New Roman" w:cs="Times New Roman" w:eastAsia="Times New Roman" w:hAnsi="Times New Roman"/>
          <w:sz w:val="20"/>
          <w:szCs w:val="20"/>
          <w:color w:val="auto"/>
        </w:rPr>
        <w:t xml:space="preserve">therein, if any) </w:t>
      </w:r>
      <w:r>
        <w:rPr>
          <w:rFonts w:ascii="Times New Roman" w:cs="Times New Roman" w:eastAsia="Times New Roman" w:hAnsi="Times New Roman"/>
          <w:sz w:val="20"/>
          <w:szCs w:val="20"/>
          <w:u w:val="single" w:color="auto"/>
          <w:color w:val="auto"/>
        </w:rPr>
        <w:t>over</w:t>
      </w:r>
      <w:r>
        <w:rPr>
          <w:rFonts w:ascii="Times New Roman" w:cs="Times New Roman" w:eastAsia="Times New Roman" w:hAnsi="Times New Roman"/>
          <w:sz w:val="20"/>
          <w:szCs w:val="20"/>
          <w:color w:val="auto"/>
        </w:rPr>
        <w:t xml:space="preserve"> (ii) the amount of interest (as reasonably determined by such Lender) that would have accrued to such Lender on such</w:t>
      </w:r>
    </w:p>
    <w:p>
      <w:pPr>
        <w:spacing w:after="0"/>
        <w:rPr>
          <w:sz w:val="20"/>
          <w:szCs w:val="20"/>
          <w:color w:val="auto"/>
        </w:rPr>
      </w:pPr>
      <w:r>
        <w:rPr>
          <w:rFonts w:ascii="Times New Roman" w:cs="Times New Roman" w:eastAsia="Times New Roman" w:hAnsi="Times New Roman"/>
          <w:sz w:val="20"/>
          <w:szCs w:val="20"/>
          <w:color w:val="auto"/>
        </w:rPr>
        <w:t xml:space="preserve">amount by placing such amount on deposit for a comparable period with leading banks in the interbank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market. A</w:t>
      </w:r>
    </w:p>
    <w:p>
      <w:pPr>
        <w:spacing w:after="0"/>
        <w:rPr>
          <w:sz w:val="20"/>
          <w:szCs w:val="20"/>
          <w:color w:val="auto"/>
        </w:rPr>
      </w:pPr>
      <w:r>
        <w:rPr>
          <w:rFonts w:ascii="Times New Roman" w:cs="Times New Roman" w:eastAsia="Times New Roman" w:hAnsi="Times New Roman"/>
          <w:sz w:val="20"/>
          <w:szCs w:val="20"/>
          <w:color w:val="auto"/>
        </w:rPr>
        <w:t>certificate as to any amounts payable pursuant to this Section 2.15 submitted to the Borrower by any Lender shall be conclusive in the absence</w:t>
      </w:r>
    </w:p>
    <w:p>
      <w:pPr>
        <w:spacing w:after="0"/>
        <w:rPr>
          <w:sz w:val="20"/>
          <w:szCs w:val="20"/>
          <w:color w:val="auto"/>
        </w:rPr>
      </w:pPr>
      <w:r>
        <w:rPr>
          <w:rFonts w:ascii="Times New Roman" w:cs="Times New Roman" w:eastAsia="Times New Roman" w:hAnsi="Times New Roman"/>
          <w:sz w:val="20"/>
          <w:szCs w:val="20"/>
          <w:color w:val="auto"/>
        </w:rPr>
        <w:t>of manifest error. This covenant shall survive the termination of this Agreement and the payment of the Loans and all other amounts payable</w:t>
      </w:r>
    </w:p>
    <w:p>
      <w:pPr>
        <w:spacing w:after="0"/>
        <w:rPr>
          <w:sz w:val="20"/>
          <w:szCs w:val="20"/>
          <w:color w:val="auto"/>
        </w:rPr>
      </w:pPr>
      <w:r>
        <w:rPr>
          <w:rFonts w:ascii="Times New Roman" w:cs="Times New Roman" w:eastAsia="Times New Roman" w:hAnsi="Times New Roman"/>
          <w:sz w:val="20"/>
          <w:szCs w:val="20"/>
          <w:color w:val="auto"/>
        </w:rPr>
        <w:t>hereunder.</w:t>
      </w:r>
    </w:p>
    <w:p>
      <w:pPr>
        <w:spacing w:after="0" w:line="194" w:lineRule="exact"/>
        <w:rPr>
          <w:sz w:val="20"/>
          <w:szCs w:val="20"/>
          <w:color w:val="auto"/>
        </w:rPr>
      </w:pPr>
    </w:p>
    <w:p>
      <w:pPr>
        <w:ind w:left="1040"/>
        <w:spacing w:after="0"/>
        <w:tabs>
          <w:tab w:leader="none" w:pos="156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19"/>
          <w:szCs w:val="19"/>
          <w:u w:val="single" w:color="auto"/>
          <w:color w:val="auto"/>
        </w:rPr>
        <w:t>Change of Lending Office</w:t>
      </w:r>
      <w:r>
        <w:rPr>
          <w:rFonts w:ascii="Times New Roman" w:cs="Times New Roman" w:eastAsia="Times New Roman" w:hAnsi="Times New Roman"/>
          <w:sz w:val="19"/>
          <w:szCs w:val="19"/>
          <w:color w:val="auto"/>
        </w:rPr>
        <w:t>. Each Lender agrees that, upon the occurrence of any event giving rise to the payment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 amounts under Section 2.13 or Section 2.14(a) with respect to such Lender or if such Lender gives a notice described in</w:t>
      </w:r>
    </w:p>
    <w:p>
      <w:pPr>
        <w:ind w:right="20"/>
        <w:spacing w:after="0"/>
        <w:rPr>
          <w:sz w:val="20"/>
          <w:szCs w:val="20"/>
          <w:color w:val="auto"/>
        </w:rPr>
      </w:pPr>
      <w:r>
        <w:rPr>
          <w:rFonts w:ascii="Times New Roman" w:cs="Times New Roman" w:eastAsia="Times New Roman" w:hAnsi="Times New Roman"/>
          <w:sz w:val="20"/>
          <w:szCs w:val="20"/>
          <w:color w:val="auto"/>
        </w:rPr>
        <w:t xml:space="preserve">Section 2.11(b), it will use reasonable efforts (subject to overall policy considerations of such Lender) to designate another lending office for any Loans affected by such event with the object of avoiding the consequences of such event;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designation is made on terms that, in the sole judgment of such Lender, cause such Lender and its lending offices to suffer no economic, legal or regulatory disadvantage,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nothing in this Section shall affect or postpone any of the obligations of the Borrower or the rights of any Lender pursuant to Section 2.11(b), 2.13 or 2.14(a). </w:t>
      </w:r>
      <w:r>
        <w:rPr>
          <w:rFonts w:ascii="Times New Roman" w:cs="Times New Roman" w:eastAsia="Times New Roman" w:hAnsi="Times New Roman"/>
          <w:sz w:val="20"/>
          <w:szCs w:val="20"/>
          <w:u w:val="single" w:color="auto"/>
          <w:color w:val="0000FF"/>
        </w:rPr>
        <w:t>Any Lender may, at its option, cause its Loans to be made by any branch, Affiliate or international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banking facility of such Lender, provided that such Lender shall remain responsible for all of its obligations hereunder and no additional taxes, costs or other burdens shall be imposed upon the Borrower or the Administrative Agent as a result thereof.</w:t>
      </w:r>
    </w:p>
    <w:p>
      <w:pPr>
        <w:spacing w:after="0" w:line="191" w:lineRule="exact"/>
        <w:rPr>
          <w:sz w:val="20"/>
          <w:szCs w:val="20"/>
          <w:color w:val="auto"/>
        </w:rPr>
      </w:pPr>
    </w:p>
    <w:p>
      <w:pPr>
        <w:ind w:right="60" w:firstLine="1027"/>
        <w:spacing w:after="0" w:line="243" w:lineRule="auto"/>
        <w:rPr>
          <w:sz w:val="20"/>
          <w:szCs w:val="20"/>
          <w:color w:val="auto"/>
        </w:rPr>
      </w:pPr>
      <w:r>
        <w:rPr>
          <w:rFonts w:ascii="Times New Roman" w:cs="Times New Roman" w:eastAsia="Times New Roman" w:hAnsi="Times New Roman"/>
          <w:sz w:val="20"/>
          <w:szCs w:val="20"/>
          <w:color w:val="auto"/>
        </w:rPr>
        <w:t xml:space="preserve">2.17 </w:t>
      </w: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xml:space="preserve">. The Borrower shall be permitted to replace any Lender that (a) requests reimbursement for amounts owing pursuant to Section 2.13 or 2.14(a) or sends a notice described in Section 2.11(b), (b) becomes a Defaulting Lender, or (c) does not consent to any proposed amendment, supplement, modification, consent or waiver of any provision of this Agreement or any other Loan Document that requires the consent of each of the Lenders or each of the Lenders affected thereby (so long as the consent of the Required Lenders (with the percentage in such definition being deemed to be 66-2/3% for this purpose) has been obtained), with a replacement financial institution;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replacement does not conflict with any Requirement of Law, (ii) no Event of Default shall have occurred and be continuing at the time of such replacement, (iii) prior to any such replacement, such Lender shall have taken no action under Section 2.16 so as to eliminate the continued need for payment of</w:t>
      </w:r>
    </w:p>
    <w:p>
      <w:pPr>
        <w:sectPr>
          <w:pgSz w:w="11900" w:h="16838" w:orient="portrait"/>
          <w:cols w:equalWidth="0" w:num="1">
            <w:col w:w="11420"/>
          </w:cols>
          <w:pgMar w:left="240" w:top="409" w:right="2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53</w:t>
      </w:r>
    </w:p>
    <w:p>
      <w:pPr>
        <w:spacing w:after="0" w:line="23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9"/>
          <w:szCs w:val="19"/>
          <w:color w:val="auto"/>
        </w:rPr>
        <w:t xml:space="preserve">amounts owing pursuant to Section 2.13 or 2.14(a) or to eliminate the illegality described in Section 2.11(b), (iv) the replacement financial institution shall purchase, at par, all Loans and other amounts owing to such replaced Lender on or prior to the date of replacement, (v) the Borrower shall be liable to such replaced Lender under Section 2.15 if any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Eurocurrency</w:t>
      </w:r>
      <w:r>
        <w:rPr>
          <w:rFonts w:ascii="Times New Roman" w:cs="Times New Roman" w:eastAsia="Times New Roman" w:hAnsi="Times New Roman"/>
          <w:sz w:val="19"/>
          <w:szCs w:val="19"/>
          <w:color w:val="auto"/>
        </w:rPr>
        <w:t xml:space="preserve"> Loan owing to such replaced Lender shall be purchased other than on the last day of the Interest Period relating thereto, (vi) the replacement financial institution shall be reasonably satisfactory to the Administrative Agent, (vii) the replaced Lender shall be obligated to make such replacement in accordance with the provisions of Section 10.6 (provided that the Borrower shall be obligated to pay the registration and processing fee referred to therein),</w:t>
      </w:r>
    </w:p>
    <w:p>
      <w:pPr>
        <w:spacing w:after="0" w:line="1" w:lineRule="exact"/>
        <w:rPr>
          <w:sz w:val="20"/>
          <w:szCs w:val="20"/>
          <w:color w:val="auto"/>
        </w:rPr>
      </w:pPr>
    </w:p>
    <w:p>
      <w:pPr>
        <w:ind w:firstLine="8"/>
        <w:spacing w:after="0" w:line="242" w:lineRule="auto"/>
        <w:tabs>
          <w:tab w:leader="none" w:pos="445"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such time as such replacement shall be consummated, the Borrower shall pay all additional amounts (if any) required pursuant to Section 2.13 or 2.14(a) or comply with Section 2.11(b), as the case may be, and (ix) any such replacement shall not be deemed to be a waiver of any rights that the Borrower, the Administrative Agent or any other Lender shall have against the replaced Lender.</w:t>
      </w:r>
    </w:p>
    <w:p>
      <w:pPr>
        <w:spacing w:after="0" w:line="187" w:lineRule="exact"/>
        <w:rPr>
          <w:sz w:val="20"/>
          <w:szCs w:val="20"/>
          <w:color w:val="auto"/>
        </w:rPr>
      </w:pPr>
    </w:p>
    <w:p>
      <w:pPr>
        <w:ind w:right="140" w:firstLine="1027"/>
        <w:spacing w:after="0" w:line="269" w:lineRule="auto"/>
        <w:rPr>
          <w:sz w:val="20"/>
          <w:szCs w:val="20"/>
          <w:color w:val="auto"/>
        </w:rPr>
      </w:pPr>
      <w:r>
        <w:rPr>
          <w:rFonts w:ascii="Times New Roman" w:cs="Times New Roman" w:eastAsia="Times New Roman" w:hAnsi="Times New Roman"/>
          <w:sz w:val="20"/>
          <w:szCs w:val="20"/>
          <w:color w:val="auto"/>
        </w:rPr>
        <w:t xml:space="preserve">2.18 </w:t>
      </w: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Notwithstanding any provision of this Agreement to the contrary, if any Lender becomes a Defaulting Lender, then the following provisions shall apply for so long as such Lender is a Defaulting Lender:</w:t>
      </w:r>
    </w:p>
    <w:p>
      <w:pPr>
        <w:spacing w:after="0" w:line="160" w:lineRule="exact"/>
        <w:rPr>
          <w:sz w:val="20"/>
          <w:szCs w:val="20"/>
          <w:color w:val="auto"/>
        </w:rPr>
      </w:pPr>
    </w:p>
    <w:p>
      <w:pPr>
        <w:ind w:left="1560" w:hanging="525"/>
        <w:spacing w:after="0"/>
        <w:tabs>
          <w:tab w:leader="none" w:pos="1560" w:val="left"/>
        </w:tabs>
        <w:numPr>
          <w:ilvl w:val="2"/>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shall cease to accrue on the unfunded portion of the Commitment of such Defaulting Lender pursuant to Section 2.3;</w:t>
      </w:r>
    </w:p>
    <w:p>
      <w:pPr>
        <w:spacing w:after="0" w:line="215" w:lineRule="exact"/>
        <w:rPr>
          <w:rFonts w:ascii="Times New Roman" w:cs="Times New Roman" w:eastAsia="Times New Roman" w:hAnsi="Times New Roman"/>
          <w:sz w:val="20"/>
          <w:szCs w:val="20"/>
          <w:color w:val="auto"/>
        </w:rPr>
      </w:pPr>
    </w:p>
    <w:p>
      <w:pPr>
        <w:ind w:right="160" w:firstLine="1035"/>
        <w:spacing w:after="0" w:line="249" w:lineRule="auto"/>
        <w:tabs>
          <w:tab w:leader="none" w:pos="1555" w:val="left"/>
        </w:tabs>
        <w:numPr>
          <w:ilvl w:val="2"/>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Commitment and Extensions of Credit of such Defaulting Lender shall not be included in determining whether the Required Lenders have taken or may take any action hereunder (including any consent to any amendment, waiver or other modification pursuant to Section 10.1);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this clause (b) shall not apply to the vote of a Defaulting Lender in the case of an amendment, waiver or other modification requiring the consent of such Lender or each Lender affected thereby;</w:t>
      </w:r>
    </w:p>
    <w:p>
      <w:pPr>
        <w:spacing w:after="0" w:line="180" w:lineRule="exact"/>
        <w:rPr>
          <w:rFonts w:ascii="Times New Roman" w:cs="Times New Roman" w:eastAsia="Times New Roman" w:hAnsi="Times New Roman"/>
          <w:sz w:val="20"/>
          <w:szCs w:val="20"/>
          <w:color w:val="auto"/>
        </w:rPr>
      </w:pPr>
    </w:p>
    <w:p>
      <w:pPr>
        <w:ind w:left="1460" w:hanging="425"/>
        <w:spacing w:after="0"/>
        <w:tabs>
          <w:tab w:leader="none" w:pos="1460" w:val="left"/>
        </w:tabs>
        <w:numPr>
          <w:ilvl w:val="2"/>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L/C Exposure exists at the time such Lender becomes a Defaulting Lender then:</w:t>
      </w:r>
    </w:p>
    <w:p>
      <w:pPr>
        <w:spacing w:after="0" w:line="215" w:lineRule="exact"/>
        <w:rPr>
          <w:rFonts w:ascii="Times New Roman" w:cs="Times New Roman" w:eastAsia="Times New Roman" w:hAnsi="Times New Roman"/>
          <w:sz w:val="20"/>
          <w:szCs w:val="20"/>
          <w:color w:val="auto"/>
        </w:rPr>
      </w:pPr>
    </w:p>
    <w:p>
      <w:pPr>
        <w:ind w:left="460" w:right="80" w:firstLine="542"/>
        <w:spacing w:after="0" w:line="249" w:lineRule="auto"/>
        <w:tabs>
          <w:tab w:leader="none" w:pos="1382"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or any part of the L/C Exposure of such Defaulting Lender shall be reallocated among the non-Defaulting Lenders in accordance with their respective </w:t>
      </w:r>
      <w:r>
        <w:rPr>
          <w:rFonts w:ascii="Times New Roman" w:cs="Times New Roman" w:eastAsia="Times New Roman" w:hAnsi="Times New Roman"/>
          <w:sz w:val="20"/>
          <w:szCs w:val="20"/>
          <w:u w:val="single" w:color="auto"/>
          <w:color w:val="0000FF"/>
        </w:rPr>
        <w:t>L/C Participation</w:t>
      </w:r>
      <w:r>
        <w:rPr>
          <w:rFonts w:ascii="Times New Roman" w:cs="Times New Roman" w:eastAsia="Times New Roman" w:hAnsi="Times New Roman"/>
          <w:sz w:val="20"/>
          <w:szCs w:val="20"/>
          <w:color w:val="auto"/>
        </w:rPr>
        <w:t xml:space="preserve"> Percentages but only to the extent (x) the sum of all non-Defaulting Lenders’ Extensions of Credit plus such Defaulting Lender’s L/C Exposure does not exceed the total of all non-Defaulting Lenders’ Commitments and (y) no non-Defaulting Lender’s Extensions of Credit would exceed such non-Defaulting Lender’s Commitment;</w:t>
      </w:r>
    </w:p>
    <w:p>
      <w:pPr>
        <w:spacing w:after="0" w:line="180" w:lineRule="exact"/>
        <w:rPr>
          <w:rFonts w:ascii="Times New Roman" w:cs="Times New Roman" w:eastAsia="Times New Roman" w:hAnsi="Times New Roman"/>
          <w:sz w:val="20"/>
          <w:szCs w:val="20"/>
          <w:color w:val="auto"/>
        </w:rPr>
      </w:pPr>
    </w:p>
    <w:p>
      <w:pPr>
        <w:jc w:val="both"/>
        <w:ind w:left="460" w:right="400" w:firstLine="542"/>
        <w:spacing w:after="0" w:line="260" w:lineRule="auto"/>
        <w:tabs>
          <w:tab w:leader="none" w:pos="1437"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reallocation described in clause (i) above cannot, or can only partially, be effected, the Borrower shall, within one Business Day following notice by the Administrative Agent, Collateralize for the benefit of the Issuing Lender only the Borrower’s obligations corresponding to such Defaulting Lender’s L/C Exposure (after giving effect to any partial reallocation pursuant to clause</w:t>
      </w:r>
    </w:p>
    <w:p>
      <w:pPr>
        <w:ind w:left="700" w:hanging="236"/>
        <w:spacing w:after="0"/>
        <w:tabs>
          <w:tab w:leader="none" w:pos="70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in accordance with the procedures set forth in Section 8 for so long as such L/C Exposure is outstanding;</w:t>
      </w:r>
    </w:p>
    <w:p>
      <w:pPr>
        <w:spacing w:after="0" w:line="193" w:lineRule="exact"/>
        <w:rPr>
          <w:rFonts w:ascii="Times New Roman" w:cs="Times New Roman" w:eastAsia="Times New Roman" w:hAnsi="Times New Roman"/>
          <w:sz w:val="20"/>
          <w:szCs w:val="20"/>
          <w:color w:val="auto"/>
        </w:rPr>
      </w:pPr>
    </w:p>
    <w:p>
      <w:pPr>
        <w:ind w:left="460" w:right="200" w:firstLine="542"/>
        <w:spacing w:after="0" w:line="254" w:lineRule="auto"/>
        <w:tabs>
          <w:tab w:leader="none" w:pos="1492"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cash collateralizes any portion of such Defaulting Lender’s L/C Exposure pursuant to clause (ii) above, the Borrower shall not be required to pay any fees to such Defaulting Lender pursuant to Section 3.3(a) with respect to such Defaulting Lender’s L/C Exposure during the period such Defaulting Lender’s L/C Exposure is cash collateralized;</w:t>
      </w:r>
    </w:p>
    <w:p>
      <w:pPr>
        <w:spacing w:after="0" w:line="174" w:lineRule="exact"/>
        <w:rPr>
          <w:rFonts w:ascii="Times New Roman" w:cs="Times New Roman" w:eastAsia="Times New Roman" w:hAnsi="Times New Roman"/>
          <w:sz w:val="20"/>
          <w:szCs w:val="20"/>
          <w:color w:val="auto"/>
        </w:rPr>
      </w:pPr>
    </w:p>
    <w:p>
      <w:pPr>
        <w:jc w:val="both"/>
        <w:ind w:left="460" w:right="300" w:firstLine="542"/>
        <w:spacing w:after="0" w:line="254" w:lineRule="auto"/>
        <w:tabs>
          <w:tab w:leader="none" w:pos="1481"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L/C Exposure of the non-Defaulting Lenders is reallocated pursuant to clause (i) above, then the fees payable to the Lenders pursuant to Section 2.3 and Section 3.3(a) shall be adjusted in accordance with such non-Defaulting Lenders’ </w:t>
      </w:r>
      <w:r>
        <w:rPr>
          <w:rFonts w:ascii="Times New Roman" w:cs="Times New Roman" w:eastAsia="Times New Roman" w:hAnsi="Times New Roman"/>
          <w:sz w:val="20"/>
          <w:szCs w:val="20"/>
          <w:u w:val="single" w:color="auto"/>
          <w:color w:val="0000FF"/>
        </w:rPr>
        <w:t>Pro Rata Shares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and L/C Participation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Percentages</w:t>
      </w:r>
      <w:r>
        <w:rPr>
          <w:rFonts w:ascii="Times New Roman" w:cs="Times New Roman" w:eastAsia="Times New Roman" w:hAnsi="Times New Roman"/>
          <w:sz w:val="20"/>
          <w:szCs w:val="20"/>
          <w:u w:val="single" w:color="auto"/>
          <w:color w:val="0000FF"/>
        </w:rPr>
        <w:t>, respectively</w:t>
      </w:r>
      <w:r>
        <w:rPr>
          <w:rFonts w:ascii="Times New Roman" w:cs="Times New Roman" w:eastAsia="Times New Roman" w:hAnsi="Times New Roman"/>
          <w:sz w:val="20"/>
          <w:szCs w:val="20"/>
          <w:color w:val="000000"/>
        </w:rPr>
        <w:t>; and</w:t>
      </w:r>
    </w:p>
    <w:p>
      <w:pPr>
        <w:sectPr>
          <w:pgSz w:w="11900" w:h="16838" w:orient="portrait"/>
          <w:cols w:equalWidth="0" w:num="1">
            <w:col w:w="11420"/>
          </w:cols>
          <w:pgMar w:left="240" w:top="409" w:right="2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54</w:t>
      </w:r>
    </w:p>
    <w:p>
      <w:pPr>
        <w:spacing w:after="0" w:line="238" w:lineRule="exact"/>
        <w:rPr>
          <w:sz w:val="20"/>
          <w:szCs w:val="20"/>
          <w:color w:val="auto"/>
        </w:rPr>
      </w:pPr>
    </w:p>
    <w:p>
      <w:pPr>
        <w:ind w:left="1440" w:hanging="438"/>
        <w:spacing w:after="0"/>
        <w:tabs>
          <w:tab w:leader="none" w:pos="144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all or any portion of such Defaulting Lender’s L/C Exposure is neither reallocated nor Collateralized pursuant to clause</w:t>
      </w:r>
    </w:p>
    <w:p>
      <w:pPr>
        <w:spacing w:after="0" w:line="21" w:lineRule="exact"/>
        <w:rPr>
          <w:rFonts w:ascii="Times New Roman" w:cs="Times New Roman" w:eastAsia="Times New Roman" w:hAnsi="Times New Roman"/>
          <w:sz w:val="20"/>
          <w:szCs w:val="20"/>
          <w:color w:val="auto"/>
        </w:rPr>
      </w:pPr>
    </w:p>
    <w:p>
      <w:pPr>
        <w:ind w:left="460" w:right="100" w:firstLine="4"/>
        <w:spacing w:after="0" w:line="242" w:lineRule="auto"/>
        <w:tabs>
          <w:tab w:leader="none" w:pos="696"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(ii) above, then, without prejudice to any rights or remedies of the Issuing Lender or any other Lender hereunder, all fees payable under Section 3.3(a) with respect to such Defaulting Lender’s L/C Exposure shall be payable to the Issuing Lender until and to the extent that such L/C Exposure is reallocated and/or Collateralized; and</w:t>
      </w:r>
    </w:p>
    <w:p>
      <w:pPr>
        <w:spacing w:after="0" w:line="187" w:lineRule="exact"/>
        <w:rPr>
          <w:rFonts w:ascii="Times New Roman" w:cs="Times New Roman" w:eastAsia="Times New Roman" w:hAnsi="Times New Roman"/>
          <w:sz w:val="20"/>
          <w:szCs w:val="20"/>
          <w:color w:val="auto"/>
        </w:rPr>
      </w:pPr>
    </w:p>
    <w:p>
      <w:pPr>
        <w:ind w:right="20" w:firstLine="1134"/>
        <w:spacing w:after="0" w:line="247" w:lineRule="auto"/>
        <w:tabs>
          <w:tab w:leader="none" w:pos="1555"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such Lender is a Defaulting Lender, the Issuing Lender shall not be required to issue, amend or increase any Letter of Credit, unless it is satisfied that the related exposure and the Defaulting Lender’s then outstanding L/C Exposure will be 100% covered by the Commitments of the non-Defaulting Lenders and/or Collateralized by the Borrower in accordance with Section 2.18(c), and participating interests in any newly issued or increased Letter of Credit shall be allocated among non-Defaulting Lenders in a manner consistent with Section 2.18(c)(i) (and such Defaulting Lender shall not participate therein).</w:t>
      </w:r>
    </w:p>
    <w:p>
      <w:pPr>
        <w:spacing w:after="0" w:line="181" w:lineRule="exact"/>
        <w:rPr>
          <w:sz w:val="20"/>
          <w:szCs w:val="20"/>
          <w:color w:val="auto"/>
        </w:rPr>
      </w:pPr>
    </w:p>
    <w:p>
      <w:pPr>
        <w:ind w:right="20" w:firstLine="1027"/>
        <w:spacing w:after="0" w:line="247" w:lineRule="auto"/>
        <w:rPr>
          <w:sz w:val="20"/>
          <w:szCs w:val="20"/>
          <w:color w:val="auto"/>
        </w:rPr>
      </w:pPr>
      <w:r>
        <w:rPr>
          <w:rFonts w:ascii="Times New Roman" w:cs="Times New Roman" w:eastAsia="Times New Roman" w:hAnsi="Times New Roman"/>
          <w:sz w:val="20"/>
          <w:szCs w:val="20"/>
          <w:color w:val="auto"/>
        </w:rPr>
        <w:t>If (i) a Bankruptcy Event with respect to a Lender Parent of any Lender shall occur following the Effective Date and for so long as such event shall continue or (ii) the Issuing Lender has a good faith belief that any Lender has defaulted in fulfilling its obligations under one or more other agreements in which such Lender commits to extend credit, the Issuing Lender shall not be required to issue, amend or increase any Letter of Credit, unless the Issuing Lender shall have entered into arrangements with the Borrower or such Lender, satisfactory to the Issuing Lender to defease any risk to it in respect of such Lender hereunder.</w:t>
      </w:r>
    </w:p>
    <w:p>
      <w:pPr>
        <w:spacing w:after="0" w:line="181" w:lineRule="exact"/>
        <w:rPr>
          <w:sz w:val="20"/>
          <w:szCs w:val="20"/>
          <w:color w:val="auto"/>
        </w:rPr>
      </w:pPr>
    </w:p>
    <w:p>
      <w:pPr>
        <w:ind w:right="60" w:firstLine="1027"/>
        <w:spacing w:after="0" w:line="243" w:lineRule="auto"/>
        <w:rPr>
          <w:sz w:val="20"/>
          <w:szCs w:val="20"/>
          <w:color w:val="auto"/>
        </w:rPr>
      </w:pPr>
      <w:r>
        <w:rPr>
          <w:rFonts w:ascii="Times New Roman" w:cs="Times New Roman" w:eastAsia="Times New Roman" w:hAnsi="Times New Roman"/>
          <w:sz w:val="20"/>
          <w:szCs w:val="20"/>
          <w:color w:val="auto"/>
        </w:rPr>
        <w:t xml:space="preserve">In the event that the Administrative Agent, the Borrower and the Issuing Lender each agrees that a Defaulting Lender has adequately remedied all matters that caused such Lender to be a Defaulting Lender, then the L/C Exposure of the Lenders shall be readjusted to reflect the inclusion of such Lender’s Commitment and on such date such Lender shall purchase at par such of the Loans of the other Lenders as the Administrative Agent shall determine may be necessary in order for such Lender to hold such </w:t>
      </w:r>
      <w:r>
        <w:rPr>
          <w:rFonts w:ascii="Times New Roman" w:cs="Times New Roman" w:eastAsia="Times New Roman" w:hAnsi="Times New Roman"/>
          <w:sz w:val="20"/>
          <w:szCs w:val="20"/>
          <w:u w:val="single" w:color="auto"/>
          <w:color w:val="0000FF"/>
        </w:rPr>
        <w:t>Foreign Currency</w:t>
      </w:r>
      <w:r>
        <w:rPr>
          <w:rFonts w:ascii="Times New Roman" w:cs="Times New Roman" w:eastAsia="Times New Roman" w:hAnsi="Times New Roman"/>
          <w:sz w:val="20"/>
          <w:szCs w:val="20"/>
          <w:color w:val="auto"/>
        </w:rPr>
        <w:t xml:space="preserve"> Loans in accordance with its </w:t>
      </w:r>
      <w:r>
        <w:rPr>
          <w:rFonts w:ascii="Times New Roman" w:cs="Times New Roman" w:eastAsia="Times New Roman" w:hAnsi="Times New Roman"/>
          <w:sz w:val="20"/>
          <w:szCs w:val="20"/>
          <w:u w:val="single" w:color="auto"/>
          <w:color w:val="0000FF"/>
        </w:rPr>
        <w:t>Foreign Currency Commitment</w:t>
      </w:r>
      <w:r>
        <w:rPr>
          <w:rFonts w:ascii="Times New Roman" w:cs="Times New Roman" w:eastAsia="Times New Roman" w:hAnsi="Times New Roman"/>
          <w:sz w:val="20"/>
          <w:szCs w:val="20"/>
          <w:color w:val="auto"/>
        </w:rPr>
        <w:t xml:space="preserve"> Percentage</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(if any) and (ii) such Dollar Loans as would be held by such Lender if it had never been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Defaulting Lender (assuming that for each borrowing of Dollar Loans during the period such Lender was a Defaulting Lender, the amount of Dollar Loans actually funded had been funded by all Lenders (including such Defaulting Lender) pro rata based on the Pro Rata Share of the Lenders (including such Defaulting Lender) at the time of such borrowing).</w:t>
      </w:r>
    </w:p>
    <w:p>
      <w:pPr>
        <w:spacing w:after="0" w:line="190" w:lineRule="exact"/>
        <w:rPr>
          <w:sz w:val="20"/>
          <w:szCs w:val="20"/>
          <w:color w:val="auto"/>
        </w:rPr>
      </w:pPr>
    </w:p>
    <w:p>
      <w:pPr>
        <w:ind w:firstLine="1027"/>
        <w:spacing w:after="0" w:line="242" w:lineRule="auto"/>
        <w:rPr>
          <w:sz w:val="20"/>
          <w:szCs w:val="20"/>
          <w:color w:val="auto"/>
        </w:rPr>
      </w:pPr>
      <w:r>
        <w:rPr>
          <w:rFonts w:ascii="Times New Roman" w:cs="Times New Roman" w:eastAsia="Times New Roman" w:hAnsi="Times New Roman"/>
          <w:sz w:val="20"/>
          <w:szCs w:val="20"/>
          <w:color w:val="auto"/>
        </w:rPr>
        <w:t xml:space="preserve">2.19 </w:t>
      </w:r>
      <w:r>
        <w:rPr>
          <w:rFonts w:ascii="Times New Roman" w:cs="Times New Roman" w:eastAsia="Times New Roman" w:hAnsi="Times New Roman"/>
          <w:sz w:val="20"/>
          <w:szCs w:val="20"/>
          <w:u w:val="single" w:color="auto"/>
          <w:color w:val="auto"/>
        </w:rPr>
        <w:t>Accordion</w:t>
      </w:r>
      <w:r>
        <w:rPr>
          <w:rFonts w:ascii="Times New Roman" w:cs="Times New Roman" w:eastAsia="Times New Roman" w:hAnsi="Times New Roman"/>
          <w:sz w:val="20"/>
          <w:szCs w:val="20"/>
          <w:color w:val="auto"/>
        </w:rPr>
        <w:t xml:space="preserve">. (a) The Borrower and any one or more Lenders or other banks, financial institutions or other entities may from time to time agree that such Lender shall increase the amount of its Commitment </w:t>
      </w:r>
      <w:r>
        <w:rPr>
          <w:rFonts w:ascii="Times New Roman" w:cs="Times New Roman" w:eastAsia="Times New Roman" w:hAnsi="Times New Roman"/>
          <w:sz w:val="20"/>
          <w:szCs w:val="20"/>
          <w:u w:val="single" w:color="auto"/>
          <w:color w:val="0000FF"/>
        </w:rPr>
        <w:t>(including any associated Foreign Currency Commitment, if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agreed between the Borrower and such Lender)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or such other Person shall provide an additional Commitment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(including any associated Foreign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Currency Commitment, if agreed between the Borrower and such other Person)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by executing and delivering to the Administrative Agent an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Increased Facility Activation Notice specifying (i) the amount of such increased or additional Commitment </w:t>
      </w:r>
      <w:r>
        <w:rPr>
          <w:rFonts w:ascii="Times New Roman" w:cs="Times New Roman" w:eastAsia="Times New Roman" w:hAnsi="Times New Roman"/>
          <w:sz w:val="20"/>
          <w:szCs w:val="20"/>
          <w:u w:val="single" w:color="auto"/>
          <w:color w:val="0000FF"/>
        </w:rPr>
        <w:t>(and any associated Foreign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Currency Commitment)</w:t>
      </w:r>
      <w:r>
        <w:rPr>
          <w:rFonts w:ascii="Times New Roman" w:cs="Times New Roman" w:eastAsia="Times New Roman" w:hAnsi="Times New Roman"/>
          <w:sz w:val="20"/>
          <w:szCs w:val="20"/>
          <w:color w:val="000000"/>
        </w:rPr>
        <w:t>, as applicable, and (ii) the applicable Increased Facility Closing Date. Notwithstanding the foregoing, (i) without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consent of the Required Lenders, the aggregate amount of incremental Commitments obtained after the Effective Date pursuant to this Section 2.19(a) shall not exceed $100,000,000 and (ii) without the consent of the Administrative Agent, each increase effected pursuant to this Section 2.19(a) shall be in a minimum amount of at least $10,000,000 (provided that such amount may be less than $10,000,000 if such amount represents all remaining availability under the limit set forth</w:t>
      </w:r>
    </w:p>
    <w:p>
      <w:pPr>
        <w:sectPr>
          <w:pgSz w:w="11900" w:h="16838" w:orient="portrait"/>
          <w:cols w:equalWidth="0" w:num="1">
            <w:col w:w="11420"/>
          </w:cols>
          <w:pgMar w:left="240" w:top="409" w:right="2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55</w:t>
      </w:r>
    </w:p>
    <w:p>
      <w:pPr>
        <w:spacing w:after="0" w:line="238"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 xml:space="preserve">in Section 2.19(a)(i) and shall be in an increment of $500,000);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no Lender shall have any obligation to participate in any increase described in this Section 2.19(a) unless it agrees to do so in its sole discretion; (2) any prospective lender (if not already a Lender or an affiliate of a Lender) providing any such additional Commitment shall be reasonably acceptable to the Administrative Agent; (3) after giving effect to such additional Commitment, the New Lender providing such additional Commitment shall have an aggregate Commitment of at least $5,000,000 (and in additional increments of $500,000), unless otherwise agreed by the Administrative Agent; (4) on a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basis after giving effect to such increased or additional Commitment, as applicable, no Default or Event of Default exists or would exist; (5) on a </w:t>
      </w:r>
      <w:r>
        <w:rPr>
          <w:rFonts w:ascii="Times New Roman" w:cs="Times New Roman" w:eastAsia="Times New Roman" w:hAnsi="Times New Roman"/>
          <w:sz w:val="20"/>
          <w:szCs w:val="20"/>
          <w:u w:val="single" w:color="auto"/>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forma</w:t>
      </w:r>
      <w:r>
        <w:rPr>
          <w:rFonts w:ascii="Times New Roman" w:cs="Times New Roman" w:eastAsia="Times New Roman" w:hAnsi="Times New Roman"/>
          <w:sz w:val="20"/>
          <w:szCs w:val="20"/>
          <w:color w:val="auto"/>
        </w:rPr>
        <w:t xml:space="preserve"> basis after giving effect to such increased or additional Commitment, as applicable, and assuming that the Commitments were fully utilized on the Increased Facility Closing Date, the Borrower would be in compliance with the covenant contained in Section 7.2 as of such day; and (6) the representations and warranties contained in Section 4 shall be true and correct in all material respects immediately prior to, and after giving effect to, the Increased Facility Closing Date.</w:t>
      </w:r>
    </w:p>
    <w:p>
      <w:pPr>
        <w:spacing w:after="0" w:line="193" w:lineRule="exact"/>
        <w:rPr>
          <w:sz w:val="20"/>
          <w:szCs w:val="20"/>
          <w:color w:val="auto"/>
        </w:rPr>
      </w:pPr>
    </w:p>
    <w:p>
      <w:pPr>
        <w:ind w:right="120" w:firstLine="1035"/>
        <w:spacing w:after="0" w:line="249" w:lineRule="auto"/>
        <w:tabs>
          <w:tab w:leader="none" w:pos="1445"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additional bank, financial institution or other entity that has elected to become a “Lender” under this Agreement in accordance with the provisions of Section 2.19(a) shall execute a supplement (each, a “</w:t>
      </w:r>
      <w:r>
        <w:rPr>
          <w:rFonts w:ascii="Times New Roman" w:cs="Times New Roman" w:eastAsia="Times New Roman" w:hAnsi="Times New Roman"/>
          <w:sz w:val="20"/>
          <w:szCs w:val="20"/>
          <w:u w:val="single" w:color="auto"/>
          <w:color w:val="auto"/>
        </w:rPr>
        <w:t>New Lender Supplement</w:t>
      </w:r>
      <w:r>
        <w:rPr>
          <w:rFonts w:ascii="Times New Roman" w:cs="Times New Roman" w:eastAsia="Times New Roman" w:hAnsi="Times New Roman"/>
          <w:sz w:val="20"/>
          <w:szCs w:val="20"/>
          <w:color w:val="auto"/>
        </w:rPr>
        <w:t>”), substantially in the form of Exhibit J-2, whereupon, effective on the related Increased Facility Closing Date, such bank, financial institution or other entity (a “</w:t>
      </w:r>
      <w:r>
        <w:rPr>
          <w:rFonts w:ascii="Times New Roman" w:cs="Times New Roman" w:eastAsia="Times New Roman" w:hAnsi="Times New Roman"/>
          <w:sz w:val="20"/>
          <w:szCs w:val="20"/>
          <w:u w:val="single" w:color="auto"/>
          <w:color w:val="auto"/>
        </w:rPr>
        <w:t>New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shall become a Lender hereunder and shall be bound by and entitled to the benefits of this Agreement.</w:t>
      </w:r>
    </w:p>
    <w:p>
      <w:pPr>
        <w:spacing w:after="0" w:line="180" w:lineRule="exact"/>
        <w:rPr>
          <w:rFonts w:ascii="Times New Roman" w:cs="Times New Roman" w:eastAsia="Times New Roman" w:hAnsi="Times New Roman"/>
          <w:sz w:val="20"/>
          <w:szCs w:val="20"/>
          <w:color w:val="auto"/>
        </w:rPr>
      </w:pPr>
    </w:p>
    <w:p>
      <w:pPr>
        <w:ind w:right="40" w:firstLine="1035"/>
        <w:spacing w:after="0" w:line="241" w:lineRule="auto"/>
        <w:tabs>
          <w:tab w:leader="none" w:pos="1445"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each Increased Facility Closing Date, the Borrower shall </w:t>
      </w:r>
      <w:r>
        <w:rPr>
          <w:rFonts w:ascii="Times New Roman" w:cs="Times New Roman" w:eastAsia="Times New Roman" w:hAnsi="Times New Roman"/>
          <w:sz w:val="20"/>
          <w:szCs w:val="20"/>
          <w:u w:val="single" w:color="auto"/>
          <w:color w:val="0000FF"/>
        </w:rPr>
        <w:t>(i)</w:t>
      </w:r>
      <w:r>
        <w:rPr>
          <w:rFonts w:ascii="Times New Roman" w:cs="Times New Roman" w:eastAsia="Times New Roman" w:hAnsi="Times New Roman"/>
          <w:sz w:val="20"/>
          <w:szCs w:val="20"/>
          <w:color w:val="auto"/>
        </w:rPr>
        <w:t xml:space="preserve"> borrow </w:t>
      </w:r>
      <w:r>
        <w:rPr>
          <w:rFonts w:ascii="Times New Roman" w:cs="Times New Roman" w:eastAsia="Times New Roman" w:hAnsi="Times New Roman"/>
          <w:sz w:val="20"/>
          <w:szCs w:val="20"/>
          <w:u w:val="single" w:color="auto"/>
          <w:color w:val="0000FF"/>
        </w:rPr>
        <w:t>Foreign Currency</w:t>
      </w:r>
      <w:r>
        <w:rPr>
          <w:rFonts w:ascii="Times New Roman" w:cs="Times New Roman" w:eastAsia="Times New Roman" w:hAnsi="Times New Roman"/>
          <w:sz w:val="20"/>
          <w:szCs w:val="20"/>
          <w:color w:val="auto"/>
        </w:rPr>
        <w:t xml:space="preserve"> Loans under </w:t>
      </w:r>
      <w:r>
        <w:rPr>
          <w:rFonts w:ascii="Times New Roman" w:cs="Times New Roman" w:eastAsia="Times New Roman" w:hAnsi="Times New Roman"/>
          <w:sz w:val="20"/>
          <w:szCs w:val="20"/>
          <w:color w:val="FF0000"/>
          <w:strike w:val="1"/>
        </w:rPr>
        <w:t>the</w:t>
      </w:r>
      <w:r>
        <w:rPr>
          <w:rFonts w:ascii="Times New Roman" w:cs="Times New Roman" w:eastAsia="Times New Roman" w:hAnsi="Times New Roman"/>
          <w:sz w:val="20"/>
          <w:szCs w:val="20"/>
          <w:u w:val="single" w:color="auto"/>
          <w:color w:val="0000FF"/>
        </w:rPr>
        <w:t>any</w:t>
      </w:r>
      <w:r>
        <w:rPr>
          <w:rFonts w:ascii="Times New Roman" w:cs="Times New Roman" w:eastAsia="Times New Roman" w:hAnsi="Times New Roman"/>
          <w:sz w:val="20"/>
          <w:szCs w:val="20"/>
          <w:color w:val="auto"/>
        </w:rPr>
        <w:t xml:space="preserve"> relevant increased or additional </w:t>
      </w:r>
      <w:r>
        <w:rPr>
          <w:rFonts w:ascii="Times New Roman" w:cs="Times New Roman" w:eastAsia="Times New Roman" w:hAnsi="Times New Roman"/>
          <w:sz w:val="20"/>
          <w:szCs w:val="20"/>
          <w:u w:val="single" w:color="auto"/>
          <w:color w:val="0000FF"/>
        </w:rPr>
        <w:t>Foreign Currency</w:t>
      </w:r>
      <w:r>
        <w:rPr>
          <w:rFonts w:ascii="Times New Roman" w:cs="Times New Roman" w:eastAsia="Times New Roman" w:hAnsi="Times New Roman"/>
          <w:sz w:val="20"/>
          <w:szCs w:val="20"/>
          <w:color w:val="auto"/>
        </w:rPr>
        <w:t xml:space="preserve"> Commitments from the relevant </w:t>
      </w:r>
      <w:r>
        <w:rPr>
          <w:rFonts w:ascii="Times New Roman" w:cs="Times New Roman" w:eastAsia="Times New Roman" w:hAnsi="Times New Roman"/>
          <w:sz w:val="20"/>
          <w:szCs w:val="20"/>
          <w:u w:val="single" w:color="auto"/>
          <w:color w:val="0000FF"/>
        </w:rPr>
        <w:t>Foreign Currency</w:t>
      </w:r>
      <w:r>
        <w:rPr>
          <w:rFonts w:ascii="Times New Roman" w:cs="Times New Roman" w:eastAsia="Times New Roman" w:hAnsi="Times New Roman"/>
          <w:sz w:val="20"/>
          <w:szCs w:val="20"/>
          <w:color w:val="auto"/>
        </w:rPr>
        <w:t xml:space="preserve"> Lenders (or repay outstanding </w:t>
      </w:r>
      <w:r>
        <w:rPr>
          <w:rFonts w:ascii="Times New Roman" w:cs="Times New Roman" w:eastAsia="Times New Roman" w:hAnsi="Times New Roman"/>
          <w:sz w:val="20"/>
          <w:szCs w:val="20"/>
          <w:u w:val="single" w:color="auto"/>
          <w:color w:val="0000FF"/>
        </w:rPr>
        <w:t>Foreign Currency</w:t>
      </w:r>
      <w:r>
        <w:rPr>
          <w:rFonts w:ascii="Times New Roman" w:cs="Times New Roman" w:eastAsia="Times New Roman" w:hAnsi="Times New Roman"/>
          <w:sz w:val="20"/>
          <w:szCs w:val="20"/>
          <w:color w:val="auto"/>
        </w:rPr>
        <w:t xml:space="preserve"> Loans, or both) in an amount (giving effect to any concurrent repayment of </w:t>
      </w:r>
      <w:r>
        <w:rPr>
          <w:rFonts w:ascii="Times New Roman" w:cs="Times New Roman" w:eastAsia="Times New Roman" w:hAnsi="Times New Roman"/>
          <w:sz w:val="20"/>
          <w:szCs w:val="20"/>
          <w:u w:val="single" w:color="auto"/>
          <w:color w:val="0000FF"/>
        </w:rPr>
        <w:t>Foreign Currency</w:t>
      </w:r>
      <w:r>
        <w:rPr>
          <w:rFonts w:ascii="Times New Roman" w:cs="Times New Roman" w:eastAsia="Times New Roman" w:hAnsi="Times New Roman"/>
          <w:sz w:val="20"/>
          <w:szCs w:val="20"/>
          <w:color w:val="auto"/>
        </w:rPr>
        <w:t xml:space="preserve"> Loans) determined by reference to the amount of each </w:t>
      </w:r>
      <w:r>
        <w:rPr>
          <w:rFonts w:ascii="Times New Roman" w:cs="Times New Roman" w:eastAsia="Times New Roman" w:hAnsi="Times New Roman"/>
          <w:sz w:val="20"/>
          <w:szCs w:val="20"/>
          <w:color w:val="FF0000"/>
          <w:strike w:val="1"/>
        </w:rPr>
        <w:t>Type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8000"/>
          <w:strike w:val="1"/>
        </w:rPr>
        <w:t>Loan (and, in the case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Eurodollar Loans, of each Eurodollar Tranche) which would then</w:t>
      </w:r>
      <w:r>
        <w:rPr>
          <w:rFonts w:ascii="Times New Roman" w:cs="Times New Roman" w:eastAsia="Times New Roman" w:hAnsi="Times New Roman"/>
          <w:sz w:val="20"/>
          <w:szCs w:val="20"/>
          <w:u w:val="single" w:color="auto"/>
          <w:color w:val="0000FF"/>
        </w:rPr>
        <w:t>Eurocurrency Tranche of Foreign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Currency Loans which would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have been outstanding from such</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Foreign Currency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Lender if (</w:t>
      </w:r>
      <w:r>
        <w:rPr>
          <w:rFonts w:ascii="Times New Roman" w:cs="Times New Roman" w:eastAsia="Times New Roman" w:hAnsi="Times New Roman"/>
          <w:sz w:val="20"/>
          <w:szCs w:val="20"/>
          <w:color w:val="FF0000"/>
          <w:strike w:val="1"/>
        </w:rPr>
        <w:t>i</w:t>
      </w:r>
      <w:r>
        <w:rPr>
          <w:rFonts w:ascii="Times New Roman" w:cs="Times New Roman" w:eastAsia="Times New Roman" w:hAnsi="Times New Roman"/>
          <w:sz w:val="20"/>
          <w:szCs w:val="20"/>
          <w:u w:val="single" w:color="auto"/>
          <w:color w:val="0000FF"/>
        </w:rPr>
        <w:t>x</w:t>
      </w:r>
      <w:r>
        <w:rPr>
          <w:rFonts w:ascii="Times New Roman" w:cs="Times New Roman" w:eastAsia="Times New Roman" w:hAnsi="Times New Roman"/>
          <w:sz w:val="20"/>
          <w:szCs w:val="20"/>
          <w:color w:val="FF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each such</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Type or 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Tranche had been borrowed or effected on such Increased Facility Closing Date and </w:t>
      </w:r>
      <w:r>
        <w:rPr>
          <w:rFonts w:ascii="Times New Roman" w:cs="Times New Roman" w:eastAsia="Times New Roman" w:hAnsi="Times New Roman"/>
          <w:sz w:val="20"/>
          <w:szCs w:val="20"/>
          <w:color w:val="FF0000"/>
        </w:rPr>
        <w:t>(</w:t>
      </w:r>
      <w:r>
        <w:rPr>
          <w:rFonts w:ascii="Times New Roman" w:cs="Times New Roman" w:eastAsia="Times New Roman" w:hAnsi="Times New Roman"/>
          <w:sz w:val="20"/>
          <w:szCs w:val="20"/>
          <w:color w:val="FF0000"/>
          <w:strike w:val="1"/>
        </w:rPr>
        <w:t>ii</w:t>
      </w:r>
      <w:r>
        <w:rPr>
          <w:rFonts w:ascii="Times New Roman" w:cs="Times New Roman" w:eastAsia="Times New Roman" w:hAnsi="Times New Roman"/>
          <w:sz w:val="20"/>
          <w:szCs w:val="20"/>
          <w:u w:val="single" w:color="auto"/>
          <w:color w:val="0000FF"/>
        </w:rPr>
        <w:t>y) all Foreign Currency Lenders participated in each</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 xml:space="preserve">such Eurocurrency Tranche on a pro rata basis in accordance with their respective Foreign Currency Commitment Percentages and (ii) borrow Dollar Loans under any relevant increased or additional Commitments from the relevant Lenders (or repay outstanding Dollar Loans, or both) in an amount (after giving effect to any concurrent repayment of Dollar Loans) determined by reference to the amount of each Type of Dollar </w:t>
      </w:r>
      <w:r>
        <w:rPr>
          <w:rFonts w:ascii="Times New Roman" w:cs="Times New Roman" w:eastAsia="Times New Roman" w:hAnsi="Times New Roman"/>
          <w:sz w:val="20"/>
          <w:szCs w:val="20"/>
          <w:u w:val="single" w:color="auto"/>
          <w:color w:val="008000"/>
        </w:rPr>
        <w:t xml:space="preserve">Loan (and, in the case of </w:t>
      </w:r>
      <w:r>
        <w:rPr>
          <w:rFonts w:ascii="Times New Roman" w:cs="Times New Roman" w:eastAsia="Times New Roman" w:hAnsi="Times New Roman"/>
          <w:sz w:val="20"/>
          <w:szCs w:val="20"/>
          <w:u w:val="single" w:color="auto"/>
          <w:color w:val="0000FF"/>
        </w:rPr>
        <w:t>Dollar Loans that are Eurocurrency Loans, each Eurocurrency Tranche of Dollar Loans) which would then have been</w:t>
      </w:r>
      <w:r>
        <w:rPr>
          <w:rFonts w:ascii="Times New Roman" w:cs="Times New Roman" w:eastAsia="Times New Roman" w:hAnsi="Times New Roman"/>
          <w:sz w:val="20"/>
          <w:szCs w:val="20"/>
          <w:u w:val="single" w:color="auto"/>
          <w:color w:val="008000"/>
        </w:rPr>
        <w:t xml:space="preserve"> </w:t>
      </w:r>
      <w:r>
        <w:rPr>
          <w:rFonts w:ascii="Times New Roman" w:cs="Times New Roman" w:eastAsia="Times New Roman" w:hAnsi="Times New Roman"/>
          <w:sz w:val="20"/>
          <w:szCs w:val="20"/>
          <w:u w:val="single" w:color="auto"/>
          <w:color w:val="0000FF"/>
        </w:rPr>
        <w:t>outstanding from such Lender if (x) each such Type or Eurocurrency Tranche had been borrowed or effected on such Increased Facility Closing Date and (y)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all Lenders participated in each such Type 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Tranche on a pro rata basis</w:t>
      </w:r>
      <w:r>
        <w:rPr>
          <w:rFonts w:ascii="Times New Roman" w:cs="Times New Roman" w:eastAsia="Times New Roman" w:hAnsi="Times New Roman"/>
          <w:sz w:val="20"/>
          <w:szCs w:val="20"/>
          <w:color w:val="FF0000"/>
          <w:strike w:val="1"/>
        </w:rPr>
        <w:t>. The Eurodollar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in accordance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with their respective Pro Rata Shares (as determined after giving effect to clause (i)). The Eurocurrency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Base Rate applicable to 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borrowed pursuant to the preceding sentence shall equal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Base Rate then applicable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to the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000000"/>
        </w:rPr>
        <w:t xml:space="preserve"> Loans of the other Lenders in the same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000000"/>
        </w:rPr>
        <w:t xml:space="preserve"> Tranche (or, until the expiration of the then-current Interest Period, such other rate as shall be agreed upon between the Borrower and the relevant Lender).</w:t>
      </w:r>
    </w:p>
    <w:p>
      <w:pPr>
        <w:spacing w:after="0" w:line="194" w:lineRule="exact"/>
        <w:rPr>
          <w:rFonts w:ascii="Times New Roman" w:cs="Times New Roman" w:eastAsia="Times New Roman" w:hAnsi="Times New Roman"/>
          <w:sz w:val="20"/>
          <w:szCs w:val="20"/>
          <w:color w:val="auto"/>
        </w:rPr>
      </w:pPr>
    </w:p>
    <w:p>
      <w:pPr>
        <w:ind w:right="120" w:firstLine="1035"/>
        <w:spacing w:after="0" w:line="247" w:lineRule="auto"/>
        <w:tabs>
          <w:tab w:leader="none" w:pos="145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Agreement, each of the parties hereto hereby agrees that, on each Increased Facility Activation Date, this Agreement shall be amended to the extent (but only to the extent) necessary to reflect the existence of the increased Commitments </w:t>
      </w:r>
      <w:r>
        <w:rPr>
          <w:rFonts w:ascii="Times New Roman" w:cs="Times New Roman" w:eastAsia="Times New Roman" w:hAnsi="Times New Roman"/>
          <w:sz w:val="20"/>
          <w:szCs w:val="20"/>
          <w:u w:val="single" w:color="auto"/>
          <w:color w:val="0000FF"/>
        </w:rPr>
        <w:t>(and associated Foreign Currency Commitments, if any)</w:t>
      </w:r>
      <w:r>
        <w:rPr>
          <w:rFonts w:ascii="Times New Roman" w:cs="Times New Roman" w:eastAsia="Times New Roman" w:hAnsi="Times New Roman"/>
          <w:sz w:val="20"/>
          <w:szCs w:val="20"/>
          <w:color w:val="auto"/>
        </w:rPr>
        <w:t xml:space="preserve"> pursuant to this Section 2.19. Any such deemed amendment may be effected in writing by the Administrative Agent with the Borrower’s consent (not to be unreasonably withheld) and furnished to the other parties hereto.</w:t>
      </w:r>
    </w:p>
    <w:p>
      <w:pPr>
        <w:sectPr>
          <w:pgSz w:w="11900" w:h="16838" w:orient="portrait"/>
          <w:cols w:equalWidth="0" w:num="1">
            <w:col w:w="11420"/>
          </w:cols>
          <w:pgMar w:left="240" w:top="409" w:right="239" w:bottom="1440" w:gutter="0" w:footer="0" w:header="0"/>
        </w:sectPr>
      </w:pPr>
    </w:p>
    <w:bookmarkStart w:id="151" w:name="page152"/>
    <w:bookmarkEnd w:id="151"/>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56</w:t>
      </w:r>
    </w:p>
    <w:p>
      <w:pPr>
        <w:spacing w:after="0" w:line="238" w:lineRule="exact"/>
        <w:rPr>
          <w:sz w:val="20"/>
          <w:szCs w:val="20"/>
          <w:color w:val="auto"/>
        </w:rPr>
      </w:pPr>
    </w:p>
    <w:p>
      <w:pPr>
        <w:ind w:right="220" w:firstLine="1027"/>
        <w:spacing w:after="0" w:line="269" w:lineRule="auto"/>
        <w:rPr>
          <w:sz w:val="20"/>
          <w:szCs w:val="20"/>
          <w:color w:val="auto"/>
        </w:rPr>
      </w:pPr>
      <w:r>
        <w:rPr>
          <w:rFonts w:ascii="Times New Roman" w:cs="Times New Roman" w:eastAsia="Times New Roman" w:hAnsi="Times New Roman"/>
          <w:sz w:val="20"/>
          <w:szCs w:val="20"/>
          <w:u w:val="single" w:color="auto"/>
          <w:color w:val="0000FF"/>
        </w:rPr>
        <w:t>2.20 Refunding of Dollar Loans Made by Foreign Currency Lenders. (a) If on any Borrowing Date on which the Borrower has requested the Foreign Currency Lenders to make Foreign Currency Loans (the “Requested Foreign Currency Loans”),</w:t>
      </w:r>
    </w:p>
    <w:p>
      <w:pPr>
        <w:spacing w:after="0" w:line="160" w:lineRule="exact"/>
        <w:rPr>
          <w:sz w:val="20"/>
          <w:szCs w:val="20"/>
          <w:color w:val="auto"/>
        </w:rPr>
      </w:pPr>
    </w:p>
    <w:p>
      <w:pPr>
        <w:ind w:left="460" w:right="480" w:firstLine="591"/>
        <w:spacing w:after="0" w:line="254" w:lineRule="auto"/>
        <w:tabs>
          <w:tab w:leader="none" w:pos="1580" w:val="left"/>
        </w:tabs>
        <w:numPr>
          <w:ilvl w:val="0"/>
          <w:numId w:val="106"/>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0000FF"/>
        </w:rPr>
        <w:t xml:space="preserve">the aggregate principal amount of the Requested Foreign Currency Loans would exceed the Total Available Foreign </w:t>
      </w:r>
      <w:r>
        <w:rPr>
          <w:rFonts w:ascii="Times New Roman" w:cs="Times New Roman" w:eastAsia="Times New Roman" w:hAnsi="Times New Roman"/>
          <w:sz w:val="20"/>
          <w:szCs w:val="20"/>
          <w:u w:val="single" w:color="auto"/>
          <w:color w:val="0000FF"/>
        </w:rPr>
        <w:t>Currency Commitments on such Borrowing Date (before giving effect to the making and payment of any Loans required to be made pursuant to this Section 2.20 on the day prior to Borrowing Date), and</w:t>
      </w:r>
    </w:p>
    <w:p>
      <w:pPr>
        <w:spacing w:after="0" w:line="174" w:lineRule="exact"/>
        <w:rPr>
          <w:rFonts w:ascii="Times New Roman" w:cs="Times New Roman" w:eastAsia="Times New Roman" w:hAnsi="Times New Roman"/>
          <w:sz w:val="20"/>
          <w:szCs w:val="20"/>
          <w:color w:val="0000FF"/>
        </w:rPr>
      </w:pPr>
    </w:p>
    <w:p>
      <w:pPr>
        <w:ind w:left="460" w:right="20" w:firstLine="542"/>
        <w:spacing w:after="0" w:line="254" w:lineRule="auto"/>
        <w:tabs>
          <w:tab w:leader="none" w:pos="1536" w:val="left"/>
        </w:tabs>
        <w:numPr>
          <w:ilvl w:val="0"/>
          <w:numId w:val="106"/>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Dollar Equivalent of the amount of such excess is less than or equal to the aggregate Available Commitments of all Non-Foreign Currency Lenders (before giving effect to the making and payment of any Loans pursuant to this Section 2.20 on the day prior to such Borrowing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-902970</wp:posOffset>
            </wp:positionV>
            <wp:extent cx="6263005" cy="431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263005" cy="43180"/>
                    </a:xfrm>
                    <a:prstGeom prst="rect">
                      <a:avLst/>
                    </a:prstGeom>
                    <a:noFill/>
                  </pic:spPr>
                </pic:pic>
              </a:graphicData>
            </a:graphic>
          </wp:anchor>
        </w:drawing>
      </w:r>
    </w:p>
    <w:p>
      <w:pPr>
        <w:spacing w:after="0" w:line="155"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0"/>
          <w:szCs w:val="20"/>
          <w:u w:val="single" w:color="auto"/>
          <w:color w:val="0000FF"/>
        </w:rPr>
        <w:t>each Non-Foreign Currency Lender shall make a Dollar Loan to the Borrower on the day prior to such Borrowing Date, and the proceeds of such Dollar Loans shall be simultaneously applied to repay outstanding Dollar Loans of the Foreign Currency Lenders in amounts such that, after giving effect to (1) such borrowings and repayments and (2) the borrowing from the Foreign Currency Lenders of the Requested Foreign Currency Loans, the Outstanding Percentage of each Lender will equal (as nearly as possible) its Percentage. To effect such borrowings and repayments, (x) not later than 12:00 Noon, New York City time, on the day prior to such Borrowing Date, the proceeds of such Dollar Loans shall be made available by each Non-Foreign Currency Lender to the Administrative Agent at the Domestic Funding Office in Dollars and in immediately available funds and the Administrative Agent shall apply the proceeds of such Dollar Loans to repayment of outstanding Dollar Loans of the Foreign Currency Lenders and (y) on such Borrowing Date, (I) the Foreign Currency Lenders shall, in accordance with the applicable provisions hereof, make the Requested Foreign Currency Loans in an aggregate amount equal to the amount so requested by the Borrower (but not in any event greater than the Total Available Foreign Currency Commitments after giving effect to the making of such repayment of any Dollar Loans on such Borrowing Date) and (II) the Borrower shall pay to the Administrative Agent for the account of the Lenders whose Dollar Loans to the Borrower are repaid on the day prior to such Borrowing Date pursuant to this Section 2.20 all interest accrued on the amounts repaid to the date of repayment, together with any amounts payable pursuant to Section 2.15 in connection with such repayment.</w:t>
      </w:r>
    </w:p>
    <w:p>
      <w:pPr>
        <w:spacing w:after="0" w:line="197" w:lineRule="exact"/>
        <w:rPr>
          <w:sz w:val="20"/>
          <w:szCs w:val="20"/>
          <w:color w:val="auto"/>
        </w:rPr>
      </w:pPr>
    </w:p>
    <w:p>
      <w:pPr>
        <w:ind w:right="40" w:firstLine="1035"/>
        <w:spacing w:after="0" w:line="249" w:lineRule="auto"/>
        <w:tabs>
          <w:tab w:leader="none" w:pos="1456" w:val="left"/>
        </w:tabs>
        <w:numPr>
          <w:ilvl w:val="0"/>
          <w:numId w:val="107"/>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If any borrowing of Dollar Loans is required pursuant to this Section 2.20, the Borrower shall notify the Administrative Agent in the manner provided for Dollar Loans in Section 2.2, except that the minimum borrowing amounts set forth in subsection 2.2 shall not be applicable to the extent that such minimum borrowing amounts exceed the amounts of Dollar Loans required to be made pursuant to this Section 2.20.</w:t>
      </w:r>
    </w:p>
    <w:p>
      <w:pPr>
        <w:spacing w:after="0" w:line="180" w:lineRule="exact"/>
        <w:rPr>
          <w:sz w:val="20"/>
          <w:szCs w:val="20"/>
          <w:color w:val="auto"/>
        </w:rPr>
      </w:pPr>
    </w:p>
    <w:p>
      <w:pPr>
        <w:ind w:right="200" w:firstLine="1027"/>
        <w:spacing w:after="0" w:line="244" w:lineRule="auto"/>
        <w:rPr>
          <w:sz w:val="20"/>
          <w:szCs w:val="20"/>
          <w:color w:val="auto"/>
        </w:rPr>
      </w:pPr>
      <w:r>
        <w:rPr>
          <w:rFonts w:ascii="Times New Roman" w:cs="Times New Roman" w:eastAsia="Times New Roman" w:hAnsi="Times New Roman"/>
          <w:sz w:val="20"/>
          <w:szCs w:val="20"/>
          <w:u w:val="single" w:color="auto"/>
          <w:color w:val="0000FF"/>
        </w:rPr>
        <w:t>2.21 Loan Conversion and Participation. (a) On any Conversion Date, (i) all Foreign Currency Loans then outstanding shall be converted into Dollar Loans (calculated on the basis of the relevant Exchange Rates as of the Business Day immediately preceding such Conversion Date) (“Converted Loans”), (ii) all accrued and unpaid interest and other amounts owing in respect of such Converted Loans through such Conversion Date shall be converted to Dollars (calculated on the basis of the relevant Exchange Rates as of the Business Day immediately preceding such Conversion Date) and shall be immediately due and payable and (iii) the Commitments of the Lenders shall terminate. After any Conversion Date, all Eurocurrency Loans shall bear interest at the rate which would otherwise be applicable to ABR Loans.</w:t>
      </w:r>
    </w:p>
    <w:p>
      <w:pPr>
        <w:sectPr>
          <w:pgSz w:w="11900" w:h="16838" w:orient="portrait"/>
          <w:cols w:equalWidth="0" w:num="1">
            <w:col w:w="11420"/>
          </w:cols>
          <w:pgMar w:left="240" w:top="409" w:right="2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57</w:t>
      </w:r>
    </w:p>
    <w:p>
      <w:pPr>
        <w:spacing w:after="0" w:line="238" w:lineRule="exact"/>
        <w:rPr>
          <w:sz w:val="20"/>
          <w:szCs w:val="20"/>
          <w:color w:val="auto"/>
        </w:rPr>
      </w:pPr>
    </w:p>
    <w:p>
      <w:pPr>
        <w:ind w:right="40" w:firstLine="1035"/>
        <w:spacing w:after="0" w:line="242" w:lineRule="auto"/>
        <w:tabs>
          <w:tab w:leader="none" w:pos="1456" w:val="left"/>
        </w:tabs>
        <w:numPr>
          <w:ilvl w:val="0"/>
          <w:numId w:val="108"/>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On any Conversion Date, each Lender severally, unconditionally and irrevocably agrees that it shall purchase or sell, as applicable, an undivided participating interest in the Loans in the amount necessary to cause such Lender’s Extensions of Credit (plus the amount of any participating interest purchased by such Lender pursuant to Section 2.21, minus the amount of any participating interest sold by such Lender pursuant to Section 2.21) to equal (as nearly as practicable) the lesser of (x) the percentage which such Lender’s Commitment then constitutes of the Total Commitments (in each case calculated immediately prior to the termination or expiration of the Commitments) multiplied by the Total Extensions of Credit at such time and (y) such Lender’s Commitment (calculated immediately prior to the termination or expiration of the Commitments). The Administrative Agent shall notify each Lender of the occurrence of any Conversion Date and shall specify the amount of the participating interest to be purchased or sold by such Lender in accordance with the immediately preceding sentence. Promptly upon receipt of such notice, each Lender required to purchase a participating interest pursuant to this Section 2.21(b) will immediately transfer to the Administrative Agent, in immediately available funds, the amount of its participating interest in Dollars, and the proceeds of such participating interest shall be distributed by the Administrative Agent to each Lender from which a participating interest is being purchased in the amount provided for in the first sentence of this paragraph</w:t>
      </w:r>
      <w:r>
        <w:rPr>
          <w:rFonts w:ascii="Times New Roman" w:cs="Times New Roman" w:eastAsia="Times New Roman" w:hAnsi="Times New Roman"/>
          <w:sz w:val="20"/>
          <w:szCs w:val="20"/>
          <w:color w:val="000000"/>
        </w:rPr>
        <w:t>.</w:t>
      </w:r>
    </w:p>
    <w:p>
      <w:pPr>
        <w:spacing w:after="0" w:line="188" w:lineRule="exact"/>
        <w:rPr>
          <w:rFonts w:ascii="Times New Roman" w:cs="Times New Roman" w:eastAsia="Times New Roman" w:hAnsi="Times New Roman"/>
          <w:sz w:val="20"/>
          <w:szCs w:val="20"/>
          <w:u w:val="single" w:color="auto"/>
          <w:color w:val="0000FF"/>
        </w:rPr>
      </w:pPr>
    </w:p>
    <w:p>
      <w:pPr>
        <w:jc w:val="both"/>
        <w:ind w:right="120" w:firstLine="1035"/>
        <w:spacing w:after="0" w:line="254" w:lineRule="auto"/>
        <w:tabs>
          <w:tab w:leader="none" w:pos="1445" w:val="left"/>
        </w:tabs>
        <w:numPr>
          <w:ilvl w:val="0"/>
          <w:numId w:val="108"/>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If a Defaulting Lender exists on any Conversion Date, the Administrative Agent may, in consultation with one or more other Lenders which are not Defaulting Lenders, revise this Section 2.21 and related definitions in order to allocate payments for the benefit of such Defaulting Lender in a manner consistent with subsection 2.18.</w:t>
      </w:r>
    </w:p>
    <w:p>
      <w:pPr>
        <w:spacing w:after="0" w:line="175" w:lineRule="exact"/>
        <w:rPr>
          <w:sz w:val="20"/>
          <w:szCs w:val="20"/>
          <w:color w:val="auto"/>
        </w:rPr>
      </w:pPr>
    </w:p>
    <w:p>
      <w:pPr>
        <w:jc w:val="center"/>
        <w:ind w:right="-19"/>
        <w:spacing w:after="0"/>
        <w:tabs>
          <w:tab w:leader="none" w:pos="28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color w:val="auto"/>
        </w:rPr>
        <w:t>LETTERS OF CREDIT</w:t>
      </w:r>
    </w:p>
    <w:p>
      <w:pPr>
        <w:spacing w:after="0" w:line="216" w:lineRule="exact"/>
        <w:rPr>
          <w:sz w:val="20"/>
          <w:szCs w:val="20"/>
          <w:color w:val="auto"/>
        </w:rPr>
      </w:pPr>
    </w:p>
    <w:p>
      <w:pPr>
        <w:ind w:right="40" w:firstLine="1027"/>
        <w:spacing w:after="0" w:line="241"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L/C Commitment</w:t>
      </w:r>
      <w:r>
        <w:rPr>
          <w:rFonts w:ascii="Times New Roman" w:cs="Times New Roman" w:eastAsia="Times New Roman" w:hAnsi="Times New Roman"/>
          <w:sz w:val="20"/>
          <w:szCs w:val="20"/>
          <w:color w:val="auto"/>
        </w:rPr>
        <w:t>. (a) Subject to the terms and conditions hereof, each Issuing Lender, in reliance on the agreements of the other Lenders set forth in Section 3.4(a), agrees to issue at the request of the Borrower letters of credit (each a “</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xml:space="preserve">”) for the account of any Group Member on any Business Day during the Commitment Period in such form as may be approved from time to time by such Issuing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Borrower shall not request, and no Issuing Lender shall be required to issue, any Letter of Credit if after giving effect to such issuance (and to any concurrent funding or prepayment of a Loan and to the application of proceeds thereof and to any concurrent expiration or termination or amendment or modification of any previously issued Letter of Credit), (A) the sum of (x) 105% of the Dollar Equivalent of Letters of Credit denominated in </w:t>
      </w:r>
      <w:r>
        <w:rPr>
          <w:rFonts w:ascii="Times New Roman" w:cs="Times New Roman" w:eastAsia="Times New Roman" w:hAnsi="Times New Roman"/>
          <w:sz w:val="20"/>
          <w:szCs w:val="20"/>
          <w:color w:val="FF0000"/>
          <w:strike w:val="1"/>
        </w:rPr>
        <w:t>Optional</w:t>
      </w:r>
      <w:r>
        <w:rPr>
          <w:rFonts w:ascii="Times New Roman" w:cs="Times New Roman" w:eastAsia="Times New Roman" w:hAnsi="Times New Roman"/>
          <w:sz w:val="20"/>
          <w:szCs w:val="20"/>
          <w:u w:val="single" w:color="auto"/>
          <w:color w:val="0000FF"/>
        </w:rPr>
        <w:t>L/C Foreign</w:t>
      </w:r>
      <w:r>
        <w:rPr>
          <w:rFonts w:ascii="Times New Roman" w:cs="Times New Roman" w:eastAsia="Times New Roman" w:hAnsi="Times New Roman"/>
          <w:sz w:val="20"/>
          <w:szCs w:val="20"/>
          <w:color w:val="auto"/>
        </w:rPr>
        <w:t xml:space="preserve"> Currencies issued by such Issuing Lender plus (y) the outstanding amount of all Letters of Credit issued by such Issuing Lender other than those denominated in </w:t>
      </w:r>
      <w:r>
        <w:rPr>
          <w:rFonts w:ascii="Times New Roman" w:cs="Times New Roman" w:eastAsia="Times New Roman" w:hAnsi="Times New Roman"/>
          <w:sz w:val="20"/>
          <w:szCs w:val="20"/>
          <w:color w:val="FF0000"/>
          <w:strike w:val="1"/>
        </w:rPr>
        <w:t>Optional</w:t>
      </w:r>
      <w:r>
        <w:rPr>
          <w:rFonts w:ascii="Times New Roman" w:cs="Times New Roman" w:eastAsia="Times New Roman" w:hAnsi="Times New Roman"/>
          <w:sz w:val="20"/>
          <w:szCs w:val="20"/>
          <w:u w:val="single" w:color="auto"/>
          <w:color w:val="0000FF"/>
        </w:rPr>
        <w:t>L/C Foreign</w:t>
      </w:r>
      <w:r>
        <w:rPr>
          <w:rFonts w:ascii="Times New Roman" w:cs="Times New Roman" w:eastAsia="Times New Roman" w:hAnsi="Times New Roman"/>
          <w:sz w:val="20"/>
          <w:szCs w:val="20"/>
          <w:color w:val="auto"/>
        </w:rPr>
        <w:t xml:space="preserve"> Currencies would exceed such Issuing Lender’s L/C Commitment then in effect, (B) the sum of (x) 105% of the Dollar Equivalent of Letters of Credit denominated in </w:t>
      </w:r>
      <w:r>
        <w:rPr>
          <w:rFonts w:ascii="Times New Roman" w:cs="Times New Roman" w:eastAsia="Times New Roman" w:hAnsi="Times New Roman"/>
          <w:sz w:val="20"/>
          <w:szCs w:val="20"/>
          <w:color w:val="FF0000"/>
          <w:strike w:val="1"/>
        </w:rPr>
        <w:t>Optional</w:t>
      </w:r>
      <w:r>
        <w:rPr>
          <w:rFonts w:ascii="Times New Roman" w:cs="Times New Roman" w:eastAsia="Times New Roman" w:hAnsi="Times New Roman"/>
          <w:sz w:val="20"/>
          <w:szCs w:val="20"/>
          <w:u w:val="single" w:color="auto"/>
          <w:color w:val="0000FF"/>
        </w:rPr>
        <w:t>L/C Foreign</w:t>
      </w:r>
      <w:r>
        <w:rPr>
          <w:rFonts w:ascii="Times New Roman" w:cs="Times New Roman" w:eastAsia="Times New Roman" w:hAnsi="Times New Roman"/>
          <w:sz w:val="20"/>
          <w:szCs w:val="20"/>
          <w:color w:val="auto"/>
        </w:rPr>
        <w:t xml:space="preserve"> Currencies plus (y) the outstanding amount of all Letters of Credit other than those denominated in </w:t>
      </w:r>
      <w:r>
        <w:rPr>
          <w:rFonts w:ascii="Times New Roman" w:cs="Times New Roman" w:eastAsia="Times New Roman" w:hAnsi="Times New Roman"/>
          <w:sz w:val="20"/>
          <w:szCs w:val="20"/>
          <w:color w:val="FF0000"/>
          <w:strike w:val="1"/>
        </w:rPr>
        <w:t>Optional</w:t>
      </w:r>
      <w:r>
        <w:rPr>
          <w:rFonts w:ascii="Times New Roman" w:cs="Times New Roman" w:eastAsia="Times New Roman" w:hAnsi="Times New Roman"/>
          <w:sz w:val="20"/>
          <w:szCs w:val="20"/>
          <w:u w:val="single" w:color="auto"/>
          <w:color w:val="0000FF"/>
        </w:rPr>
        <w:t>L/C Foreign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Currencies would exceed the L/C Sublimit then in effect, or (C) the sum of (x) 105% of the Dollar Equivalent of Letters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of Credit denominated in </w:t>
      </w:r>
      <w:r>
        <w:rPr>
          <w:rFonts w:ascii="Times New Roman" w:cs="Times New Roman" w:eastAsia="Times New Roman" w:hAnsi="Times New Roman"/>
          <w:sz w:val="20"/>
          <w:szCs w:val="20"/>
          <w:color w:val="FF0000"/>
          <w:strike w:val="1"/>
        </w:rPr>
        <w:t>Optional</w:t>
      </w:r>
      <w:r>
        <w:rPr>
          <w:rFonts w:ascii="Times New Roman" w:cs="Times New Roman" w:eastAsia="Times New Roman" w:hAnsi="Times New Roman"/>
          <w:sz w:val="20"/>
          <w:szCs w:val="20"/>
          <w:u w:val="single" w:color="auto"/>
          <w:color w:val="0000FF"/>
        </w:rPr>
        <w:t>L/C Foreign</w:t>
      </w:r>
      <w:r>
        <w:rPr>
          <w:rFonts w:ascii="Times New Roman" w:cs="Times New Roman" w:eastAsia="Times New Roman" w:hAnsi="Times New Roman"/>
          <w:sz w:val="20"/>
          <w:szCs w:val="20"/>
          <w:color w:val="000000"/>
        </w:rPr>
        <w:t xml:space="preserve"> Currencies plus (y) the </w:t>
      </w:r>
      <w:r>
        <w:rPr>
          <w:rFonts w:ascii="Times New Roman" w:cs="Times New Roman" w:eastAsia="Times New Roman" w:hAnsi="Times New Roman"/>
          <w:sz w:val="20"/>
          <w:szCs w:val="20"/>
          <w:color w:val="FF0000"/>
          <w:strike w:val="1"/>
        </w:rPr>
        <w:t>then Outstanding A</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color w:val="000000"/>
        </w:rPr>
        <w:t xml:space="preserve">mount of the Extensions of Credit other than Letters of Credit denominated in </w:t>
      </w:r>
      <w:r>
        <w:rPr>
          <w:rFonts w:ascii="Times New Roman" w:cs="Times New Roman" w:eastAsia="Times New Roman" w:hAnsi="Times New Roman"/>
          <w:sz w:val="20"/>
          <w:szCs w:val="20"/>
          <w:color w:val="FF0000"/>
          <w:strike w:val="1"/>
        </w:rPr>
        <w:t>Optional</w:t>
      </w:r>
      <w:r>
        <w:rPr>
          <w:rFonts w:ascii="Times New Roman" w:cs="Times New Roman" w:eastAsia="Times New Roman" w:hAnsi="Times New Roman"/>
          <w:sz w:val="20"/>
          <w:szCs w:val="20"/>
          <w:u w:val="single" w:color="auto"/>
          <w:color w:val="0000FF"/>
        </w:rPr>
        <w:t>L/C Foreign</w:t>
      </w:r>
      <w:r>
        <w:rPr>
          <w:rFonts w:ascii="Times New Roman" w:cs="Times New Roman" w:eastAsia="Times New Roman" w:hAnsi="Times New Roman"/>
          <w:sz w:val="20"/>
          <w:szCs w:val="20"/>
          <w:color w:val="000000"/>
        </w:rPr>
        <w:t xml:space="preserve"> Currencies would exceed the lesser of (</w:t>
      </w:r>
      <w:r>
        <w:rPr>
          <w:rFonts w:ascii="Times New Roman" w:cs="Times New Roman" w:eastAsia="Times New Roman" w:hAnsi="Times New Roman"/>
          <w:sz w:val="20"/>
          <w:szCs w:val="20"/>
          <w:color w:val="FF0000"/>
          <w:strike w:val="1"/>
        </w:rPr>
        <w:t>A</w:t>
      </w:r>
      <w:r>
        <w:rPr>
          <w:rFonts w:ascii="Times New Roman" w:cs="Times New Roman" w:eastAsia="Times New Roman" w:hAnsi="Times New Roman"/>
          <w:sz w:val="20"/>
          <w:szCs w:val="20"/>
          <w:u w:val="single" w:color="auto"/>
          <w:color w:val="0000FF"/>
        </w:rPr>
        <w:t>I</w:t>
      </w:r>
      <w:r>
        <w:rPr>
          <w:rFonts w:ascii="Times New Roman" w:cs="Times New Roman" w:eastAsia="Times New Roman" w:hAnsi="Times New Roman"/>
          <w:sz w:val="20"/>
          <w:szCs w:val="20"/>
          <w:color w:val="000000"/>
        </w:rPr>
        <w:t>) the Total Commitments then in effect and (</w:t>
      </w:r>
      <w:r>
        <w:rPr>
          <w:rFonts w:ascii="Times New Roman" w:cs="Times New Roman" w:eastAsia="Times New Roman" w:hAnsi="Times New Roman"/>
          <w:sz w:val="20"/>
          <w:szCs w:val="20"/>
          <w:color w:val="FF0000"/>
          <w:strike w:val="1"/>
        </w:rPr>
        <w:t>B</w:t>
      </w:r>
      <w:r>
        <w:rPr>
          <w:rFonts w:ascii="Times New Roman" w:cs="Times New Roman" w:eastAsia="Times New Roman" w:hAnsi="Times New Roman"/>
          <w:sz w:val="20"/>
          <w:szCs w:val="20"/>
          <w:u w:val="single" w:color="auto"/>
          <w:color w:val="0000FF"/>
        </w:rPr>
        <w:t>II</w:t>
      </w:r>
      <w:r>
        <w:rPr>
          <w:rFonts w:ascii="Times New Roman" w:cs="Times New Roman" w:eastAsia="Times New Roman" w:hAnsi="Times New Roman"/>
          <w:sz w:val="20"/>
          <w:szCs w:val="20"/>
          <w:color w:val="000000"/>
        </w:rPr>
        <w:t xml:space="preserve">) the Borrowing Base and (ii) the Borrower shall be a co-applicant, and jointly and severally liable with respect to, each Letter of Credit issued for the account of any other Group Member. Each Letter of Credit shall (x) be denominated in Dollars or, if agreed by the applicable Issuing Lender, any </w:t>
      </w:r>
      <w:r>
        <w:rPr>
          <w:rFonts w:ascii="Times New Roman" w:cs="Times New Roman" w:eastAsia="Times New Roman" w:hAnsi="Times New Roman"/>
          <w:sz w:val="20"/>
          <w:szCs w:val="20"/>
          <w:color w:val="FF0000"/>
          <w:strike w:val="1"/>
        </w:rPr>
        <w:t>Optional</w:t>
      </w:r>
      <w:r>
        <w:rPr>
          <w:rFonts w:ascii="Times New Roman" w:cs="Times New Roman" w:eastAsia="Times New Roman" w:hAnsi="Times New Roman"/>
          <w:sz w:val="20"/>
          <w:szCs w:val="20"/>
          <w:u w:val="single" w:color="auto"/>
          <w:color w:val="0000FF"/>
        </w:rPr>
        <w:t>L/C Foreign</w:t>
      </w:r>
      <w:r>
        <w:rPr>
          <w:rFonts w:ascii="Times New Roman" w:cs="Times New Roman" w:eastAsia="Times New Roman" w:hAnsi="Times New Roman"/>
          <w:sz w:val="20"/>
          <w:szCs w:val="20"/>
          <w:color w:val="000000"/>
        </w:rPr>
        <w:t xml:space="preserve"> Currency and (y) expire no later than the earlier of (A) the date that is one year after the date of issuance of such Letter of Credit and (B) thirty (30) days prior to the Termination Date then in effect; provided, that any Letter of Credit with a one-year tenor may provide for the subsequent or successive renewal or automatic renewal thereof for additional one-year periods (which shall in no event extend beyond the date referred to in foregoing clause (B). If agreed by an Issuing Lender, Letters of Credit issued by such Issuing Lender may have an expiration date that exceeds one year (but in all events expires no later than thirty (30) days prior to the Termination Date then in effect);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the</w:t>
      </w:r>
    </w:p>
    <w:p>
      <w:pPr>
        <w:sectPr>
          <w:pgSz w:w="11900" w:h="16838" w:orient="portrait"/>
          <w:cols w:equalWidth="0" w:num="1">
            <w:col w:w="11420"/>
          </w:cols>
          <w:pgMar w:left="240" w:top="409" w:right="239" w:bottom="1440" w:gutter="0" w:footer="0" w:header="0"/>
        </w:sectPr>
      </w:pPr>
    </w:p>
    <w:bookmarkStart w:id="153" w:name="page154"/>
    <w:bookmarkEnd w:id="153"/>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58</w:t>
      </w:r>
    </w:p>
    <w:p>
      <w:pPr>
        <w:spacing w:after="0" w:line="23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Borrower shall not request the issuance of any such Letter of Credit if the aggregate face amount of all such Letters of Credit outstanding on the date of such request and giving effect to the proposed issuance would exceed the Dollar Equivalent of $10,000,000.</w:t>
      </w:r>
    </w:p>
    <w:p>
      <w:pPr>
        <w:spacing w:after="0" w:line="160" w:lineRule="exact"/>
        <w:rPr>
          <w:sz w:val="20"/>
          <w:szCs w:val="20"/>
          <w:color w:val="auto"/>
        </w:rPr>
      </w:pPr>
    </w:p>
    <w:p>
      <w:pPr>
        <w:ind w:right="380" w:firstLine="1035"/>
        <w:spacing w:after="0" w:line="269" w:lineRule="auto"/>
        <w:tabs>
          <w:tab w:leader="none" w:pos="144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Issuing Lender shall not at any time be obligated to issue any Letter of Credit if such issuance would conflict with, or cause the Issuing Lender or any L/C Participant to exceed any limits imposed by, any applicable Requirement of Law.</w:t>
      </w:r>
    </w:p>
    <w:p>
      <w:pPr>
        <w:spacing w:after="0" w:line="160" w:lineRule="exact"/>
        <w:rPr>
          <w:sz w:val="20"/>
          <w:szCs w:val="20"/>
          <w:color w:val="auto"/>
        </w:rPr>
      </w:pPr>
    </w:p>
    <w:p>
      <w:pPr>
        <w:ind w:left="1040"/>
        <w:spacing w:after="0"/>
        <w:tabs>
          <w:tab w:leader="none" w:pos="146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Procedure for Issuance of Letter of Credit</w:t>
      </w:r>
      <w:r>
        <w:rPr>
          <w:rFonts w:ascii="Times New Roman" w:cs="Times New Roman" w:eastAsia="Times New Roman" w:hAnsi="Times New Roman"/>
          <w:sz w:val="19"/>
          <w:szCs w:val="19"/>
          <w:color w:val="auto"/>
        </w:rPr>
        <w:t>. The Borrower may from time to time request that the Issuing Lender issue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Letter of Credit by delivering to the Issuing Lender at its address for notices specified herein an Application therefor, completed to the</w:t>
      </w:r>
    </w:p>
    <w:p>
      <w:pPr>
        <w:spacing w:after="0"/>
        <w:rPr>
          <w:sz w:val="20"/>
          <w:szCs w:val="20"/>
          <w:color w:val="auto"/>
        </w:rPr>
      </w:pPr>
      <w:r>
        <w:rPr>
          <w:rFonts w:ascii="Times New Roman" w:cs="Times New Roman" w:eastAsia="Times New Roman" w:hAnsi="Times New Roman"/>
          <w:sz w:val="20"/>
          <w:szCs w:val="20"/>
          <w:color w:val="auto"/>
        </w:rPr>
        <w:t>satisfaction of the Issuing Lender, and such other certificates, documents and other papers and information as the Issuing Lender may request.</w:t>
      </w:r>
    </w:p>
    <w:p>
      <w:pPr>
        <w:spacing w:after="0"/>
        <w:rPr>
          <w:sz w:val="20"/>
          <w:szCs w:val="20"/>
          <w:color w:val="auto"/>
        </w:rPr>
      </w:pPr>
      <w:r>
        <w:rPr>
          <w:rFonts w:ascii="Times New Roman" w:cs="Times New Roman" w:eastAsia="Times New Roman" w:hAnsi="Times New Roman"/>
          <w:sz w:val="20"/>
          <w:szCs w:val="20"/>
          <w:color w:val="auto"/>
        </w:rPr>
        <w:t>Upon receipt of any Application, the Issuing Lender will process such Application and the certificates, documents and other papers and</w:t>
      </w:r>
    </w:p>
    <w:p>
      <w:pPr>
        <w:spacing w:after="0"/>
        <w:rPr>
          <w:sz w:val="20"/>
          <w:szCs w:val="20"/>
          <w:color w:val="auto"/>
        </w:rPr>
      </w:pPr>
      <w:r>
        <w:rPr>
          <w:rFonts w:ascii="Times New Roman" w:cs="Times New Roman" w:eastAsia="Times New Roman" w:hAnsi="Times New Roman"/>
          <w:sz w:val="20"/>
          <w:szCs w:val="20"/>
          <w:color w:val="auto"/>
        </w:rPr>
        <w:t>information delivered to it in connection therewith in accordance with its customary procedures and shall promptly issue the Letter of Credit</w:t>
      </w:r>
    </w:p>
    <w:p>
      <w:pPr>
        <w:spacing w:after="0"/>
        <w:rPr>
          <w:sz w:val="20"/>
          <w:szCs w:val="20"/>
          <w:color w:val="auto"/>
        </w:rPr>
      </w:pPr>
      <w:r>
        <w:rPr>
          <w:rFonts w:ascii="Times New Roman" w:cs="Times New Roman" w:eastAsia="Times New Roman" w:hAnsi="Times New Roman"/>
          <w:sz w:val="20"/>
          <w:szCs w:val="20"/>
          <w:color w:val="auto"/>
        </w:rPr>
        <w:t>requested thereby (but in no event shall the Issuing Lender be required to issue any Letter of Credit earlier than three Business Days after its</w:t>
      </w:r>
    </w:p>
    <w:p>
      <w:pPr>
        <w:spacing w:after="0"/>
        <w:rPr>
          <w:sz w:val="20"/>
          <w:szCs w:val="20"/>
          <w:color w:val="auto"/>
        </w:rPr>
      </w:pPr>
      <w:r>
        <w:rPr>
          <w:rFonts w:ascii="Times New Roman" w:cs="Times New Roman" w:eastAsia="Times New Roman" w:hAnsi="Times New Roman"/>
          <w:sz w:val="20"/>
          <w:szCs w:val="20"/>
          <w:color w:val="auto"/>
        </w:rPr>
        <w:t>receipt of the Application therefor and all such other certificates, documents and other papers and information relating thereto) by issuing the</w:t>
      </w:r>
    </w:p>
    <w:p>
      <w:pPr>
        <w:spacing w:after="0"/>
        <w:rPr>
          <w:sz w:val="20"/>
          <w:szCs w:val="20"/>
          <w:color w:val="auto"/>
        </w:rPr>
      </w:pPr>
      <w:r>
        <w:rPr>
          <w:rFonts w:ascii="Times New Roman" w:cs="Times New Roman" w:eastAsia="Times New Roman" w:hAnsi="Times New Roman"/>
          <w:sz w:val="20"/>
          <w:szCs w:val="20"/>
          <w:color w:val="auto"/>
        </w:rPr>
        <w:t>original of such Letter of Credit to the beneficiary thereof or as otherwise may be agreed to by the Issuing Lender and the Borrower. The</w:t>
      </w:r>
    </w:p>
    <w:p>
      <w:pPr>
        <w:spacing w:after="0"/>
        <w:rPr>
          <w:sz w:val="20"/>
          <w:szCs w:val="20"/>
          <w:color w:val="auto"/>
        </w:rPr>
      </w:pPr>
      <w:r>
        <w:rPr>
          <w:rFonts w:ascii="Times New Roman" w:cs="Times New Roman" w:eastAsia="Times New Roman" w:hAnsi="Times New Roman"/>
          <w:sz w:val="20"/>
          <w:szCs w:val="20"/>
          <w:color w:val="auto"/>
        </w:rPr>
        <w:t>Issuing Lender shall furnish a copy of such Letter of Credit to the Borrower promptly following the issuance thereof. The Issuing Lender shall</w:t>
      </w:r>
    </w:p>
    <w:p>
      <w:pPr>
        <w:spacing w:after="0"/>
        <w:rPr>
          <w:sz w:val="20"/>
          <w:szCs w:val="20"/>
          <w:color w:val="auto"/>
        </w:rPr>
      </w:pPr>
      <w:r>
        <w:rPr>
          <w:rFonts w:ascii="Times New Roman" w:cs="Times New Roman" w:eastAsia="Times New Roman" w:hAnsi="Times New Roman"/>
          <w:sz w:val="20"/>
          <w:szCs w:val="20"/>
          <w:color w:val="auto"/>
        </w:rPr>
        <w:t>promptly furnish to the Administrative Agent, which shall in turn promptly furnish to the Lenders, notice of the issuance of each Letter of</w:t>
      </w:r>
    </w:p>
    <w:p>
      <w:pPr>
        <w:spacing w:after="0"/>
        <w:rPr>
          <w:sz w:val="20"/>
          <w:szCs w:val="20"/>
          <w:color w:val="auto"/>
        </w:rPr>
      </w:pPr>
      <w:r>
        <w:rPr>
          <w:rFonts w:ascii="Times New Roman" w:cs="Times New Roman" w:eastAsia="Times New Roman" w:hAnsi="Times New Roman"/>
          <w:sz w:val="20"/>
          <w:szCs w:val="20"/>
          <w:color w:val="auto"/>
        </w:rPr>
        <w:t>Credit (including the amount thereof). No Issuing Lender shall issue any Letter of Credit during any period commencing on the first Business</w:t>
      </w:r>
    </w:p>
    <w:p>
      <w:pPr>
        <w:spacing w:after="0"/>
        <w:rPr>
          <w:sz w:val="20"/>
          <w:szCs w:val="20"/>
          <w:color w:val="auto"/>
        </w:rPr>
      </w:pPr>
      <w:r>
        <w:rPr>
          <w:rFonts w:ascii="Times New Roman" w:cs="Times New Roman" w:eastAsia="Times New Roman" w:hAnsi="Times New Roman"/>
          <w:sz w:val="20"/>
          <w:szCs w:val="20"/>
          <w:color w:val="auto"/>
        </w:rPr>
        <w:t>Day after it receives written notice from the Administrative Agent that one or more of the conditions precedent contained in Section 5.2 shall</w:t>
      </w:r>
    </w:p>
    <w:p>
      <w:pPr>
        <w:spacing w:after="0"/>
        <w:rPr>
          <w:sz w:val="20"/>
          <w:szCs w:val="20"/>
          <w:color w:val="auto"/>
        </w:rPr>
      </w:pPr>
      <w:r>
        <w:rPr>
          <w:rFonts w:ascii="Times New Roman" w:cs="Times New Roman" w:eastAsia="Times New Roman" w:hAnsi="Times New Roman"/>
          <w:sz w:val="19"/>
          <w:szCs w:val="19"/>
          <w:color w:val="auto"/>
        </w:rPr>
        <w:t>not on such date be satisfied or waived, and ending when the Administrative Agent provides written notice to the effect that such conditions are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satisfied or waived. The Administrative Agent shall promptly notify the Issuing Lenders upon becoming aware that such conditions in</w:t>
      </w:r>
    </w:p>
    <w:p>
      <w:pPr>
        <w:spacing w:after="0"/>
        <w:rPr>
          <w:sz w:val="20"/>
          <w:szCs w:val="20"/>
          <w:color w:val="auto"/>
        </w:rPr>
      </w:pPr>
      <w:r>
        <w:rPr>
          <w:rFonts w:ascii="Times New Roman" w:cs="Times New Roman" w:eastAsia="Times New Roman" w:hAnsi="Times New Roman"/>
          <w:sz w:val="19"/>
          <w:szCs w:val="19"/>
          <w:color w:val="auto"/>
        </w:rPr>
        <w:t>Section 5.2 are thereafter satisfied or waived. The Issuing Lenders shall not otherwise be required to determine that, or take notice whether,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conditions precedent set forth in Section 5.2 have been satisfied or waived in connection with the issuance of any Letter of Credit.</w:t>
      </w:r>
    </w:p>
    <w:p>
      <w:pPr>
        <w:spacing w:after="0" w:line="194" w:lineRule="exact"/>
        <w:rPr>
          <w:sz w:val="20"/>
          <w:szCs w:val="20"/>
          <w:color w:val="auto"/>
        </w:rPr>
      </w:pPr>
    </w:p>
    <w:p>
      <w:pPr>
        <w:ind w:right="20" w:firstLine="1027"/>
        <w:spacing w:after="0" w:line="242"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Fees and Other Charges</w:t>
      </w:r>
      <w:r>
        <w:rPr>
          <w:rFonts w:ascii="Times New Roman" w:cs="Times New Roman" w:eastAsia="Times New Roman" w:hAnsi="Times New Roman"/>
          <w:sz w:val="20"/>
          <w:szCs w:val="20"/>
          <w:color w:val="auto"/>
        </w:rPr>
        <w:t xml:space="preserve">. (a) The Borrower will pay a fee on all outstanding Letters of Credit at a per annum rate equal to the Applicable Margin then in effect with respect to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auto"/>
        </w:rPr>
        <w:t xml:space="preserve"> Loans, shared ratably among the Lenders </w:t>
      </w:r>
      <w:r>
        <w:rPr>
          <w:rFonts w:ascii="Times New Roman" w:cs="Times New Roman" w:eastAsia="Times New Roman" w:hAnsi="Times New Roman"/>
          <w:sz w:val="20"/>
          <w:szCs w:val="20"/>
          <w:u w:val="single" w:color="auto"/>
          <w:color w:val="0000FF"/>
        </w:rPr>
        <w:t>according to their respective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average daily L/C Participation Amounts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and payable in arrears on each Fee Payment Date in respect of the related Fee Payment Period during</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which such Letters of Credit were outstanding. In addition, the Borrower shall pay to the Issuing Lender for its own account a fronting fee equal to the greater of (x) 0.20% per annum on the undrawn and unexpired amount of each Letter of Credit issued by it or (y) $500, in the case of either clause (x) or (y), payable in arrears on each Fee Payment Date in respect of the related Fee Payment Period during which such Letters of Credit were outstanding. For the purposes of the foregoing calculations, the average daily undrawn and unexpired amount of any Letter of Credit denominated in an </w:t>
      </w:r>
      <w:r>
        <w:rPr>
          <w:rFonts w:ascii="Times New Roman" w:cs="Times New Roman" w:eastAsia="Times New Roman" w:hAnsi="Times New Roman"/>
          <w:sz w:val="20"/>
          <w:szCs w:val="20"/>
          <w:color w:val="FF0000"/>
          <w:strike w:val="1"/>
        </w:rPr>
        <w:t>Optional</w:t>
      </w:r>
      <w:r>
        <w:rPr>
          <w:rFonts w:ascii="Times New Roman" w:cs="Times New Roman" w:eastAsia="Times New Roman" w:hAnsi="Times New Roman"/>
          <w:sz w:val="20"/>
          <w:szCs w:val="20"/>
          <w:u w:val="single" w:color="auto"/>
          <w:color w:val="0000FF"/>
        </w:rPr>
        <w:t>L/C Foreign</w:t>
      </w:r>
      <w:r>
        <w:rPr>
          <w:rFonts w:ascii="Times New Roman" w:cs="Times New Roman" w:eastAsia="Times New Roman" w:hAnsi="Times New Roman"/>
          <w:sz w:val="20"/>
          <w:szCs w:val="20"/>
          <w:color w:val="000000"/>
        </w:rPr>
        <w:t xml:space="preserve"> Currency during any Fee Payment Period shall be calculated by multiplying (i) the average daily undrawn and unexpired amount of such Letter of Credit (expressed in the </w:t>
      </w:r>
      <w:r>
        <w:rPr>
          <w:rFonts w:ascii="Times New Roman" w:cs="Times New Roman" w:eastAsia="Times New Roman" w:hAnsi="Times New Roman"/>
          <w:sz w:val="20"/>
          <w:szCs w:val="20"/>
          <w:color w:val="FF0000"/>
          <w:strike w:val="1"/>
        </w:rPr>
        <w:t>Optional</w:t>
      </w:r>
      <w:r>
        <w:rPr>
          <w:rFonts w:ascii="Times New Roman" w:cs="Times New Roman" w:eastAsia="Times New Roman" w:hAnsi="Times New Roman"/>
          <w:sz w:val="20"/>
          <w:szCs w:val="20"/>
          <w:u w:val="single" w:color="auto"/>
          <w:color w:val="0000FF"/>
        </w:rPr>
        <w:t>L/C Foreign</w:t>
      </w:r>
      <w:r>
        <w:rPr>
          <w:rFonts w:ascii="Times New Roman" w:cs="Times New Roman" w:eastAsia="Times New Roman" w:hAnsi="Times New Roman"/>
          <w:sz w:val="20"/>
          <w:szCs w:val="20"/>
          <w:color w:val="000000"/>
        </w:rPr>
        <w:t xml:space="preserve"> Currency in which such Letter of Credit is denominated) during such period by (ii) the Exchange Rate for each such </w:t>
      </w:r>
      <w:r>
        <w:rPr>
          <w:rFonts w:ascii="Times New Roman" w:cs="Times New Roman" w:eastAsia="Times New Roman" w:hAnsi="Times New Roman"/>
          <w:sz w:val="20"/>
          <w:szCs w:val="20"/>
          <w:color w:val="FF0000"/>
          <w:strike w:val="1"/>
        </w:rPr>
        <w:t>Optional</w:t>
      </w:r>
      <w:r>
        <w:rPr>
          <w:rFonts w:ascii="Times New Roman" w:cs="Times New Roman" w:eastAsia="Times New Roman" w:hAnsi="Times New Roman"/>
          <w:sz w:val="20"/>
          <w:szCs w:val="20"/>
          <w:u w:val="single" w:color="auto"/>
          <w:color w:val="0000FF"/>
        </w:rPr>
        <w:t>L/C Foreign</w:t>
      </w:r>
      <w:r>
        <w:rPr>
          <w:rFonts w:ascii="Times New Roman" w:cs="Times New Roman" w:eastAsia="Times New Roman" w:hAnsi="Times New Roman"/>
          <w:sz w:val="20"/>
          <w:szCs w:val="20"/>
          <w:color w:val="000000"/>
        </w:rPr>
        <w:t xml:space="preserve"> Currency in effect on the Fee Payment Date or by such other method that the Administrative Agent and the Borrower may agree.</w:t>
      </w:r>
    </w:p>
    <w:p>
      <w:pPr>
        <w:spacing w:after="0" w:line="191" w:lineRule="exact"/>
        <w:rPr>
          <w:sz w:val="20"/>
          <w:szCs w:val="20"/>
          <w:color w:val="auto"/>
        </w:rPr>
      </w:pPr>
    </w:p>
    <w:p>
      <w:pPr>
        <w:jc w:val="both"/>
        <w:ind w:right="300" w:firstLine="1035"/>
        <w:spacing w:after="0" w:line="254" w:lineRule="auto"/>
        <w:tabs>
          <w:tab w:leader="none" w:pos="150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foregoing fees, the Borrower shall pay or reimburse the Issuing Lender for such normal and customary costs and expenses as are incurred or charged by the Issuing Lender in issuing, negotiating, effecting payment under, amending or otherwise administering any Letter of Credit.</w:t>
      </w:r>
    </w:p>
    <w:p>
      <w:pPr>
        <w:sectPr>
          <w:pgSz w:w="11900" w:h="16838" w:orient="portrait"/>
          <w:cols w:equalWidth="0" w:num="1">
            <w:col w:w="11420"/>
          </w:cols>
          <w:pgMar w:left="240" w:top="410" w:right="2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59</w:t>
      </w:r>
    </w:p>
    <w:p>
      <w:pPr>
        <w:spacing w:after="0" w:line="238" w:lineRule="exact"/>
        <w:rPr>
          <w:sz w:val="20"/>
          <w:szCs w:val="20"/>
          <w:color w:val="auto"/>
        </w:rPr>
      </w:pPr>
    </w:p>
    <w:p>
      <w:pPr>
        <w:ind w:right="20" w:firstLine="1027"/>
        <w:spacing w:after="0" w:line="241"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L/C Participations</w:t>
      </w:r>
      <w:r>
        <w:rPr>
          <w:rFonts w:ascii="Times New Roman" w:cs="Times New Roman" w:eastAsia="Times New Roman" w:hAnsi="Times New Roman"/>
          <w:sz w:val="20"/>
          <w:szCs w:val="20"/>
          <w:color w:val="auto"/>
        </w:rPr>
        <w:t xml:space="preserve">. (a) The Issuing Lender irrevocably agrees to grant and hereby grants to each L/C Participant, and, to induce the Issuing Lender to issue Letters of Credit, each L/C Participant irrevocably agrees to accept and purchase and hereby accepts and purchases from the Issuing Lender, on the terms and conditions set forth below, for such L/C Participant’s own account and risk an undivided interest equal to such L/C Participant’s </w:t>
      </w:r>
      <w:r>
        <w:rPr>
          <w:rFonts w:ascii="Times New Roman" w:cs="Times New Roman" w:eastAsia="Times New Roman" w:hAnsi="Times New Roman"/>
          <w:sz w:val="20"/>
          <w:szCs w:val="20"/>
          <w:u w:val="single" w:color="auto"/>
          <w:color w:val="0000FF"/>
        </w:rPr>
        <w:t>L/C Participation</w:t>
      </w:r>
      <w:r>
        <w:rPr>
          <w:rFonts w:ascii="Times New Roman" w:cs="Times New Roman" w:eastAsia="Times New Roman" w:hAnsi="Times New Roman"/>
          <w:sz w:val="20"/>
          <w:szCs w:val="20"/>
          <w:color w:val="auto"/>
        </w:rPr>
        <w:t xml:space="preserve"> Percentage in the Issuing Lender’s obligations and rights under and in respect of each Letter of Credit issued by it and the amount of each draft paid by the Issuing Lender thereunder. Each L/C Participant agrees with the Issuing Lender that, if a draft is paid under any Letter of Credit for which the Issuing Lender is not reimbursed in full by the Borrower in accordance with the terms of this Agreement (or in the event that any reimbursement received by the Issuing Lender shall be required to be returned by it at any time), such L/C Participant shall pay to the Issuing Lender in Dollars upon demand at the Issuing Lender’s address for notices specified herein an amount equal to such L/C Participant’s </w:t>
      </w:r>
      <w:r>
        <w:rPr>
          <w:rFonts w:ascii="Times New Roman" w:cs="Times New Roman" w:eastAsia="Times New Roman" w:hAnsi="Times New Roman"/>
          <w:sz w:val="20"/>
          <w:szCs w:val="20"/>
          <w:u w:val="single" w:color="auto"/>
          <w:color w:val="0000FF"/>
        </w:rPr>
        <w:t>L/C Participation</w:t>
      </w:r>
      <w:r>
        <w:rPr>
          <w:rFonts w:ascii="Times New Roman" w:cs="Times New Roman" w:eastAsia="Times New Roman" w:hAnsi="Times New Roman"/>
          <w:sz w:val="20"/>
          <w:szCs w:val="20"/>
          <w:color w:val="auto"/>
        </w:rPr>
        <w:t xml:space="preserve"> Percentage of the Dollar Equivalent of the amount of such draft, or any part thereof, that is not so reimbursed (or is so returned) (calculated, in the case of any Letter of Credit denominated in an </w:t>
      </w:r>
      <w:r>
        <w:rPr>
          <w:rFonts w:ascii="Times New Roman" w:cs="Times New Roman" w:eastAsia="Times New Roman" w:hAnsi="Times New Roman"/>
          <w:sz w:val="20"/>
          <w:szCs w:val="20"/>
          <w:color w:val="FF0000"/>
          <w:strike w:val="1"/>
        </w:rPr>
        <w:t>Optional</w:t>
      </w:r>
      <w:r>
        <w:rPr>
          <w:rFonts w:ascii="Times New Roman" w:cs="Times New Roman" w:eastAsia="Times New Roman" w:hAnsi="Times New Roman"/>
          <w:sz w:val="20"/>
          <w:szCs w:val="20"/>
          <w:u w:val="single" w:color="auto"/>
          <w:color w:val="0000FF"/>
        </w:rPr>
        <w:t>L/C Foreign</w:t>
      </w:r>
      <w:r>
        <w:rPr>
          <w:rFonts w:ascii="Times New Roman" w:cs="Times New Roman" w:eastAsia="Times New Roman" w:hAnsi="Times New Roman"/>
          <w:sz w:val="20"/>
          <w:szCs w:val="20"/>
          <w:color w:val="auto"/>
        </w:rPr>
        <w:t xml:space="preserve"> Currency, as of the Reimbursement Date therefor); provided that in no event shall an L/C Participant be obligated to fund an amount that would cause such L/C Participant’s Extensions of Credit to exceed such L/C Participant’s Commitment. Subject to the foregoing, each L/C Participant’s obligation to pay such amount shall be absolute and unconditional and shall not be affected by any circumstance, including (i) any setoff, counterclaim, recoupment, defense or other right that such L/C Participant may have against the Issuing Lender, the Borrower or any other Person for any reason whatsoever, (ii) the occurrence or continuance of a Default or an Event of Default or the failure to satisfy any of the other conditions specified in Section 5, (iii) any adverse change in the condition (financial or otherwise) of the Borrower, (iv) any breach of this Agreement or any other Loan Document by the Borrower, any other Loan Party or any other L/C Participant or (v) any other circumstance, happening or event whatsoever, whether or not similar to any of the foregoing.</w:t>
      </w:r>
    </w:p>
    <w:p>
      <w:pPr>
        <w:spacing w:after="0" w:line="192" w:lineRule="exact"/>
        <w:rPr>
          <w:sz w:val="20"/>
          <w:szCs w:val="20"/>
          <w:color w:val="auto"/>
        </w:rPr>
      </w:pPr>
    </w:p>
    <w:p>
      <w:pPr>
        <w:ind w:right="60" w:firstLine="1035"/>
        <w:spacing w:after="0" w:line="242" w:lineRule="auto"/>
        <w:tabs>
          <w:tab w:leader="none" w:pos="1505"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amount required to be paid by any L/C Participant to the Issuing Lender pursuant to Section 3.4(a) in respect of any unreimbursed portion of any payment made by the Issuing Lender under any Letter of Credit is </w:t>
      </w:r>
      <w:r>
        <w:rPr>
          <w:rFonts w:ascii="Times New Roman" w:cs="Times New Roman" w:eastAsia="Times New Roman" w:hAnsi="Times New Roman"/>
          <w:sz w:val="20"/>
          <w:szCs w:val="20"/>
          <w:u w:val="single" w:color="auto"/>
          <w:color w:val="0000FF"/>
        </w:rPr>
        <w:t>not</w:t>
      </w:r>
      <w:r>
        <w:rPr>
          <w:rFonts w:ascii="Times New Roman" w:cs="Times New Roman" w:eastAsia="Times New Roman" w:hAnsi="Times New Roman"/>
          <w:sz w:val="20"/>
          <w:szCs w:val="20"/>
          <w:color w:val="auto"/>
        </w:rPr>
        <w:t xml:space="preserve"> paid to the Issuing Lender within three Business Days after the date such payment is due, such L/C Participant shall pay to the Issuing Lender on demand an amount equal to the product of (i) such amount, times (ii) the daily average Federal Funds Effective Rate during the period from and including the date such payment is required to the date on which such payment is immediately available to the Issuing Lender, times (iii) a fraction the numerator of which is the number of days that elapse during such period and the denominator of which is 360. If any such amount required to be paid by any L/C Participant pursuant to Section 3.4(a) is not made available to the Issuing Lender by such L/C Participant within three Business Days after the date such payment is due, the Issuing Lender shall be entitled to recover from such L/C Participant, on demand, such amount with interest thereon calculated from such due date at the rate per annum applicable to ABR Loans. A certificate of the Issuing Lender submitted to any L/C Participant with respect to any amounts owing under this Section 3.4(b) shall be conclusive in the absence of manifest error.</w:t>
      </w:r>
    </w:p>
    <w:p>
      <w:pPr>
        <w:spacing w:after="0" w:line="193" w:lineRule="exact"/>
        <w:rPr>
          <w:rFonts w:ascii="Times New Roman" w:cs="Times New Roman" w:eastAsia="Times New Roman" w:hAnsi="Times New Roman"/>
          <w:sz w:val="20"/>
          <w:szCs w:val="20"/>
          <w:color w:val="auto"/>
        </w:rPr>
      </w:pPr>
    </w:p>
    <w:p>
      <w:pPr>
        <w:ind w:right="60" w:firstLine="1035"/>
        <w:spacing w:after="0" w:line="245" w:lineRule="auto"/>
        <w:tabs>
          <w:tab w:leader="none" w:pos="149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at any time after the Issuing Lender has made payment under any Letter of Credit and has received from any L/C Participant its </w:t>
      </w:r>
      <w:r>
        <w:rPr>
          <w:rFonts w:ascii="Times New Roman" w:cs="Times New Roman" w:eastAsia="Times New Roman" w:hAnsi="Times New Roman"/>
          <w:sz w:val="20"/>
          <w:szCs w:val="20"/>
          <w:u w:val="single" w:color="auto"/>
          <w:color w:val="FF0000"/>
          <w:strike w:val="1"/>
        </w:rPr>
        <w:t>pro rata</w:t>
      </w:r>
      <w:r>
        <w:rPr>
          <w:rFonts w:ascii="Times New Roman" w:cs="Times New Roman" w:eastAsia="Times New Roman" w:hAnsi="Times New Roman"/>
          <w:sz w:val="20"/>
          <w:szCs w:val="20"/>
          <w:color w:val="auto"/>
        </w:rPr>
        <w:t xml:space="preserve"> share of such payment in accordance with Section 3.4(a), the Issuing Lender receives any payment related to such Letter of Credit (whether directly from the Borrower or otherwise, including proceeds of collateral applied thereto by the Issuing Lender), or any payment of interest on account thereof, the Issuing Lender will distribute to such L/C Participant its </w:t>
      </w:r>
      <w:r>
        <w:rPr>
          <w:rFonts w:ascii="Times New Roman" w:cs="Times New Roman" w:eastAsia="Times New Roman" w:hAnsi="Times New Roman"/>
          <w:sz w:val="20"/>
          <w:szCs w:val="20"/>
          <w:u w:val="single" w:color="auto"/>
          <w:color w:val="FF0000"/>
          <w:strike w:val="1"/>
        </w:rPr>
        <w:t>pro rata</w:t>
      </w:r>
      <w:r>
        <w:rPr>
          <w:rFonts w:ascii="Times New Roman" w:cs="Times New Roman" w:eastAsia="Times New Roman" w:hAnsi="Times New Roman"/>
          <w:sz w:val="20"/>
          <w:szCs w:val="20"/>
          <w:u w:val="single" w:color="auto"/>
          <w:color w:val="0000FF"/>
        </w:rPr>
        <w:t>respective</w:t>
      </w:r>
      <w:r>
        <w:rPr>
          <w:rFonts w:ascii="Times New Roman" w:cs="Times New Roman" w:eastAsia="Times New Roman" w:hAnsi="Times New Roman"/>
          <w:sz w:val="20"/>
          <w:szCs w:val="20"/>
          <w:color w:val="auto"/>
        </w:rPr>
        <w:t xml:space="preserve"> share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that any such payment received by the Issuing Lender shall be required to be returned by the Issuing Lender, such L/C Participant shall return to the Issuing Lender the portion thereof previously distributed by the Issuing Lender to it.</w:t>
      </w:r>
    </w:p>
    <w:p>
      <w:pPr>
        <w:sectPr>
          <w:pgSz w:w="11900" w:h="16838" w:orient="portrait"/>
          <w:cols w:equalWidth="0" w:num="1">
            <w:col w:w="11420"/>
          </w:cols>
          <w:pgMar w:left="240" w:top="409" w:right="239" w:bottom="1440" w:gutter="0" w:footer="0" w:header="0"/>
        </w:sectPr>
      </w:pPr>
    </w:p>
    <w:bookmarkStart w:id="155" w:name="page156"/>
    <w:bookmarkEnd w:id="155"/>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60</w:t>
      </w:r>
    </w:p>
    <w:p>
      <w:pPr>
        <w:spacing w:after="0" w:line="238" w:lineRule="exact"/>
        <w:rPr>
          <w:sz w:val="20"/>
          <w:szCs w:val="20"/>
          <w:color w:val="auto"/>
        </w:rPr>
      </w:pPr>
    </w:p>
    <w:p>
      <w:pPr>
        <w:ind w:right="20" w:firstLine="1027"/>
        <w:spacing w:after="0" w:line="241"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Reimbursement Obligation of the Borrower</w:t>
      </w:r>
      <w:r>
        <w:rPr>
          <w:rFonts w:ascii="Times New Roman" w:cs="Times New Roman" w:eastAsia="Times New Roman" w:hAnsi="Times New Roman"/>
          <w:sz w:val="20"/>
          <w:szCs w:val="20"/>
          <w:color w:val="auto"/>
        </w:rPr>
        <w:t>. If any draft is paid under any Letter of Credit, the Borrower shall reimburse the Issuing Lender for the amount of (a) the draft so paid and (b) any taxes, fees, charges or other costs or expenses incurred by the Issuing Lender in connection with such payment, not later than 12:00 Noon, New York City time, on (i) the Business Day that the Borrower receives notice of such draft, if such notice is received on such day prior to 10:00 A.M., New York City time, or (ii) if clause (i) above does not apply, the Business Day immediately following the day that the Borrower receives such notice (such date, the “</w:t>
      </w:r>
      <w:r>
        <w:rPr>
          <w:rFonts w:ascii="Times New Roman" w:cs="Times New Roman" w:eastAsia="Times New Roman" w:hAnsi="Times New Roman"/>
          <w:sz w:val="20"/>
          <w:szCs w:val="20"/>
          <w:u w:val="single" w:color="auto"/>
          <w:color w:val="auto"/>
        </w:rPr>
        <w:t>Reimbursement Date</w:t>
      </w:r>
      <w:r>
        <w:rPr>
          <w:rFonts w:ascii="Times New Roman" w:cs="Times New Roman" w:eastAsia="Times New Roman" w:hAnsi="Times New Roman"/>
          <w:sz w:val="20"/>
          <w:szCs w:val="20"/>
          <w:color w:val="auto"/>
        </w:rPr>
        <w:t xml:space="preserve">”). Each such payment shall be made to the relevant Issuing Lender at its address for notices referred to herein (or in the case of any payment in a currency other than Dollars, as directed by such Issuing Lender) in the currency in which such Letter of Credit is denominated and in immediately available funds (or, in the case of a currency other than Dollars, in such funds as shall be customary for settlement of obligations in such currency in the interbank market). Interest shall be payable on any such amounts from the date on which the relevant draft is paid until payment in full at the rate set forth in (x) until the Business Day next succeeding the date of the relevant notice, Section 2.9(b) and (y) thereafter, Section 2.9(c). It is understood that the Borrower may elect to use the proceeds of a borrowing pursuant to Section 2.2 to finance its reimbursement obligations pursuant to this Section 3.5. Notwithstanding the last sentence of Section 2.2, the proceeds of any such borrowing </w:t>
      </w:r>
      <w:r>
        <w:rPr>
          <w:rFonts w:ascii="Times New Roman" w:cs="Times New Roman" w:eastAsia="Times New Roman" w:hAnsi="Times New Roman"/>
          <w:sz w:val="20"/>
          <w:szCs w:val="20"/>
          <w:u w:val="single" w:color="auto"/>
          <w:color w:val="0000FF"/>
        </w:rPr>
        <w:t>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Loans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shall be made available to the relevant Issuing Lender (and not to the Borrower) to the account specified by such Issuing Lender, in like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funds as received by the Administrative Agent, and the Issuing Lender may credit its </w:t>
      </w:r>
      <w:r>
        <w:rPr>
          <w:rFonts w:ascii="Times New Roman" w:cs="Times New Roman" w:eastAsia="Times New Roman" w:hAnsi="Times New Roman"/>
          <w:sz w:val="20"/>
          <w:szCs w:val="20"/>
          <w:color w:val="FF0000"/>
          <w:strike w:val="1"/>
        </w:rPr>
        <w:t>Percentage</w:t>
      </w:r>
      <w:r>
        <w:rPr>
          <w:rFonts w:ascii="Times New Roman" w:cs="Times New Roman" w:eastAsia="Times New Roman" w:hAnsi="Times New Roman"/>
          <w:sz w:val="20"/>
          <w:szCs w:val="20"/>
          <w:u w:val="single" w:color="auto"/>
          <w:color w:val="0000FF"/>
        </w:rPr>
        <w:t>Pro Rata Share</w:t>
      </w:r>
      <w:r>
        <w:rPr>
          <w:rFonts w:ascii="Times New Roman" w:cs="Times New Roman" w:eastAsia="Times New Roman" w:hAnsi="Times New Roman"/>
          <w:sz w:val="20"/>
          <w:szCs w:val="20"/>
          <w:color w:val="000000"/>
        </w:rPr>
        <w:t xml:space="preserve"> of such borrowing </w:t>
      </w:r>
      <w:r>
        <w:rPr>
          <w:rFonts w:ascii="Times New Roman" w:cs="Times New Roman" w:eastAsia="Times New Roman" w:hAnsi="Times New Roman"/>
          <w:sz w:val="20"/>
          <w:szCs w:val="20"/>
          <w:u w:val="single" w:color="auto"/>
          <w:color w:val="0000FF"/>
        </w:rPr>
        <w:t>(in the case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of Dollar Loans) or its Foreign Currency Commitment Percentage (in the case of Foreign Currency Loans) of such borrowing, as applicable,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to</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relevant Reimbursement Obligation in lieu of funding such amount to the Administrative Agent.</w:t>
      </w:r>
    </w:p>
    <w:p>
      <w:pPr>
        <w:spacing w:after="0" w:line="195" w:lineRule="exact"/>
        <w:rPr>
          <w:sz w:val="20"/>
          <w:szCs w:val="20"/>
          <w:color w:val="auto"/>
        </w:rPr>
      </w:pPr>
    </w:p>
    <w:p>
      <w:pPr>
        <w:ind w:right="20" w:firstLine="1027"/>
        <w:spacing w:after="0" w:line="242"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The Borrower’s obligations under this Section 3 shall be absolute and unconditional under any and all circumstances and irrespective of any setoff, counterclaim or defense to payment that the Borrower may have or have had against the Issuing Lender, any beneficiary of a Letter of Credit or any other Person. The Borrower also agrees with the Issuing Lender that the Issuing Lender shall not be responsible for, and the Borrower’s Reimbursement Obligations under Section 3.5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The Issuing Lender shall not be liable for any error, omission, interruption or delay in transmission, dispatch or delivery of any message or advice, however transmitted, in connection with any Letter of Credit, except for errors or omissions found by a final and nonappealable decision of a court of competent jurisdiction to have resulted from the gross negligence or willful misconduct of the Issuing Lender. The Borrower agrees that any action taken or omitted by the Issuing Lender under or in connection with any Letter of Credit or the related drafts or documents, if done in the absence of gross negligence or willful misconduct, shall be binding on the Borrower and shall not result in any liability of the Issuing Lender to the Borrower.</w:t>
      </w:r>
    </w:p>
    <w:p>
      <w:pPr>
        <w:spacing w:after="0" w:line="186" w:lineRule="exact"/>
        <w:rPr>
          <w:sz w:val="20"/>
          <w:szCs w:val="20"/>
          <w:color w:val="auto"/>
        </w:rPr>
      </w:pPr>
    </w:p>
    <w:p>
      <w:pPr>
        <w:ind w:right="160" w:firstLine="1027"/>
        <w:spacing w:after="0" w:line="247"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Letter of Credit Payments</w:t>
      </w:r>
      <w:r>
        <w:rPr>
          <w:rFonts w:ascii="Times New Roman" w:cs="Times New Roman" w:eastAsia="Times New Roman" w:hAnsi="Times New Roman"/>
          <w:sz w:val="20"/>
          <w:szCs w:val="20"/>
          <w:color w:val="auto"/>
        </w:rPr>
        <w:t>. If any draft shall be presented for payment under any Letter of Credit, the Issuing Lender shall promptly notify the Borrower of the date and amount thereof. The responsibility of the Issuing Lender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w:t>
      </w:r>
    </w:p>
    <w:p>
      <w:pPr>
        <w:sectPr>
          <w:pgSz w:w="11900" w:h="16838" w:orient="portrait"/>
          <w:cols w:equalWidth="0" w:num="1">
            <w:col w:w="11420"/>
          </w:cols>
          <w:pgMar w:left="240" w:top="409" w:right="2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61</w:t>
      </w:r>
    </w:p>
    <w:p>
      <w:pPr>
        <w:spacing w:after="0" w:line="238" w:lineRule="exact"/>
        <w:rPr>
          <w:sz w:val="20"/>
          <w:szCs w:val="20"/>
          <w:color w:val="auto"/>
        </w:rPr>
      </w:pPr>
    </w:p>
    <w:p>
      <w:pPr>
        <w:ind w:right="480" w:firstLine="1027"/>
        <w:spacing w:after="0" w:line="269"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Applications</w:t>
      </w:r>
      <w:r>
        <w:rPr>
          <w:rFonts w:ascii="Times New Roman" w:cs="Times New Roman" w:eastAsia="Times New Roman" w:hAnsi="Times New Roman"/>
          <w:sz w:val="20"/>
          <w:szCs w:val="20"/>
          <w:color w:val="auto"/>
        </w:rPr>
        <w:t>. To the extent that any provision of any Application related to any Letter of Credit is inconsistent with the provisions of this Section 3, the provisions of this Section 3 shall apply.</w:t>
      </w:r>
    </w:p>
    <w:p>
      <w:pPr>
        <w:spacing w:after="0" w:line="160" w:lineRule="exact"/>
        <w:rPr>
          <w:sz w:val="20"/>
          <w:szCs w:val="20"/>
          <w:color w:val="auto"/>
        </w:rPr>
      </w:pPr>
    </w:p>
    <w:p>
      <w:pPr>
        <w:jc w:val="both"/>
        <w:ind w:right="100" w:firstLine="1027"/>
        <w:spacing w:after="0" w:line="254" w:lineRule="auto"/>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u w:val="single" w:color="auto"/>
          <w:color w:val="auto"/>
        </w:rPr>
        <w:t>Termination of Issuing Bank</w:t>
      </w:r>
      <w:r>
        <w:rPr>
          <w:rFonts w:ascii="Times New Roman" w:cs="Times New Roman" w:eastAsia="Times New Roman" w:hAnsi="Times New Roman"/>
          <w:sz w:val="20"/>
          <w:szCs w:val="20"/>
          <w:color w:val="auto"/>
        </w:rPr>
        <w:t>. The Borrower may elect to terminate the status of any Issuing Lender as an Issuing Lender by giving not less than 10 Business Days prior notice of such election to the relevant Issuing Lender and the Administrative Agent; provided that after giving effect to such termination the terminated Issuing Lender does not have any L/C Obligations owing to it.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SECTION 4. REPRESENTATIONS AND WARRANTIES</w:t>
      </w:r>
    </w:p>
    <w:p>
      <w:pPr>
        <w:spacing w:after="0" w:line="216" w:lineRule="exact"/>
        <w:rPr>
          <w:sz w:val="20"/>
          <w:szCs w:val="20"/>
          <w:color w:val="auto"/>
        </w:rPr>
      </w:pPr>
    </w:p>
    <w:p>
      <w:pPr>
        <w:jc w:val="both"/>
        <w:ind w:firstLine="1027"/>
        <w:spacing w:after="0" w:line="254" w:lineRule="auto"/>
        <w:rPr>
          <w:sz w:val="20"/>
          <w:szCs w:val="20"/>
          <w:color w:val="auto"/>
        </w:rPr>
      </w:pPr>
      <w:r>
        <w:rPr>
          <w:rFonts w:ascii="Times New Roman" w:cs="Times New Roman" w:eastAsia="Times New Roman" w:hAnsi="Times New Roman"/>
          <w:sz w:val="20"/>
          <w:szCs w:val="20"/>
          <w:color w:val="auto"/>
        </w:rPr>
        <w:t>To induce the Administrative Agent and the Lenders to enter into this Agreement and to make the Loans and issue or participate in the Letters of Credit, MVWC and the Borrower hereby jointly and severally represent and warrant to the Administrative Agent and each Lender that:</w:t>
      </w:r>
    </w:p>
    <w:p>
      <w:pPr>
        <w:spacing w:after="0" w:line="175" w:lineRule="exact"/>
        <w:rPr>
          <w:sz w:val="20"/>
          <w:szCs w:val="20"/>
          <w:color w:val="auto"/>
        </w:rPr>
      </w:pPr>
    </w:p>
    <w:p>
      <w:pPr>
        <w:ind w:right="20" w:firstLine="1027"/>
        <w:spacing w:after="0" w:line="241"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Financial Condition</w:t>
      </w:r>
      <w:r>
        <w:rPr>
          <w:rFonts w:ascii="Times New Roman" w:cs="Times New Roman" w:eastAsia="Times New Roman" w:hAnsi="Times New Roman"/>
          <w:sz w:val="20"/>
          <w:szCs w:val="20"/>
          <w:color w:val="auto"/>
        </w:rPr>
        <w:t>. (a) The audited combined balance sheets of MVWC as at the last day of the 2009 Fiscal Year and 2010 Fiscal Year, and the related combined statements of income and of cash flows for the fiscal years ended on such dates, reported on by and accompanied by an unqualified report from Ernst &amp; Young LLP, presented fairly the combined financial condition of MVWC and its Subsidiaries as at such dates, and the combined results of its operations and its combined cash flows for the fiscal years then ended. The unaudited combined balance sheet of MVWC as at the last day of the second Fiscal Quarter of the 2011 Fiscal Year, and the related unaudited combined statements of income and of cash flows for the period of two Fiscal Quarters ended on such date, presented fairly, in all material respects, the combined financial condition of MVWC and its Subsidiaries as at such date, and the combined cash flows for the period of two Fiscal Quarters then ended (subject to normal year-end audit adjustments). All such financial statements, including the related schedules and notes thereto, were prepared in accordance with GAAP applied consistently throughout the periods involved (except as approved by the aforementioned firm of accountants and disclosed therein). As of the Effective Date, no Group Member has any material Guarantee Obligations, contingent liabilities and liabilities for taxes, or any long term leases or unusual forward or long term commitments, including any interest rate or foreign currency swap or exchange transaction or other obligation in respect of derivatives, that are not reflected in the most recent financial statements and footnotes referred to in this paragraph. Except for Dispositions in the internal reorganization contemplated by the Separation and Distribution Agreement of property not intended to be part of the post spin-off business of the Group Members, during the period from the last day of the 2010 Fiscal Year to and including the Effective Date there has been no Disposition by any Group Member of any material part of its business or property.</w:t>
      </w:r>
    </w:p>
    <w:p>
      <w:pPr>
        <w:spacing w:after="0" w:line="195" w:lineRule="exact"/>
        <w:rPr>
          <w:sz w:val="20"/>
          <w:szCs w:val="20"/>
          <w:color w:val="auto"/>
        </w:rPr>
      </w:pPr>
    </w:p>
    <w:p>
      <w:pPr>
        <w:ind w:right="20" w:firstLine="1035"/>
        <w:spacing w:after="0" w:line="244" w:lineRule="auto"/>
        <w:tabs>
          <w:tab w:leader="none" w:pos="1505"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unaudited pro forma opening balance sheet of MVWC as at the last day of the most recent Fiscal Quarter preceding the Closing Date for which financial statements are required to have been provided pursuant to Section 5.1(c), copies of which were furnished to each Lender prior to the Closing Date, were prepared giving effect (as if such events had occurred on such date) to (i) the consummation of the Spin-Off, (ii) the Loans made on the Closing Date and the use of proceeds thereof and (iii) the payment of fees and expenses in connection with the foregoing. Such balance sheet was prepared based on the best information available to MVWC as of the date of delivery thereof, and presented fairly on a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basis the estimated financial position of MVWC and its consolidated Subsidiaries as at the Closing Date, assuming that the events specified in the preceding sentence had actually occurred at the last day of such Fiscal Quarter.</w:t>
      </w:r>
    </w:p>
    <w:p>
      <w:pPr>
        <w:spacing w:after="0" w:line="187" w:lineRule="exact"/>
        <w:rPr>
          <w:sz w:val="20"/>
          <w:szCs w:val="20"/>
          <w:color w:val="auto"/>
        </w:rPr>
      </w:pPr>
    </w:p>
    <w:p>
      <w:pPr>
        <w:ind w:right="160" w:firstLine="1027"/>
        <w:spacing w:after="0" w:line="269"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No Change</w:t>
      </w:r>
      <w:r>
        <w:rPr>
          <w:rFonts w:ascii="Times New Roman" w:cs="Times New Roman" w:eastAsia="Times New Roman" w:hAnsi="Times New Roman"/>
          <w:sz w:val="20"/>
          <w:szCs w:val="20"/>
          <w:color w:val="auto"/>
        </w:rPr>
        <w:t>. Except as disclosed in the Form 10 as in effect prior to the Effective Date, since the last day of the 2010 Fiscal Year, there has been no development or event that has had or could reasonably be expected to have a Material Adverse Effect.</w:t>
      </w:r>
    </w:p>
    <w:p>
      <w:pPr>
        <w:sectPr>
          <w:pgSz w:w="11900" w:h="16838" w:orient="portrait"/>
          <w:cols w:equalWidth="0" w:num="1">
            <w:col w:w="11420"/>
          </w:cols>
          <w:pgMar w:left="240" w:top="409" w:right="239" w:bottom="1440" w:gutter="0" w:footer="0" w:header="0"/>
        </w:sectPr>
      </w:pPr>
    </w:p>
    <w:bookmarkStart w:id="157" w:name="page158"/>
    <w:bookmarkEnd w:id="157"/>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62</w:t>
      </w:r>
    </w:p>
    <w:p>
      <w:pPr>
        <w:spacing w:after="0" w:line="238" w:lineRule="exact"/>
        <w:rPr>
          <w:sz w:val="20"/>
          <w:szCs w:val="20"/>
          <w:color w:val="auto"/>
        </w:rPr>
      </w:pPr>
    </w:p>
    <w:p>
      <w:pPr>
        <w:ind w:right="40" w:firstLine="1027"/>
        <w:spacing w:after="0" w:line="243"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Existence; Compliance with Law</w:t>
      </w:r>
      <w:r>
        <w:rPr>
          <w:rFonts w:ascii="Times New Roman" w:cs="Times New Roman" w:eastAsia="Times New Roman" w:hAnsi="Times New Roman"/>
          <w:sz w:val="20"/>
          <w:szCs w:val="20"/>
          <w:color w:val="auto"/>
        </w:rPr>
        <w:t>. Each of the Borrower and MVWC is, and as of the Closing Date and thereafter each other Group Member will be (a) duly organized, validly existing and in good standing under the laws of the jurisdiction of its organization, (b) duly qualified as a foreign corporation or other organization and in good standing under the laws of each jurisdiction where its ownership, lease or operation of property or the conduct of its business requires such qualification and (c) in compliance with all Requirements of Law, except in the case referred to in clause (b) or (c), to the extent that the failure to comply therewith could not, in the aggregate, reasonably be expected to have a Material Adverse Effect. Each of the Borrower and MVWC has, and as of the Closing Date and thereafter each other Group Member will have, the power and authority, and the legal right, to own and operate its property, to lease the properties it operates as lessee and to conduct the business in which it is currently engaged, except to the extent that any failure to comply therewith could not, in the aggregate, reasonably be expected to have a Material Adverse Effect.</w:t>
      </w:r>
    </w:p>
    <w:p>
      <w:pPr>
        <w:spacing w:after="0" w:line="187" w:lineRule="exact"/>
        <w:rPr>
          <w:sz w:val="20"/>
          <w:szCs w:val="20"/>
          <w:color w:val="auto"/>
        </w:rPr>
      </w:pPr>
    </w:p>
    <w:p>
      <w:pPr>
        <w:ind w:right="40" w:firstLine="1027"/>
        <w:spacing w:after="0" w:line="241"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Power; Authorization; Enforceable Obligations</w:t>
      </w:r>
      <w:r>
        <w:rPr>
          <w:rFonts w:ascii="Times New Roman" w:cs="Times New Roman" w:eastAsia="Times New Roman" w:hAnsi="Times New Roman"/>
          <w:sz w:val="20"/>
          <w:szCs w:val="20"/>
          <w:color w:val="auto"/>
        </w:rPr>
        <w:t>. Each Loan Party has the power and authority, and the legal right, to make, deliver and perform the Loan Documents to which it is (or becomes) a party and, in the case of the Borrower, to obtain extensions of credit hereunder. Prior to becoming a party thereto, each Loan Party will have taken all necessary organizational action to authorize the execution, delivery and performance of the Loan Documents to which it is a party and, in the case of the Borrower, to authorize the extensions of credit on the terms and conditions of this Agreement. No consent or authorization of, filing with, notice to or other act by or in respect of, any Governmental Authority or any other Person is required in connection with the Spin-Off and the extensions of credit hereunder or with the execution, delivery, performance, validity or enforceability of this Agreement or any of the Loan Documents, except (i) consents, authorizations, filings and notices described in Schedule 4.4, which consents, authorizations, filings and notices will have been obtained or made and will be in full force and effect on or prior to the Closing Date and (ii) the filings referred to in Section 4.19. Each Loan Document will have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97" w:lineRule="exact"/>
        <w:rPr>
          <w:sz w:val="20"/>
          <w:szCs w:val="20"/>
          <w:color w:val="auto"/>
        </w:rPr>
      </w:pPr>
    </w:p>
    <w:p>
      <w:pPr>
        <w:ind w:right="40" w:firstLine="1027"/>
        <w:spacing w:after="0" w:line="245"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No Legal Bar</w:t>
      </w:r>
      <w:r>
        <w:rPr>
          <w:rFonts w:ascii="Times New Roman" w:cs="Times New Roman" w:eastAsia="Times New Roman" w:hAnsi="Times New Roman"/>
          <w:sz w:val="20"/>
          <w:szCs w:val="20"/>
          <w:color w:val="auto"/>
        </w:rPr>
        <w:t>. The execution, delivery and performance of this Agreement and the other Loan Documents upon execution, the issuance of Letters of Credit, the borrowings hereunder and the use of the proceeds thereof will not violate any Requirement of Law or any Contractual Obligation of any Group Member and will not result in, or require, the creation or imposition of any Lien on any of their respective properties or revenues pursuant to any Requirement of Law or any such Contractual Obligation (other than the Liens created by the Security Documents). No Requirement of Law or Contractual Obligation applicable to the Borrower or any of its Subsidiaries could reasonably be expected to have a Material Adverse Effect.</w:t>
      </w:r>
    </w:p>
    <w:p>
      <w:pPr>
        <w:spacing w:after="0" w:line="185" w:lineRule="exact"/>
        <w:rPr>
          <w:sz w:val="20"/>
          <w:szCs w:val="20"/>
          <w:color w:val="auto"/>
        </w:rPr>
      </w:pPr>
    </w:p>
    <w:p>
      <w:pPr>
        <w:ind w:right="100" w:firstLine="1027"/>
        <w:spacing w:after="0" w:line="249"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No litigation, investigation or proceeding of or before any arbitrator or Governmental Authority is pending or, to the knowledge of MVWC or the Borrower, threatened by or against any Group Member or against any of their respective properties or revenues (a) with respect to any of the Loan Documents or any of the transactions contemplated hereby or thereby, or (b) that could reasonably be expected to have a Material Adverse Effect.</w:t>
      </w:r>
    </w:p>
    <w:p>
      <w:pPr>
        <w:spacing w:after="0" w:line="180" w:lineRule="exact"/>
        <w:rPr>
          <w:sz w:val="20"/>
          <w:szCs w:val="20"/>
          <w:color w:val="auto"/>
        </w:rPr>
      </w:pPr>
    </w:p>
    <w:p>
      <w:pPr>
        <w:ind w:right="240" w:firstLine="1027"/>
        <w:spacing w:after="0" w:line="269"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No Group Member is in default under or with respect to any of its Contractual Obligations in any respect that could reasonably be expected to have a Material Adverse Effect. No Default or Event of Default has occurred and is continuing.</w:t>
      </w:r>
    </w:p>
    <w:p>
      <w:pPr>
        <w:sectPr>
          <w:pgSz w:w="11900" w:h="16838" w:orient="portrait"/>
          <w:cols w:equalWidth="0" w:num="1">
            <w:col w:w="11420"/>
          </w:cols>
          <w:pgMar w:left="240" w:top="409" w:right="239" w:bottom="1440" w:gutter="0" w:footer="0" w:header="0"/>
        </w:sectPr>
      </w:pPr>
    </w:p>
    <w:bookmarkStart w:id="158" w:name="page159"/>
    <w:bookmarkEnd w:id="158"/>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63</w:t>
      </w:r>
    </w:p>
    <w:p>
      <w:pPr>
        <w:spacing w:after="0" w:line="238" w:lineRule="exact"/>
        <w:rPr>
          <w:sz w:val="20"/>
          <w:szCs w:val="20"/>
          <w:color w:val="auto"/>
        </w:rPr>
      </w:pPr>
    </w:p>
    <w:p>
      <w:pPr>
        <w:ind w:right="40" w:firstLine="1027"/>
        <w:spacing w:after="0" w:line="254" w:lineRule="auto"/>
        <w:rPr>
          <w:sz w:val="20"/>
          <w:szCs w:val="20"/>
          <w:color w:val="auto"/>
        </w:rPr>
      </w:pPr>
      <w:r>
        <w:rPr>
          <w:rFonts w:ascii="Times New Roman" w:cs="Times New Roman" w:eastAsia="Times New Roman" w:hAnsi="Times New Roman"/>
          <w:sz w:val="20"/>
          <w:szCs w:val="20"/>
          <w:color w:val="auto"/>
        </w:rPr>
        <w:t xml:space="preserve">4.8 </w:t>
      </w:r>
      <w:r>
        <w:rPr>
          <w:rFonts w:ascii="Times New Roman" w:cs="Times New Roman" w:eastAsia="Times New Roman" w:hAnsi="Times New Roman"/>
          <w:sz w:val="20"/>
          <w:szCs w:val="20"/>
          <w:u w:val="single" w:color="auto"/>
          <w:color w:val="auto"/>
        </w:rPr>
        <w:t>Ownership of Property; Liens</w:t>
      </w:r>
      <w:r>
        <w:rPr>
          <w:rFonts w:ascii="Times New Roman" w:cs="Times New Roman" w:eastAsia="Times New Roman" w:hAnsi="Times New Roman"/>
          <w:sz w:val="20"/>
          <w:szCs w:val="20"/>
          <w:color w:val="auto"/>
        </w:rPr>
        <w:t>. Each of the Borrower and MVWC has, and as of the Closing Date and thereafter each other Group Member will have title in fee simple to, or a valid leasehold interest in, all its real property, and good title to, or a valid leasehold interest in, all its other property, and none of such property is subject to any Lien except as permitted by Section 7.4.</w:t>
      </w:r>
    </w:p>
    <w:p>
      <w:pPr>
        <w:spacing w:after="0" w:line="175" w:lineRule="exact"/>
        <w:rPr>
          <w:sz w:val="20"/>
          <w:szCs w:val="20"/>
          <w:color w:val="auto"/>
        </w:rPr>
      </w:pPr>
    </w:p>
    <w:p>
      <w:pPr>
        <w:jc w:val="both"/>
        <w:ind w:right="20" w:firstLine="1027"/>
        <w:spacing w:after="0" w:line="245" w:lineRule="auto"/>
        <w:rPr>
          <w:sz w:val="20"/>
          <w:szCs w:val="20"/>
          <w:color w:val="auto"/>
        </w:rPr>
      </w:pPr>
      <w:r>
        <w:rPr>
          <w:rFonts w:ascii="Times New Roman" w:cs="Times New Roman" w:eastAsia="Times New Roman" w:hAnsi="Times New Roman"/>
          <w:sz w:val="20"/>
          <w:szCs w:val="20"/>
          <w:color w:val="auto"/>
        </w:rPr>
        <w:t xml:space="preserve">4.9 </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Each Group Member as of the Closing Date will own, or be licensed or be otherwise permitted to use, all Intellectual Property necessary for the conduct of its business as currently conducted. No material claim against a Group Member has been asserted and is pending by any Person challenging or questioning the use by such Group Member of any Intellectual Property or the validity or effectiveness of any Intellectual Property owned or used by such Group Member, nor does MVWC or the Borrower know of any valid basis for any such claim. The use of Intellectual Property by each Group Member does not infringe on, misappropriate or violate the rights of any Person in any material respect.</w:t>
      </w:r>
    </w:p>
    <w:p>
      <w:pPr>
        <w:spacing w:after="0" w:line="185" w:lineRule="exact"/>
        <w:rPr>
          <w:sz w:val="20"/>
          <w:szCs w:val="20"/>
          <w:color w:val="auto"/>
        </w:rPr>
      </w:pPr>
    </w:p>
    <w:p>
      <w:pPr>
        <w:ind w:right="60" w:firstLine="1027"/>
        <w:spacing w:after="0" w:line="245" w:lineRule="auto"/>
        <w:rPr>
          <w:sz w:val="20"/>
          <w:szCs w:val="20"/>
          <w:color w:val="auto"/>
        </w:rPr>
      </w:pPr>
      <w:r>
        <w:rPr>
          <w:rFonts w:ascii="Times New Roman" w:cs="Times New Roman" w:eastAsia="Times New Roman" w:hAnsi="Times New Roman"/>
          <w:sz w:val="20"/>
          <w:szCs w:val="20"/>
          <w:color w:val="auto"/>
        </w:rPr>
        <w:t xml:space="preserve">4.10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Each Group Member has filed or caused to be filed all Federal, state and other material Tax returns that are required to be filed and has paid all Taxes shown to be due and payable on said returns or on any assessments made against it or any of its property and all other material Taxes, fees or other charges imposed on it or any of its property by any Governmental Authority (other than any the amount or validity of which are currently being contested in good faith by appropriate proceedings and with respect to which reserves in conformity with GAAP have been provided on the books of the relevant Group Member); no Tax Lien has been filed, and, to the knowledge of MVWC and the Borrower, no claim is being asserted, with respect to any such Tax, fee or other charge.</w:t>
      </w:r>
    </w:p>
    <w:p>
      <w:pPr>
        <w:spacing w:after="0" w:line="185" w:lineRule="exact"/>
        <w:rPr>
          <w:sz w:val="20"/>
          <w:szCs w:val="20"/>
          <w:color w:val="auto"/>
        </w:rPr>
      </w:pPr>
    </w:p>
    <w:p>
      <w:pPr>
        <w:ind w:right="40" w:firstLine="1027"/>
        <w:spacing w:after="0" w:line="260" w:lineRule="auto"/>
        <w:rPr>
          <w:sz w:val="20"/>
          <w:szCs w:val="20"/>
          <w:color w:val="auto"/>
        </w:rPr>
      </w:pPr>
      <w:r>
        <w:rPr>
          <w:rFonts w:ascii="Times New Roman" w:cs="Times New Roman" w:eastAsia="Times New Roman" w:hAnsi="Times New Roman"/>
          <w:sz w:val="19"/>
          <w:szCs w:val="19"/>
          <w:color w:val="auto"/>
        </w:rPr>
        <w:t xml:space="preserve">4.11 </w:t>
      </w:r>
      <w:r>
        <w:rPr>
          <w:rFonts w:ascii="Times New Roman" w:cs="Times New Roman" w:eastAsia="Times New Roman" w:hAnsi="Times New Roman"/>
          <w:sz w:val="19"/>
          <w:szCs w:val="19"/>
          <w:u w:val="single" w:color="auto"/>
          <w:color w:val="auto"/>
        </w:rPr>
        <w:t>Federal Regulations</w:t>
      </w:r>
      <w:r>
        <w:rPr>
          <w:rFonts w:ascii="Times New Roman" w:cs="Times New Roman" w:eastAsia="Times New Roman" w:hAnsi="Times New Roman"/>
          <w:sz w:val="19"/>
          <w:szCs w:val="19"/>
          <w:color w:val="auto"/>
        </w:rPr>
        <w:t>. No part of the proceeds of any Loans, and no other extensions of credit hereunder, will be used (a) for “buying” or “carrying” any “margin stock” within the respective meanings of each of the quoted terms under Regulation U as now and from time to time hereafter in effect for any purpose that violates the provisions of the Regulations of the Board or (b) for any purpose that violates the provisions of the Regulations of the Board. No more than 25% of the assets of the Group Members consist of “margin stock” as so defined. If requested by any Lender or the Administrative Agent, the Borrower will furnish to the Administrative Agent and each Lender a statement to the foregoing effect in conformity with the requirements of FR Form G-3 or FR Form U-1, as applicable, referred to in Regulation U.</w:t>
      </w:r>
    </w:p>
    <w:p>
      <w:pPr>
        <w:spacing w:after="0" w:line="174" w:lineRule="exact"/>
        <w:rPr>
          <w:sz w:val="20"/>
          <w:szCs w:val="20"/>
          <w:color w:val="auto"/>
        </w:rPr>
      </w:pPr>
    </w:p>
    <w:p>
      <w:pPr>
        <w:ind w:firstLine="1027"/>
        <w:spacing w:after="0" w:line="247" w:lineRule="auto"/>
        <w:rPr>
          <w:sz w:val="20"/>
          <w:szCs w:val="20"/>
          <w:color w:val="auto"/>
        </w:rPr>
      </w:pPr>
      <w:r>
        <w:rPr>
          <w:rFonts w:ascii="Times New Roman" w:cs="Times New Roman" w:eastAsia="Times New Roman" w:hAnsi="Times New Roman"/>
          <w:sz w:val="20"/>
          <w:szCs w:val="20"/>
          <w:color w:val="auto"/>
        </w:rPr>
        <w:t xml:space="preserve">4.12 </w:t>
      </w:r>
      <w:r>
        <w:rPr>
          <w:rFonts w:ascii="Times New Roman" w:cs="Times New Roman" w:eastAsia="Times New Roman" w:hAnsi="Times New Roman"/>
          <w:sz w:val="20"/>
          <w:szCs w:val="20"/>
          <w:u w:val="single" w:color="auto"/>
          <w:color w:val="auto"/>
        </w:rPr>
        <w:t>Labor Matters</w:t>
      </w:r>
      <w:r>
        <w:rPr>
          <w:rFonts w:ascii="Times New Roman" w:cs="Times New Roman" w:eastAsia="Times New Roman" w:hAnsi="Times New Roman"/>
          <w:sz w:val="20"/>
          <w:szCs w:val="20"/>
          <w:color w:val="auto"/>
        </w:rPr>
        <w:t>. Except as, in the aggregate, could not reasonably be expected to have a Material Adverse Effect: (a) there are no strikes or other labor disputes against any Group Member pending or, to the knowledge of MVWC or the Borrower, threatened; (b) hours worked by and payment made to employees of each Group Member have not been in violation of the Fair Labor Standards Act or any other applicable Requirement of Law dealing with such matters; and (c) all payments due from any Group Member on account of employee health and welfare insurance have been paid or accrued as a liability on the books of the relevant Group Member.</w:t>
      </w:r>
    </w:p>
    <w:p>
      <w:pPr>
        <w:spacing w:after="0" w:line="181" w:lineRule="exact"/>
        <w:rPr>
          <w:sz w:val="20"/>
          <w:szCs w:val="20"/>
          <w:color w:val="auto"/>
        </w:rPr>
      </w:pPr>
    </w:p>
    <w:p>
      <w:pPr>
        <w:ind w:left="1040"/>
        <w:spacing w:after="0"/>
        <w:tabs>
          <w:tab w:leader="none" w:pos="1600" w:val="left"/>
        </w:tabs>
        <w:rPr>
          <w:sz w:val="20"/>
          <w:szCs w:val="20"/>
          <w:color w:val="auto"/>
        </w:rPr>
      </w:pPr>
      <w:r>
        <w:rPr>
          <w:rFonts w:ascii="Times New Roman" w:cs="Times New Roman" w:eastAsia="Times New Roman" w:hAnsi="Times New Roman"/>
          <w:sz w:val="20"/>
          <w:szCs w:val="20"/>
          <w:color w:val="auto"/>
        </w:rPr>
        <w:t>4.13</w:t>
      </w:r>
      <w:r>
        <w:rPr>
          <w:sz w:val="20"/>
          <w:szCs w:val="20"/>
          <w:color w:val="auto"/>
        </w:rPr>
        <w:tab/>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Except as could not reasonably be expected, individually or in the aggregate, to have a Material Adverse Effect:</w:t>
      </w:r>
    </w:p>
    <w:p>
      <w:pPr>
        <w:spacing w:after="0" w:line="22" w:lineRule="exact"/>
        <w:rPr>
          <w:sz w:val="20"/>
          <w:szCs w:val="20"/>
          <w:color w:val="auto"/>
        </w:rPr>
      </w:pPr>
    </w:p>
    <w:p>
      <w:pPr>
        <w:ind w:right="220" w:firstLine="8"/>
        <w:spacing w:after="0"/>
        <w:tabs>
          <w:tab w:leader="none" w:pos="269"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Group Member and each of their respective ERISA Affiliates is in compliance with the applicable provisions of ERISA and the provisions of the Code relating to Plans and the regulations and published interpretations thereunder; (b) no ERISA Event or Foreign Plan Event has occurred or is reasonably expected to occur; and (c) all amounts required by applicable law with respect to, or by the terms of, any retiree welfare benefit arrangement maintained by any Group Member or any ERISA Affiliate or to which any Group Member or any ERISA Affiliate has an obligation to contribute have been accrued in accordance with Statement of Financial Accounting Standards No. 106. The present value of all accumulated benefit obligations under each Pension Plan (based on the assumptions used for purposes of Accounting Standards Codification No. 715:</w:t>
      </w:r>
    </w:p>
    <w:p>
      <w:pPr>
        <w:sectPr>
          <w:pgSz w:w="11900" w:h="16838" w:orient="portrait"/>
          <w:cols w:equalWidth="0" w:num="1">
            <w:col w:w="11420"/>
          </w:cols>
          <w:pgMar w:left="240" w:top="409" w:right="239" w:bottom="1440" w:gutter="0" w:footer="0" w:header="0"/>
        </w:sectPr>
      </w:pPr>
    </w:p>
    <w:bookmarkStart w:id="159" w:name="page160"/>
    <w:bookmarkEnd w:id="159"/>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64</w:t>
      </w:r>
    </w:p>
    <w:p>
      <w:pPr>
        <w:spacing w:after="0" w:line="23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Compensation-Retirement Benefits) did not, as of the date of the most recent financial statements reflecting such amounts, exceed by more than an immaterial amount the fair market value of the assets of such Pension Plan allocable to such accrued benefits, and the present value of all accumulated benefit obligations of all underfunded Pension Plans (based on the assumptions used for purposes of Accounting Standards Codification No. 715: Compensation-Retirement Benefits) did not, as of the date of the most recent financial statements reflecting such amounts, exceed by more than an immaterial amount the fair market value of the assets of all such underfunded Pension Plans.</w:t>
      </w:r>
    </w:p>
    <w:p>
      <w:pPr>
        <w:spacing w:after="0" w:line="181" w:lineRule="exact"/>
        <w:rPr>
          <w:sz w:val="20"/>
          <w:szCs w:val="20"/>
          <w:color w:val="auto"/>
        </w:rPr>
      </w:pPr>
    </w:p>
    <w:p>
      <w:pPr>
        <w:ind w:right="260" w:firstLine="1027"/>
        <w:spacing w:after="0" w:line="249" w:lineRule="auto"/>
        <w:rPr>
          <w:sz w:val="20"/>
          <w:szCs w:val="20"/>
          <w:color w:val="auto"/>
        </w:rPr>
      </w:pPr>
      <w:r>
        <w:rPr>
          <w:rFonts w:ascii="Times New Roman" w:cs="Times New Roman" w:eastAsia="Times New Roman" w:hAnsi="Times New Roman"/>
          <w:sz w:val="20"/>
          <w:szCs w:val="20"/>
          <w:color w:val="auto"/>
        </w:rPr>
        <w:t xml:space="preserve">4.14 </w:t>
      </w:r>
      <w:r>
        <w:rPr>
          <w:rFonts w:ascii="Times New Roman" w:cs="Times New Roman" w:eastAsia="Times New Roman" w:hAnsi="Times New Roman"/>
          <w:sz w:val="20"/>
          <w:szCs w:val="20"/>
          <w:u w:val="single" w:color="auto"/>
          <w:color w:val="auto"/>
        </w:rPr>
        <w:t>Investment Company Act; Other Regulations</w:t>
      </w:r>
      <w:r>
        <w:rPr>
          <w:rFonts w:ascii="Times New Roman" w:cs="Times New Roman" w:eastAsia="Times New Roman" w:hAnsi="Times New Roman"/>
          <w:sz w:val="20"/>
          <w:szCs w:val="20"/>
          <w:color w:val="auto"/>
        </w:rPr>
        <w:t>. No Loan Party is (i) registered or is required to be registered as an “investment company” under the 40 Act or (ii) “controlled” by a company that is registered or required to be registered under the 40 Act. No Loan Party is subject to regulation under any Requirement of Law (other than Regulation X of the Board) that limits its ability to incur Indebtedness.</w:t>
      </w:r>
    </w:p>
    <w:p>
      <w:pPr>
        <w:spacing w:after="0" w:line="180" w:lineRule="exact"/>
        <w:rPr>
          <w:sz w:val="20"/>
          <w:szCs w:val="20"/>
          <w:color w:val="auto"/>
        </w:rPr>
      </w:pPr>
    </w:p>
    <w:p>
      <w:pPr>
        <w:ind w:right="160" w:firstLine="1027"/>
        <w:spacing w:after="0" w:line="247" w:lineRule="auto"/>
        <w:rPr>
          <w:sz w:val="20"/>
          <w:szCs w:val="20"/>
          <w:color w:val="auto"/>
        </w:rPr>
      </w:pPr>
      <w:r>
        <w:rPr>
          <w:rFonts w:ascii="Times New Roman" w:cs="Times New Roman" w:eastAsia="Times New Roman" w:hAnsi="Times New Roman"/>
          <w:sz w:val="20"/>
          <w:szCs w:val="20"/>
          <w:color w:val="auto"/>
        </w:rPr>
        <w:t xml:space="preserve">4.15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xml:space="preserve">. Except as disclosed to the Administrative Agent by the Borrower in writing from time to time after the Effective Date, (a) </w:t>
      </w:r>
      <w:r>
        <w:rPr>
          <w:rFonts w:ascii="Times New Roman" w:cs="Times New Roman" w:eastAsia="Times New Roman" w:hAnsi="Times New Roman"/>
          <w:sz w:val="20"/>
          <w:szCs w:val="20"/>
          <w:u w:val="single" w:color="auto"/>
          <w:color w:val="auto"/>
        </w:rPr>
        <w:t>Schedule 4.15</w:t>
      </w:r>
      <w:r>
        <w:rPr>
          <w:rFonts w:ascii="Times New Roman" w:cs="Times New Roman" w:eastAsia="Times New Roman" w:hAnsi="Times New Roman"/>
          <w:sz w:val="20"/>
          <w:szCs w:val="20"/>
          <w:color w:val="auto"/>
        </w:rPr>
        <w:t xml:space="preserve"> sets forth the name and jurisdiction of incorporation of each Subsidiary that will be in existence on and after the Closing Date and, as to each such Subsidiary, the percentage of each class of Capital Stock owned by any Loan Party and (b) there are no outstanding subscriptions, options, warrants, calls, rights or other agreements or commitments (other than stock options granted to employees or directors and directors’ qualifying shares) of any nature relating to any Capital Stock of the Borrower or any Subsidiary.</w:t>
      </w:r>
    </w:p>
    <w:p>
      <w:pPr>
        <w:spacing w:after="0" w:line="181" w:lineRule="exact"/>
        <w:rPr>
          <w:sz w:val="20"/>
          <w:szCs w:val="20"/>
          <w:color w:val="auto"/>
        </w:rPr>
      </w:pPr>
    </w:p>
    <w:p>
      <w:pPr>
        <w:ind w:left="1040"/>
        <w:spacing w:after="0"/>
        <w:tabs>
          <w:tab w:leader="none" w:pos="1600" w:val="left"/>
        </w:tabs>
        <w:rPr>
          <w:sz w:val="20"/>
          <w:szCs w:val="20"/>
          <w:color w:val="auto"/>
        </w:rPr>
      </w:pPr>
      <w:r>
        <w:rPr>
          <w:rFonts w:ascii="Times New Roman" w:cs="Times New Roman" w:eastAsia="Times New Roman" w:hAnsi="Times New Roman"/>
          <w:sz w:val="20"/>
          <w:szCs w:val="20"/>
          <w:color w:val="auto"/>
        </w:rPr>
        <w:t>4.16</w:t>
      </w:r>
      <w:r>
        <w:rPr>
          <w:sz w:val="20"/>
          <w:szCs w:val="20"/>
          <w:color w:val="auto"/>
        </w:rPr>
        <w:tab/>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 The proceeds of the Loans and the Letters of Credit shall be used for general corporate purposes.</w:t>
      </w:r>
    </w:p>
    <w:p>
      <w:pPr>
        <w:spacing w:after="0" w:line="216" w:lineRule="exact"/>
        <w:rPr>
          <w:sz w:val="20"/>
          <w:szCs w:val="20"/>
          <w:color w:val="auto"/>
        </w:rPr>
      </w:pPr>
    </w:p>
    <w:p>
      <w:pPr>
        <w:ind w:left="1040"/>
        <w:spacing w:after="0"/>
        <w:tabs>
          <w:tab w:leader="none" w:pos="1600" w:val="left"/>
        </w:tabs>
        <w:rPr>
          <w:sz w:val="20"/>
          <w:szCs w:val="20"/>
          <w:color w:val="auto"/>
        </w:rPr>
      </w:pPr>
      <w:r>
        <w:rPr>
          <w:rFonts w:ascii="Times New Roman" w:cs="Times New Roman" w:eastAsia="Times New Roman" w:hAnsi="Times New Roman"/>
          <w:sz w:val="20"/>
          <w:szCs w:val="20"/>
          <w:color w:val="auto"/>
        </w:rPr>
        <w:t>4.17</w:t>
      </w:r>
      <w:r>
        <w:rPr>
          <w:sz w:val="20"/>
          <w:szCs w:val="20"/>
          <w:color w:val="auto"/>
        </w:rPr>
        <w:tab/>
      </w:r>
      <w:r>
        <w:rPr>
          <w:rFonts w:ascii="Times New Roman" w:cs="Times New Roman" w:eastAsia="Times New Roman" w:hAnsi="Times New Roman"/>
          <w:sz w:val="19"/>
          <w:szCs w:val="19"/>
          <w:u w:val="single" w:color="auto"/>
          <w:color w:val="auto"/>
        </w:rPr>
        <w:t>Environmental Matters</w:t>
      </w:r>
      <w:r>
        <w:rPr>
          <w:rFonts w:ascii="Times New Roman" w:cs="Times New Roman" w:eastAsia="Times New Roman" w:hAnsi="Times New Roman"/>
          <w:sz w:val="19"/>
          <w:szCs w:val="19"/>
          <w:color w:val="auto"/>
        </w:rPr>
        <w:t>. Except as, in the aggregate, could not reasonably be expected to have a Material Adverse Effect:</w:t>
      </w:r>
    </w:p>
    <w:p>
      <w:pPr>
        <w:spacing w:after="0" w:line="216" w:lineRule="exact"/>
        <w:rPr>
          <w:sz w:val="20"/>
          <w:szCs w:val="20"/>
          <w:color w:val="auto"/>
        </w:rPr>
      </w:pPr>
    </w:p>
    <w:p>
      <w:pPr>
        <w:ind w:right="260" w:firstLine="1035"/>
        <w:spacing w:after="0" w:line="254" w:lineRule="auto"/>
        <w:tabs>
          <w:tab w:leader="none" w:pos="1593"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facilities and properties owned, leased or operated by any Group Member (the “</w:t>
      </w:r>
      <w:r>
        <w:rPr>
          <w:rFonts w:ascii="Times New Roman" w:cs="Times New Roman" w:eastAsia="Times New Roman" w:hAnsi="Times New Roman"/>
          <w:sz w:val="20"/>
          <w:szCs w:val="20"/>
          <w:u w:val="single" w:color="auto"/>
          <w:color w:val="auto"/>
        </w:rPr>
        <w:t>Properties</w:t>
      </w:r>
      <w:r>
        <w:rPr>
          <w:rFonts w:ascii="Times New Roman" w:cs="Times New Roman" w:eastAsia="Times New Roman" w:hAnsi="Times New Roman"/>
          <w:sz w:val="20"/>
          <w:szCs w:val="20"/>
          <w:color w:val="auto"/>
        </w:rPr>
        <w:t>”) do not contain, and have not previously contained, any Materials of Environmental Concern in amounts or concentrations or under circumstances that constitute or constituted a violation of, or could give rise to liability under, any Environmental Law;</w:t>
      </w:r>
    </w:p>
    <w:p>
      <w:pPr>
        <w:spacing w:after="0" w:line="174" w:lineRule="exact"/>
        <w:rPr>
          <w:rFonts w:ascii="Times New Roman" w:cs="Times New Roman" w:eastAsia="Times New Roman" w:hAnsi="Times New Roman"/>
          <w:sz w:val="20"/>
          <w:szCs w:val="20"/>
          <w:color w:val="auto"/>
        </w:rPr>
      </w:pPr>
    </w:p>
    <w:p>
      <w:pPr>
        <w:ind w:right="60" w:firstLine="1035"/>
        <w:spacing w:after="0" w:line="249" w:lineRule="auto"/>
        <w:tabs>
          <w:tab w:leader="none" w:pos="160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Group Member has received or is aware of any notice of violation, alleged violation, non-compliance, liability or potential liability regarding environmental matters or compliance with Environmental Laws with regard to any of the Properties or the business operated by any Group Member (the “</w:t>
      </w:r>
      <w:r>
        <w:rPr>
          <w:rFonts w:ascii="Times New Roman" w:cs="Times New Roman" w:eastAsia="Times New Roman" w:hAnsi="Times New Roman"/>
          <w:sz w:val="20"/>
          <w:szCs w:val="20"/>
          <w:u w:val="single" w:color="auto"/>
          <w:color w:val="auto"/>
        </w:rPr>
        <w:t>Business</w:t>
      </w:r>
      <w:r>
        <w:rPr>
          <w:rFonts w:ascii="Times New Roman" w:cs="Times New Roman" w:eastAsia="Times New Roman" w:hAnsi="Times New Roman"/>
          <w:sz w:val="20"/>
          <w:szCs w:val="20"/>
          <w:color w:val="auto"/>
        </w:rPr>
        <w:t>”), nor does MVWC or the Borrower have knowledge or reason to believe that any such notice will be received or is being threatened;</w:t>
      </w:r>
    </w:p>
    <w:p>
      <w:pPr>
        <w:spacing w:after="0" w:line="180" w:lineRule="exact"/>
        <w:rPr>
          <w:rFonts w:ascii="Times New Roman" w:cs="Times New Roman" w:eastAsia="Times New Roman" w:hAnsi="Times New Roman"/>
          <w:sz w:val="20"/>
          <w:szCs w:val="20"/>
          <w:color w:val="auto"/>
        </w:rPr>
      </w:pPr>
    </w:p>
    <w:p>
      <w:pPr>
        <w:ind w:right="160" w:firstLine="1035"/>
        <w:spacing w:after="0" w:line="249" w:lineRule="auto"/>
        <w:tabs>
          <w:tab w:leader="none" w:pos="1593"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Materials of Environmental Concern have not been transported or disposed of from the Properties in violation of, or in a manner or to a location that could give rise to liability under, any Environmental Law, nor have any Materials of Environmental Concern been generated, treated, stored or disposed of at, on or under any of the Properties in violation of, or in a manner that could give rise to liability under, any applicable Environmental Law;</w:t>
      </w:r>
    </w:p>
    <w:p>
      <w:pPr>
        <w:spacing w:after="0" w:line="180" w:lineRule="exact"/>
        <w:rPr>
          <w:rFonts w:ascii="Times New Roman" w:cs="Times New Roman" w:eastAsia="Times New Roman" w:hAnsi="Times New Roman"/>
          <w:sz w:val="20"/>
          <w:szCs w:val="20"/>
          <w:color w:val="auto"/>
        </w:rPr>
      </w:pPr>
    </w:p>
    <w:p>
      <w:pPr>
        <w:ind w:right="20" w:firstLine="1035"/>
        <w:spacing w:after="0" w:line="249" w:lineRule="auto"/>
        <w:tabs>
          <w:tab w:leader="none" w:pos="160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judicial proceeding or governmental or administrative action is pending or, to the knowledge of MVWC and the Borrower, threatened, under any Environmental Law to which any Group Member is or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w:t>
      </w:r>
    </w:p>
    <w:p>
      <w:pPr>
        <w:sectPr>
          <w:pgSz w:w="11900" w:h="16838" w:orient="portrait"/>
          <w:cols w:equalWidth="0" w:num="1">
            <w:col w:w="11420"/>
          </w:cols>
          <w:pgMar w:left="240" w:top="409" w:right="2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65</w:t>
      </w:r>
    </w:p>
    <w:p>
      <w:pPr>
        <w:spacing w:after="0" w:line="238" w:lineRule="exact"/>
        <w:rPr>
          <w:sz w:val="20"/>
          <w:szCs w:val="20"/>
          <w:color w:val="auto"/>
        </w:rPr>
      </w:pPr>
    </w:p>
    <w:p>
      <w:pPr>
        <w:ind w:right="300" w:firstLine="1035"/>
        <w:spacing w:after="0" w:line="254" w:lineRule="auto"/>
        <w:tabs>
          <w:tab w:leader="none" w:pos="1593"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release or threat of release of Materials of Environmental Concern at or from the Properties, or arising from or related to the operations of any Group Member in connection with the Properties or otherwise in connection with the Business, in violation of or in amounts or in a manner that could give rise to liability under Environmental Laws;</w:t>
      </w:r>
    </w:p>
    <w:p>
      <w:pPr>
        <w:spacing w:after="0" w:line="174" w:lineRule="exact"/>
        <w:rPr>
          <w:rFonts w:ascii="Times New Roman" w:cs="Times New Roman" w:eastAsia="Times New Roman" w:hAnsi="Times New Roman"/>
          <w:sz w:val="20"/>
          <w:szCs w:val="20"/>
          <w:color w:val="auto"/>
        </w:rPr>
      </w:pPr>
    </w:p>
    <w:p>
      <w:pPr>
        <w:jc w:val="both"/>
        <w:ind w:firstLine="1035"/>
        <w:spacing w:after="0" w:line="254" w:lineRule="auto"/>
        <w:tabs>
          <w:tab w:leader="none" w:pos="1571"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Properties and all operations at the Properties are in compliance, and have in the last five years been in compliance, with all applicable Environmental Laws, and there is no contamination at, under or about the Properties or violation of any Environmental Law with respect to the Properties or the Business; and</w:t>
      </w:r>
    </w:p>
    <w:p>
      <w:pPr>
        <w:spacing w:after="0" w:line="174" w:lineRule="exact"/>
        <w:rPr>
          <w:rFonts w:ascii="Times New Roman" w:cs="Times New Roman" w:eastAsia="Times New Roman" w:hAnsi="Times New Roman"/>
          <w:sz w:val="20"/>
          <w:szCs w:val="20"/>
          <w:color w:val="auto"/>
        </w:rPr>
      </w:pPr>
    </w:p>
    <w:p>
      <w:pPr>
        <w:ind w:left="1620" w:hanging="585"/>
        <w:spacing w:after="0"/>
        <w:tabs>
          <w:tab w:leader="none" w:pos="162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Group Member has assumed any liability of any other Person under Environmental Laws.</w:t>
      </w:r>
    </w:p>
    <w:p>
      <w:pPr>
        <w:spacing w:after="0" w:line="216" w:lineRule="exact"/>
        <w:rPr>
          <w:sz w:val="20"/>
          <w:szCs w:val="20"/>
          <w:color w:val="auto"/>
        </w:rPr>
      </w:pPr>
    </w:p>
    <w:p>
      <w:pPr>
        <w:ind w:right="40" w:firstLine="1027"/>
        <w:spacing w:after="0" w:line="241" w:lineRule="auto"/>
        <w:rPr>
          <w:sz w:val="20"/>
          <w:szCs w:val="20"/>
          <w:color w:val="auto"/>
        </w:rPr>
      </w:pPr>
      <w:r>
        <w:rPr>
          <w:rFonts w:ascii="Times New Roman" w:cs="Times New Roman" w:eastAsia="Times New Roman" w:hAnsi="Times New Roman"/>
          <w:sz w:val="20"/>
          <w:szCs w:val="20"/>
          <w:color w:val="auto"/>
        </w:rPr>
        <w:t xml:space="preserve">4.18 </w:t>
      </w:r>
      <w:r>
        <w:rPr>
          <w:rFonts w:ascii="Times New Roman" w:cs="Times New Roman" w:eastAsia="Times New Roman" w:hAnsi="Times New Roman"/>
          <w:sz w:val="20"/>
          <w:szCs w:val="20"/>
          <w:u w:val="single" w:color="auto"/>
          <w:color w:val="auto"/>
        </w:rPr>
        <w:t>Accuracy of Information, etc</w:t>
      </w:r>
      <w:r>
        <w:rPr>
          <w:rFonts w:ascii="Times New Roman" w:cs="Times New Roman" w:eastAsia="Times New Roman" w:hAnsi="Times New Roman"/>
          <w:sz w:val="20"/>
          <w:szCs w:val="20"/>
          <w:color w:val="auto"/>
        </w:rPr>
        <w:t xml:space="preserve">. No statement or information of any Loan Party contained in this Agreement, any other Loan Document when executed, the Form 10 or any other document, certificate or statement furnished by or on behalf of any Loan Party to the Administrative Agent or the Lenders, or any of them, for use in connection with the transactions contemplated by this Agreement or the other Loan Documents, contained as of the date such statement, information, document or certificate was so furnished (or, in the case of the Form 10, as of the Effective Date), any untrue statement of a material fact or omitted to state a material fact necessary to make the statements contained herein or therein not misleading. The projections and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financial information contained in the materials referenced above are based upon good faith estimates and assumptions believed by management of MVWC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The representations and warranties of any Loan Party contained in the Spin-Off Documentation will be true and correct in all material respects on the Closing Date. There is no fact known to any Loan Party that could reasonably be expected to have a Material Adverse Effect that has not been expressly disclosed herein, in the other Loan Documents, in the Form 10 as of the Effective Date or in any other documents, certificates and statements furnished to the Administrative Agent and the Lenders for use in connection with the transactions contemplated hereby and by the other Loan Documents.</w:t>
      </w:r>
    </w:p>
    <w:p>
      <w:pPr>
        <w:spacing w:after="0" w:line="197" w:lineRule="exact"/>
        <w:rPr>
          <w:sz w:val="20"/>
          <w:szCs w:val="20"/>
          <w:color w:val="auto"/>
        </w:rPr>
      </w:pPr>
    </w:p>
    <w:p>
      <w:pPr>
        <w:ind w:right="20" w:firstLine="1027"/>
        <w:spacing w:after="0" w:line="241" w:lineRule="auto"/>
        <w:rPr>
          <w:sz w:val="20"/>
          <w:szCs w:val="20"/>
          <w:color w:val="auto"/>
        </w:rPr>
      </w:pPr>
      <w:r>
        <w:rPr>
          <w:rFonts w:ascii="Times New Roman" w:cs="Times New Roman" w:eastAsia="Times New Roman" w:hAnsi="Times New Roman"/>
          <w:sz w:val="20"/>
          <w:szCs w:val="20"/>
          <w:color w:val="auto"/>
        </w:rPr>
        <w:t xml:space="preserve">4.19 </w:t>
      </w:r>
      <w:r>
        <w:rPr>
          <w:rFonts w:ascii="Times New Roman" w:cs="Times New Roman" w:eastAsia="Times New Roman" w:hAnsi="Times New Roman"/>
          <w:sz w:val="20"/>
          <w:szCs w:val="20"/>
          <w:u w:val="single" w:color="auto"/>
          <w:color w:val="auto"/>
        </w:rPr>
        <w:t>Security Documents</w:t>
      </w:r>
      <w:r>
        <w:rPr>
          <w:rFonts w:ascii="Times New Roman" w:cs="Times New Roman" w:eastAsia="Times New Roman" w:hAnsi="Times New Roman"/>
          <w:sz w:val="20"/>
          <w:szCs w:val="20"/>
          <w:color w:val="auto"/>
        </w:rPr>
        <w:t>. (a) The Guarantee and Collateral Agreement when executed will be effective to create in favor of the Administrative Agent, for the benefit of the Lenders, a legal, valid and enforceable security interest in the Collateral described therein and proceeds thereof. In the case of the Pledged Stock described in the Existing Guarantee and Collateral Agreement, when stock certificates representing such Pledged Stock were delivered to the Administrative Agent (together with a properly completed and signed stock power or endorsement), and in the case of the other Collateral described in the Existing Guarantee and Collateral Agreement, when financing statements and other filings specified on Schedule 4.19(a) of the Existing Credit Agreement in appropriate form were filed in the offices specified on Schedule 4.19(a) of the Existing Credit Agreement, and when the other actions described in Schedule 3 to the Existing Guarantee and Collateral Agreement were completed, the Existing Guarantee and Collateral Agreement constituted a fully perfected Lien on, and security interest in, all right, title and interest of the Loan Parties in such Collateral and the proceeds thereof, as security for the Obligations (as defined in the Existing Guarantee and Collateral Agreement), in each case prior and superior in right to any other Person (except, in the case of Collateral other than Pledged Stock, Liens permitted by Section 7.4). In the case of the Pledged Stock described in the Guarantee and Collateral Agreement and required to be delivered hereunder, when stock certificates representing such Pledged Stock not previously delivered to the Administrative Agent are delivered to the Administrative Agent (together with a properly completed and signed stock power or endorsement), and in the case of the other</w:t>
      </w:r>
    </w:p>
    <w:p>
      <w:pPr>
        <w:sectPr>
          <w:pgSz w:w="11900" w:h="16838" w:orient="portrait"/>
          <w:cols w:equalWidth="0" w:num="1">
            <w:col w:w="11420"/>
          </w:cols>
          <w:pgMar w:left="240" w:top="409" w:right="239" w:bottom="1440" w:gutter="0" w:footer="0" w:header="0"/>
        </w:sectPr>
      </w:pPr>
    </w:p>
    <w:bookmarkStart w:id="161" w:name="page162"/>
    <w:bookmarkEnd w:id="161"/>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66</w:t>
      </w:r>
    </w:p>
    <w:p>
      <w:pPr>
        <w:spacing w:after="0" w:line="23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 xml:space="preserve">Collateral described in the Guarantee and Collateral Agreement, to the extent not previously filed, when financing statements and other filings specified on Schedule 4.19(a) in appropriate form are filed in the offices specified on </w:t>
      </w:r>
      <w:r>
        <w:rPr>
          <w:rFonts w:ascii="Times New Roman" w:cs="Times New Roman" w:eastAsia="Times New Roman" w:hAnsi="Times New Roman"/>
          <w:sz w:val="20"/>
          <w:szCs w:val="20"/>
          <w:u w:val="single" w:color="auto"/>
          <w:color w:val="auto"/>
        </w:rPr>
        <w:t>Schedule 4.19(a)</w:t>
      </w:r>
      <w:r>
        <w:rPr>
          <w:rFonts w:ascii="Times New Roman" w:cs="Times New Roman" w:eastAsia="Times New Roman" w:hAnsi="Times New Roman"/>
          <w:sz w:val="20"/>
          <w:szCs w:val="20"/>
          <w:color w:val="auto"/>
        </w:rPr>
        <w:t>, and to the extent not previously taken, when the other actions described in Schedule 3 to the Guarantee and Collateral Agreement have been completed, the Guarantee and Collateral Agreement shall constitute a fully perfected Lien on, and security interest in, all right, title and interest of the Loan Parties in such Collateral and the proceeds thereof, as security for the Obligations (as defined in the Guarantee and Collateral Agreement), in each case prior and superior in right to any other Person (except, in the case of Collateral other than Pledged Stock, Liens permitted by Section 7.4).</w:t>
      </w:r>
    </w:p>
    <w:p>
      <w:pPr>
        <w:spacing w:after="0" w:line="185" w:lineRule="exact"/>
        <w:rPr>
          <w:sz w:val="20"/>
          <w:szCs w:val="20"/>
          <w:color w:val="auto"/>
        </w:rPr>
      </w:pPr>
    </w:p>
    <w:p>
      <w:pPr>
        <w:ind w:right="140" w:firstLine="1035"/>
        <w:spacing w:after="0" w:line="243" w:lineRule="auto"/>
        <w:tabs>
          <w:tab w:leader="none" w:pos="1505"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Mortgages when executed will be effective to create in favor of the Administrative Agent, for the benefit of the Lenders, a legal, valid and enforceable Lien on the Mortgaged Properties described therein and proceeds thereof, and when the Mortgages are filed in the offices specified on Schedule 4.19(b), each such Mortgage shall constitute a fully perfected Lien on, and security interest in, all right, title and interest of the Loan Parties in the Mortgaged Properties and the proceeds thereof, as security for the Obligations (as defined in the relevant Mortgage), in each case prior and superior in right to any other Person. </w:t>
      </w:r>
      <w:r>
        <w:rPr>
          <w:rFonts w:ascii="Times New Roman" w:cs="Times New Roman" w:eastAsia="Times New Roman" w:hAnsi="Times New Roman"/>
          <w:sz w:val="20"/>
          <w:szCs w:val="20"/>
          <w:u w:val="single" w:color="auto"/>
          <w:color w:val="auto"/>
        </w:rPr>
        <w:t>Schedule 1.1C</w:t>
      </w:r>
      <w:r>
        <w:rPr>
          <w:rFonts w:ascii="Times New Roman" w:cs="Times New Roman" w:eastAsia="Times New Roman" w:hAnsi="Times New Roman"/>
          <w:sz w:val="20"/>
          <w:szCs w:val="20"/>
          <w:color w:val="auto"/>
        </w:rPr>
        <w:t xml:space="preserve"> lists each parcel of Mortgaged Property located in the United States and held by the Borrower or any of its Subsidiaries as of the Second Amendment </w:t>
      </w:r>
      <w:r>
        <w:rPr>
          <w:rFonts w:ascii="Times New Roman" w:cs="Times New Roman" w:eastAsia="Times New Roman" w:hAnsi="Times New Roman"/>
          <w:sz w:val="20"/>
          <w:szCs w:val="20"/>
          <w:u w:val="single" w:color="auto"/>
          <w:color w:val="0000FF"/>
        </w:rPr>
        <w:t>and Restatement</w:t>
      </w:r>
      <w:r>
        <w:rPr>
          <w:rFonts w:ascii="Times New Roman" w:cs="Times New Roman" w:eastAsia="Times New Roman" w:hAnsi="Times New Roman"/>
          <w:sz w:val="20"/>
          <w:szCs w:val="20"/>
          <w:color w:val="auto"/>
        </w:rPr>
        <w:t xml:space="preserve"> Effective Date, and such Mortgaged Property is all of the real property, interests in real property, In-Process Property and Time Share Interests required to be mortgaged pursuant to the Existing Credit Agreement (as of the Second Amendment </w:t>
      </w:r>
      <w:r>
        <w:rPr>
          <w:rFonts w:ascii="Times New Roman" w:cs="Times New Roman" w:eastAsia="Times New Roman" w:hAnsi="Times New Roman"/>
          <w:sz w:val="20"/>
          <w:szCs w:val="20"/>
          <w:u w:val="single" w:color="auto"/>
          <w:color w:val="0000FF"/>
        </w:rPr>
        <w:t>and Restatement</w:t>
      </w:r>
      <w:r>
        <w:rPr>
          <w:rFonts w:ascii="Times New Roman" w:cs="Times New Roman" w:eastAsia="Times New Roman" w:hAnsi="Times New Roman"/>
          <w:sz w:val="20"/>
          <w:szCs w:val="20"/>
          <w:color w:val="auto"/>
        </w:rPr>
        <w:t xml:space="preserve"> Effective Date and after giving effect to any applicable waivers or modifications in respect thereof).</w:t>
      </w:r>
    </w:p>
    <w:p>
      <w:pPr>
        <w:spacing w:after="0" w:line="187" w:lineRule="exact"/>
        <w:rPr>
          <w:sz w:val="20"/>
          <w:szCs w:val="20"/>
          <w:color w:val="auto"/>
        </w:rPr>
      </w:pPr>
    </w:p>
    <w:p>
      <w:pPr>
        <w:ind w:right="80" w:firstLine="1027"/>
        <w:spacing w:after="0" w:line="249" w:lineRule="auto"/>
        <w:rPr>
          <w:sz w:val="20"/>
          <w:szCs w:val="20"/>
          <w:color w:val="auto"/>
        </w:rPr>
      </w:pPr>
      <w:r>
        <w:rPr>
          <w:rFonts w:ascii="Times New Roman" w:cs="Times New Roman" w:eastAsia="Times New Roman" w:hAnsi="Times New Roman"/>
          <w:sz w:val="20"/>
          <w:szCs w:val="20"/>
          <w:color w:val="auto"/>
        </w:rPr>
        <w:t xml:space="preserve">4.20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(i) On a consolidated basis, the Group Members are, and after giving effect to the incurrence of all Indebtedness and obligations being incurred in connection herewith will be and will continue to be, Solvent and (ii) on an individual basis, each of MVWC, the Borrower and each other Loan Party that owns any Mortgaged Property included in the Borrowing Base are, and after giving effect to the incurrence of all Indebtedness and obligations being incurred in connection herewith will be and will continue to be, Solvent.</w:t>
      </w:r>
    </w:p>
    <w:p>
      <w:pPr>
        <w:spacing w:after="0" w:line="180" w:lineRule="exact"/>
        <w:rPr>
          <w:sz w:val="20"/>
          <w:szCs w:val="20"/>
          <w:color w:val="auto"/>
        </w:rPr>
      </w:pPr>
    </w:p>
    <w:p>
      <w:pPr>
        <w:ind w:right="60" w:firstLine="1027"/>
        <w:spacing w:after="0" w:line="249" w:lineRule="auto"/>
        <w:rPr>
          <w:sz w:val="20"/>
          <w:szCs w:val="20"/>
          <w:color w:val="auto"/>
        </w:rPr>
      </w:pPr>
      <w:r>
        <w:rPr>
          <w:rFonts w:ascii="Times New Roman" w:cs="Times New Roman" w:eastAsia="Times New Roman" w:hAnsi="Times New Roman"/>
          <w:sz w:val="20"/>
          <w:szCs w:val="20"/>
          <w:color w:val="auto"/>
        </w:rPr>
        <w:t xml:space="preserve">4.21 </w:t>
      </w:r>
      <w:r>
        <w:rPr>
          <w:rFonts w:ascii="Times New Roman" w:cs="Times New Roman" w:eastAsia="Times New Roman" w:hAnsi="Times New Roman"/>
          <w:sz w:val="20"/>
          <w:szCs w:val="20"/>
          <w:u w:val="single" w:color="auto"/>
          <w:color w:val="auto"/>
        </w:rPr>
        <w:t>Regulation H</w:t>
      </w:r>
      <w:r>
        <w:rPr>
          <w:rFonts w:ascii="Times New Roman" w:cs="Times New Roman" w:eastAsia="Times New Roman" w:hAnsi="Times New Roman"/>
          <w:sz w:val="20"/>
          <w:szCs w:val="20"/>
          <w:color w:val="auto"/>
        </w:rPr>
        <w:t>. Except as listed on Schedule 4.21, which Schedule to the knowledge of MVWC and the Borrower lists as of the date hereof all real property located in a Flood Area (defined below), no Mortgage encumbers improved real property that is located in an area that has been identified by the Secretary of Housing and Urban Development as an area having special flood hazards and in which flood insurance has been made available under the National Flood Insurance Act of 1994 (each a “Flood Area”).</w:t>
      </w:r>
    </w:p>
    <w:p>
      <w:pPr>
        <w:spacing w:after="0" w:line="180" w:lineRule="exact"/>
        <w:rPr>
          <w:sz w:val="20"/>
          <w:szCs w:val="20"/>
          <w:color w:val="auto"/>
        </w:rPr>
      </w:pPr>
    </w:p>
    <w:p>
      <w:pPr>
        <w:ind w:right="60" w:firstLine="1027"/>
        <w:spacing w:after="0" w:line="254" w:lineRule="auto"/>
        <w:rPr>
          <w:sz w:val="20"/>
          <w:szCs w:val="20"/>
          <w:color w:val="auto"/>
        </w:rPr>
      </w:pPr>
      <w:r>
        <w:rPr>
          <w:rFonts w:ascii="Times New Roman" w:cs="Times New Roman" w:eastAsia="Times New Roman" w:hAnsi="Times New Roman"/>
          <w:sz w:val="20"/>
          <w:szCs w:val="20"/>
          <w:color w:val="auto"/>
        </w:rPr>
        <w:t xml:space="preserve">4.22 </w:t>
      </w:r>
      <w:r>
        <w:rPr>
          <w:rFonts w:ascii="Times New Roman" w:cs="Times New Roman" w:eastAsia="Times New Roman" w:hAnsi="Times New Roman"/>
          <w:sz w:val="20"/>
          <w:szCs w:val="20"/>
          <w:u w:val="single" w:color="auto"/>
          <w:color w:val="auto"/>
        </w:rPr>
        <w:t>Certain Documents</w:t>
      </w:r>
      <w:r>
        <w:rPr>
          <w:rFonts w:ascii="Times New Roman" w:cs="Times New Roman" w:eastAsia="Times New Roman" w:hAnsi="Times New Roman"/>
          <w:sz w:val="20"/>
          <w:szCs w:val="20"/>
          <w:color w:val="auto"/>
        </w:rPr>
        <w:t>. On or prior to the Closing Date, the Borrower will have delivered to the Administrative Agent a complete and correct copy of the Spin-Off Documentation, including any amendments, supplements or modifications with respect to any of the foregoing in effect as of the Closing Date.</w:t>
      </w:r>
    </w:p>
    <w:p>
      <w:pPr>
        <w:spacing w:after="0" w:line="175" w:lineRule="exact"/>
        <w:rPr>
          <w:sz w:val="20"/>
          <w:szCs w:val="20"/>
          <w:color w:val="auto"/>
        </w:rPr>
      </w:pPr>
    </w:p>
    <w:p>
      <w:pPr>
        <w:ind w:right="80" w:firstLine="1027"/>
        <w:spacing w:after="0" w:line="258" w:lineRule="auto"/>
        <w:rPr>
          <w:sz w:val="20"/>
          <w:szCs w:val="20"/>
          <w:color w:val="auto"/>
        </w:rPr>
      </w:pPr>
      <w:r>
        <w:rPr>
          <w:rFonts w:ascii="Times New Roman" w:cs="Times New Roman" w:eastAsia="Times New Roman" w:hAnsi="Times New Roman"/>
          <w:sz w:val="19"/>
          <w:szCs w:val="19"/>
          <w:color w:val="auto"/>
        </w:rPr>
        <w:t xml:space="preserve">4.23 </w:t>
      </w:r>
      <w:r>
        <w:rPr>
          <w:rFonts w:ascii="Times New Roman" w:cs="Times New Roman" w:eastAsia="Times New Roman" w:hAnsi="Times New Roman"/>
          <w:sz w:val="19"/>
          <w:szCs w:val="19"/>
          <w:u w:val="single" w:color="auto"/>
          <w:color w:val="auto"/>
        </w:rPr>
        <w:t>Anti-Corruption Laws and Sanctions</w:t>
      </w:r>
      <w:r>
        <w:rPr>
          <w:rFonts w:ascii="Times New Roman" w:cs="Times New Roman" w:eastAsia="Times New Roman" w:hAnsi="Times New Roman"/>
          <w:sz w:val="19"/>
          <w:szCs w:val="19"/>
          <w:color w:val="auto"/>
        </w:rPr>
        <w:t>. Each Loan Party, for itself or through its parent or other Affiliates, has implemented and maintains in effect policies and procedures designed to ensure compliance by such Loan Party, its Subsidiaries and their respective directors, officers, employees and agents with Anti-Corruption Laws and applicable Sanctions, and each Loan Party, its Subsidiaries and their respective officers and employees and, to the knowledge of each Loan Party, its directors and agents, are in compliance with Anti-Corruption Laws and applicable Sanctions in all material respects. None of (a) the Loan Parties, their respective Subsidiaries or their respective directors, officers or employees, or (b) to the knowledge of each Loan Party, any agent of such Loan Party or any of its Subsidiaries that will act in any capacity in connection with or benefit from the credit facility established hereby, is a Sanctioned Person. No Borrowing or Letter of Credit, use of proceeds or other transaction contemplated by this Agreement will violate any Anti-Corruption Law or applicable Sanctions.</w:t>
      </w:r>
    </w:p>
    <w:p>
      <w:pPr>
        <w:sectPr>
          <w:pgSz w:w="11900" w:h="16838" w:orient="portrait"/>
          <w:cols w:equalWidth="0" w:num="1">
            <w:col w:w="11420"/>
          </w:cols>
          <w:pgMar w:left="240" w:top="409" w:right="2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67</w:t>
      </w:r>
    </w:p>
    <w:p>
      <w:pPr>
        <w:spacing w:after="0" w:line="238" w:lineRule="exact"/>
        <w:rPr>
          <w:sz w:val="20"/>
          <w:szCs w:val="20"/>
          <w:color w:val="auto"/>
        </w:rPr>
      </w:pPr>
    </w:p>
    <w:p>
      <w:pPr>
        <w:jc w:val="center"/>
        <w:ind w:right="-19"/>
        <w:spacing w:after="0"/>
        <w:tabs>
          <w:tab w:leader="none" w:pos="24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19"/>
          <w:szCs w:val="19"/>
          <w:color w:val="auto"/>
        </w:rPr>
        <w:t>CONDITIONS PRECEDENT</w:t>
      </w:r>
    </w:p>
    <w:p>
      <w:pPr>
        <w:spacing w:after="0" w:line="216" w:lineRule="exact"/>
        <w:rPr>
          <w:sz w:val="20"/>
          <w:szCs w:val="20"/>
          <w:color w:val="auto"/>
        </w:rPr>
      </w:pPr>
    </w:p>
    <w:p>
      <w:pPr>
        <w:ind w:right="460" w:firstLine="1027"/>
        <w:spacing w:after="0" w:line="254"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Conditions to Initial Extension of Credit</w:t>
      </w:r>
      <w:r>
        <w:rPr>
          <w:rFonts w:ascii="Times New Roman" w:cs="Times New Roman" w:eastAsia="Times New Roman" w:hAnsi="Times New Roman"/>
          <w:sz w:val="20"/>
          <w:szCs w:val="20"/>
          <w:color w:val="auto"/>
        </w:rPr>
        <w:t>. The agreement of each Original Lender to make the initial extension of credit requested to be made by it on the Original Closing Date was subject to the satisfaction, prior to or concurrently with the making of such extension of credit, of the following conditions precedent:</w:t>
      </w:r>
    </w:p>
    <w:p>
      <w:pPr>
        <w:spacing w:after="0" w:line="175" w:lineRule="exact"/>
        <w:rPr>
          <w:sz w:val="20"/>
          <w:szCs w:val="20"/>
          <w:color w:val="auto"/>
        </w:rPr>
      </w:pPr>
    </w:p>
    <w:p>
      <w:pPr>
        <w:ind w:right="60" w:firstLine="1035"/>
        <w:spacing w:after="0" w:line="247" w:lineRule="auto"/>
        <w:tabs>
          <w:tab w:leader="none" w:pos="1494"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Credit Agreement; Guarantee and Collateral Agreement</w:t>
      </w:r>
      <w:r>
        <w:rPr>
          <w:rFonts w:ascii="Times New Roman" w:cs="Times New Roman" w:eastAsia="Times New Roman" w:hAnsi="Times New Roman"/>
          <w:sz w:val="20"/>
          <w:szCs w:val="20"/>
          <w:color w:val="auto"/>
        </w:rPr>
        <w:t>. The Administrative Agent shall have received (i) the Original Credit Agreement, executed and delivered by the Administrative Agent, MVWC, the Borrower and each Person listed on Schedule 1.1A thereto, (ii) the Original Guarantee and Collateral Agreement, executed and delivered by MVWC, the Borrower and each Subsidiary Guarantor and (iii) an Acknowledgement and Consent in the form attached to the Original Guarantee and Collateral Agreement, executed and delivered by each Issuer (as defined therein), if any, that is not a Loan Party.</w:t>
      </w:r>
    </w:p>
    <w:p>
      <w:pPr>
        <w:spacing w:after="0" w:line="180" w:lineRule="exact"/>
        <w:rPr>
          <w:rFonts w:ascii="Times New Roman" w:cs="Times New Roman" w:eastAsia="Times New Roman" w:hAnsi="Times New Roman"/>
          <w:sz w:val="20"/>
          <w:szCs w:val="20"/>
          <w:color w:val="auto"/>
        </w:rPr>
      </w:pPr>
    </w:p>
    <w:p>
      <w:pPr>
        <w:ind w:left="1520" w:hanging="485"/>
        <w:spacing w:after="0"/>
        <w:tabs>
          <w:tab w:leader="none" w:pos="1520"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Spin-Off, etc</w:t>
      </w:r>
      <w:r>
        <w:rPr>
          <w:rFonts w:ascii="Times New Roman" w:cs="Times New Roman" w:eastAsia="Times New Roman" w:hAnsi="Times New Roman"/>
          <w:sz w:val="20"/>
          <w:szCs w:val="20"/>
          <w:color w:val="auto"/>
        </w:rPr>
        <w:t>. The following transactions shall have been consummated:</w:t>
      </w:r>
    </w:p>
    <w:p>
      <w:pPr>
        <w:spacing w:after="0" w:line="215" w:lineRule="exact"/>
        <w:rPr>
          <w:rFonts w:ascii="Times New Roman" w:cs="Times New Roman" w:eastAsia="Times New Roman" w:hAnsi="Times New Roman"/>
          <w:sz w:val="20"/>
          <w:szCs w:val="20"/>
          <w:color w:val="auto"/>
        </w:rPr>
      </w:pPr>
    </w:p>
    <w:p>
      <w:pPr>
        <w:jc w:val="both"/>
        <w:ind w:left="460" w:right="240" w:firstLine="542"/>
        <w:spacing w:after="0" w:line="249" w:lineRule="auto"/>
        <w:tabs>
          <w:tab w:leader="none" w:pos="1431"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evidence satisfactory to it that the Separation and Distribution Agreement, substantially in the form delivered to the Original Lenders prior to the Effective Date, shall have been executed and delivered by the parties thereto and the Spin-Off shall have been consummated on the terms and conditions set forth in such Separation and Distribution Agreement;</w:t>
      </w:r>
    </w:p>
    <w:p>
      <w:pPr>
        <w:spacing w:after="0" w:line="180" w:lineRule="exact"/>
        <w:rPr>
          <w:rFonts w:ascii="Times New Roman" w:cs="Times New Roman" w:eastAsia="Times New Roman" w:hAnsi="Times New Roman"/>
          <w:sz w:val="20"/>
          <w:szCs w:val="20"/>
          <w:color w:val="auto"/>
        </w:rPr>
      </w:pPr>
    </w:p>
    <w:p>
      <w:pPr>
        <w:ind w:left="460" w:right="180" w:firstLine="542"/>
        <w:spacing w:after="0" w:line="249" w:lineRule="auto"/>
        <w:tabs>
          <w:tab w:leader="none" w:pos="148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entered into a revolving warehouse credit facility (as the same may from time to time be amended, modified, supplemented, restated, replaced or refinanced, the “</w:t>
      </w:r>
      <w:r>
        <w:rPr>
          <w:rFonts w:ascii="Times New Roman" w:cs="Times New Roman" w:eastAsia="Times New Roman" w:hAnsi="Times New Roman"/>
          <w:sz w:val="20"/>
          <w:szCs w:val="20"/>
          <w:u w:val="single" w:color="auto"/>
          <w:color w:val="auto"/>
        </w:rPr>
        <w:t>Receivables Warehouse Facility</w:t>
      </w:r>
      <w:r>
        <w:rPr>
          <w:rFonts w:ascii="Times New Roman" w:cs="Times New Roman" w:eastAsia="Times New Roman" w:hAnsi="Times New Roman"/>
          <w:sz w:val="20"/>
          <w:szCs w:val="20"/>
          <w:color w:val="auto"/>
        </w:rPr>
        <w:t>”) with an aggregate commitment of at least $200 million and a term of not less than 364 days (from the date of its effectiveness) to finance its acquisition of Time Share Receivables pending the securitization thereof; and</w:t>
      </w:r>
    </w:p>
    <w:p>
      <w:pPr>
        <w:spacing w:after="0" w:line="180" w:lineRule="exact"/>
        <w:rPr>
          <w:rFonts w:ascii="Times New Roman" w:cs="Times New Roman" w:eastAsia="Times New Roman" w:hAnsi="Times New Roman"/>
          <w:sz w:val="20"/>
          <w:szCs w:val="20"/>
          <w:color w:val="auto"/>
        </w:rPr>
      </w:pPr>
    </w:p>
    <w:p>
      <w:pPr>
        <w:ind w:left="460" w:right="40" w:firstLine="542"/>
        <w:spacing w:after="0" w:line="254" w:lineRule="auto"/>
        <w:tabs>
          <w:tab w:leader="none" w:pos="1541"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evidence satisfactory to it that each of the Intercompany Agreements shall have been executed and delivered by the relevant parties thereto and shall have become effective in substantially the form delivered to the Original Lenders prior to the Effective Date.</w:t>
      </w:r>
    </w:p>
    <w:p>
      <w:pPr>
        <w:spacing w:after="0" w:line="174" w:lineRule="exact"/>
        <w:rPr>
          <w:rFonts w:ascii="Times New Roman" w:cs="Times New Roman" w:eastAsia="Times New Roman" w:hAnsi="Times New Roman"/>
          <w:sz w:val="20"/>
          <w:szCs w:val="20"/>
          <w:color w:val="auto"/>
        </w:rPr>
      </w:pPr>
    </w:p>
    <w:p>
      <w:pPr>
        <w:ind w:right="60" w:firstLine="1035"/>
        <w:spacing w:after="0" w:line="243" w:lineRule="auto"/>
        <w:tabs>
          <w:tab w:leader="none" w:pos="1494"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 Forma Balance Sheet; Financial Statements</w:t>
      </w:r>
      <w:r>
        <w:rPr>
          <w:rFonts w:ascii="Times New Roman" w:cs="Times New Roman" w:eastAsia="Times New Roman" w:hAnsi="Times New Roman"/>
          <w:sz w:val="20"/>
          <w:szCs w:val="20"/>
          <w:color w:val="auto"/>
        </w:rPr>
        <w:t xml:space="preserve">. The Original Lenders shall have received (1) (a) audited combined balance sheets and related statements of income, stockholders’ equity and cash flows of MVWC and its Subsidiaries for the two most recently completed Fiscal Years ended at least 90 days before the Original Closing Date and (b) unaudited combined balance sheets and related statements of income, stockholders’ equity and cash flows of MVWC and its Subsidiaries for each subsequent Fiscal Quarter ended at least 90 days before the Original Closing Date; and (2) the Opening Balance Sheet, prepared on a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basis after giving effect to the Spin-Off as if the Spin-Off had occurred as at the last day of the second Fiscal Quarter of Fiscal Year 2011;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financial statements referred to in items (1) or (2), as the case may be, are included in the filing of the required financial statements on form 10-K and form 10-Q or in the Form 10 (as it may be supplemented or amended until it becomes effective under the Exchange Act) by MVWC, such filed financial statements will satisfy the foregoing requirements.</w:t>
      </w:r>
    </w:p>
    <w:p>
      <w:pPr>
        <w:sectPr>
          <w:pgSz w:w="11900" w:h="16838" w:orient="portrait"/>
          <w:cols w:equalWidth="0" w:num="1">
            <w:col w:w="11420"/>
          </w:cols>
          <w:pgMar w:left="240" w:top="409" w:right="2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68</w:t>
      </w:r>
    </w:p>
    <w:p>
      <w:pPr>
        <w:spacing w:after="0" w:line="238" w:lineRule="exact"/>
        <w:rPr>
          <w:sz w:val="20"/>
          <w:szCs w:val="20"/>
          <w:color w:val="auto"/>
        </w:rPr>
      </w:pPr>
    </w:p>
    <w:p>
      <w:pPr>
        <w:ind w:right="20" w:firstLine="1035"/>
        <w:spacing w:after="0" w:line="266" w:lineRule="auto"/>
        <w:tabs>
          <w:tab w:leader="none" w:pos="1505"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Approvals</w:t>
      </w:r>
      <w:r>
        <w:rPr>
          <w:rFonts w:ascii="Times New Roman" w:cs="Times New Roman" w:eastAsia="Times New Roman" w:hAnsi="Times New Roman"/>
          <w:sz w:val="19"/>
          <w:szCs w:val="19"/>
          <w:color w:val="auto"/>
        </w:rPr>
        <w:t>. All governmental and third party approvals necessary in connection with the Spin-Off, the continuing operations of the Group Members and the transactions contemplated by the Original Credit Agreement shall have been obtained and be in full force and effect, and all applicable waiting periods shall have expired without any action being taken or threatened by any competent authority that would restrain, prevent or otherwise impose adverse conditions on the Spin-Off or the financing contemplated by the Original Credit Agreement.</w:t>
      </w:r>
    </w:p>
    <w:p>
      <w:pPr>
        <w:spacing w:after="0" w:line="165" w:lineRule="exact"/>
        <w:rPr>
          <w:rFonts w:ascii="Times New Roman" w:cs="Times New Roman" w:eastAsia="Times New Roman" w:hAnsi="Times New Roman"/>
          <w:sz w:val="19"/>
          <w:szCs w:val="19"/>
          <w:color w:val="auto"/>
        </w:rPr>
      </w:pPr>
    </w:p>
    <w:p>
      <w:pPr>
        <w:ind w:right="100" w:firstLine="1035"/>
        <w:spacing w:after="0" w:line="249" w:lineRule="auto"/>
        <w:tabs>
          <w:tab w:leader="none" w:pos="1494"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Lien Searches</w:t>
      </w:r>
      <w:r>
        <w:rPr>
          <w:rFonts w:ascii="Times New Roman" w:cs="Times New Roman" w:eastAsia="Times New Roman" w:hAnsi="Times New Roman"/>
          <w:sz w:val="20"/>
          <w:szCs w:val="20"/>
          <w:color w:val="auto"/>
        </w:rPr>
        <w:t>. The Administrative Agent shall have received the results of a recent Lien search with respect to each Loan Party in each relevant jurisdiction listed on Schedule 4.19(a) to the Original Credit Agreement, and such search shall reveal no Liens on any of the assets of the Loan Parties except for Liens permitted by Section 7.4 or discharged on or prior to the Original Closing Date pursuant to documentation satisfactory to the Administrative Agent.</w:t>
      </w:r>
    </w:p>
    <w:p>
      <w:pPr>
        <w:spacing w:after="0" w:line="180" w:lineRule="exact"/>
        <w:rPr>
          <w:rFonts w:ascii="Times New Roman" w:cs="Times New Roman" w:eastAsia="Times New Roman" w:hAnsi="Times New Roman"/>
          <w:sz w:val="20"/>
          <w:szCs w:val="20"/>
          <w:color w:val="auto"/>
        </w:rPr>
      </w:pPr>
    </w:p>
    <w:p>
      <w:pPr>
        <w:jc w:val="both"/>
        <w:ind w:right="200" w:firstLine="1035"/>
        <w:spacing w:after="0" w:line="296" w:lineRule="auto"/>
        <w:tabs>
          <w:tab w:leader="none" w:pos="1472"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 The Original Lenders and the Administrative Agent shall have received all fees required to be paid, and all expenses for which invoices have been presented (including the reasonable fees and expenses of legal counsel), on or before the Original Closing Date.</w:t>
      </w:r>
    </w:p>
    <w:p>
      <w:pPr>
        <w:spacing w:after="0" w:line="136" w:lineRule="exact"/>
        <w:rPr>
          <w:rFonts w:ascii="Times New Roman" w:cs="Times New Roman" w:eastAsia="Times New Roman" w:hAnsi="Times New Roman"/>
          <w:sz w:val="19"/>
          <w:szCs w:val="19"/>
          <w:color w:val="auto"/>
        </w:rPr>
      </w:pPr>
    </w:p>
    <w:p>
      <w:pPr>
        <w:ind w:right="20" w:firstLine="1035"/>
        <w:spacing w:after="0" w:line="241" w:lineRule="auto"/>
        <w:tabs>
          <w:tab w:leader="none" w:pos="1505"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Certificate; Certified Certificate of Incorporation; Good Standing Certificates</w:t>
      </w:r>
      <w:r>
        <w:rPr>
          <w:rFonts w:ascii="Times New Roman" w:cs="Times New Roman" w:eastAsia="Times New Roman" w:hAnsi="Times New Roman"/>
          <w:sz w:val="20"/>
          <w:szCs w:val="20"/>
          <w:color w:val="auto"/>
        </w:rPr>
        <w:t xml:space="preserve">. The Administrative Agent shall have received (i) a certificate of each Loan Party, dated the Original Closing Date, substantially in the form of Exhibit C to the Original Credit Agreement, with appropriate insertions and attachments, including the certificate of incorporation of each Loan Party that is a corporation certified by the relevant authority of the jurisdiction of organization of such Loan Party, (ii) a long form good standing certificate for each Loan Party from its jurisdiction of organization, (iii) a certificate from the chief financial officer of MVWC certifying that after giving effect to the Spin-Off and any concurrent extension of credit under the Original Credit Agreement, (x) no Default or Event of Default exists and (y) all representations and warranties of each Loan Party set forth in the Loan Documents are true and correct; (iv) a certificate from the chief financial officer of MVWC, stating that the Loan Parties on a consolidated basis after giving effect to the Spin-Off and the other transactions contemplated by the Original Credit Agreement are Solvent before and after giving effect to the funding of any Loans or issuance of the initial Letters of Credit on the Original Closing Date; (v) a certificate from the chief financial officer of MVWC certifying (x) that on and as of the date of the Spin-Off, MVWC and the Borrower are in compliance with the financial covenants contained in Section 7.1, calculated on a </w:t>
      </w:r>
      <w:r>
        <w:rPr>
          <w:rFonts w:ascii="Times New Roman" w:cs="Times New Roman" w:eastAsia="Times New Roman" w:hAnsi="Times New Roman"/>
          <w:sz w:val="20"/>
          <w:szCs w:val="20"/>
          <w:u w:val="single" w:color="auto"/>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forma</w:t>
      </w:r>
      <w:r>
        <w:rPr>
          <w:rFonts w:ascii="Times New Roman" w:cs="Times New Roman" w:eastAsia="Times New Roman" w:hAnsi="Times New Roman"/>
          <w:sz w:val="20"/>
          <w:szCs w:val="20"/>
          <w:color w:val="auto"/>
        </w:rPr>
        <w:t xml:space="preserve"> basis for the Spin-Off and, in the case of income statement calculations, for the most-recent Fiscal Quarter for which financial statements have been provided pursuant to Section 5.1(c) prior to the Original Closing Date and (y) the amount of Investments in Foreign Subsidiaries outstanding as of the last day of the Fiscal Month ending at least 10 Business Days prior to the Effective Date and (vi) a Borrowing Base Certificate from the chief financial officer of MVWC demonstrating that, as at the last day of the most recently completed Fiscal Month ended at least 20 days before the Original Closing Date, on a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basis giving effect to the extensions of credit on and as of the Original Closing Date, the Borrower is in compliance with Section 7.2.</w:t>
      </w:r>
    </w:p>
    <w:p>
      <w:pPr>
        <w:spacing w:after="0" w:line="193" w:lineRule="exact"/>
        <w:rPr>
          <w:rFonts w:ascii="Times New Roman" w:cs="Times New Roman" w:eastAsia="Times New Roman" w:hAnsi="Times New Roman"/>
          <w:sz w:val="20"/>
          <w:szCs w:val="20"/>
          <w:color w:val="auto"/>
        </w:rPr>
      </w:pPr>
    </w:p>
    <w:p>
      <w:pPr>
        <w:ind w:left="1520" w:hanging="485"/>
        <w:spacing w:after="0"/>
        <w:tabs>
          <w:tab w:leader="none" w:pos="152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Opinions</w:t>
      </w:r>
      <w:r>
        <w:rPr>
          <w:rFonts w:ascii="Times New Roman" w:cs="Times New Roman" w:eastAsia="Times New Roman" w:hAnsi="Times New Roman"/>
          <w:sz w:val="20"/>
          <w:szCs w:val="20"/>
          <w:color w:val="auto"/>
        </w:rPr>
        <w:t>. The Administrative Agent shall have received the following executed legal opinions:</w:t>
      </w:r>
    </w:p>
    <w:p>
      <w:pPr>
        <w:spacing w:after="0" w:line="215" w:lineRule="exact"/>
        <w:rPr>
          <w:rFonts w:ascii="Times New Roman" w:cs="Times New Roman" w:eastAsia="Times New Roman" w:hAnsi="Times New Roman"/>
          <w:sz w:val="20"/>
          <w:szCs w:val="20"/>
          <w:color w:val="auto"/>
        </w:rPr>
      </w:pPr>
    </w:p>
    <w:p>
      <w:pPr>
        <w:ind w:left="460" w:right="80" w:firstLine="542"/>
        <w:spacing w:after="0" w:line="269" w:lineRule="auto"/>
        <w:tabs>
          <w:tab w:leader="none" w:pos="1431"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legal opinion of Greenberg Traurig LLP, counsel to the Borrower and its Subsidiaries, substantially in the form of Exhibit G-1 to the Original Credit Agreement;</w:t>
      </w:r>
    </w:p>
    <w:p>
      <w:pPr>
        <w:spacing w:after="0" w:line="159" w:lineRule="exact"/>
        <w:rPr>
          <w:rFonts w:ascii="Times New Roman" w:cs="Times New Roman" w:eastAsia="Times New Roman" w:hAnsi="Times New Roman"/>
          <w:sz w:val="20"/>
          <w:szCs w:val="20"/>
          <w:color w:val="auto"/>
        </w:rPr>
      </w:pPr>
    </w:p>
    <w:p>
      <w:pPr>
        <w:ind w:left="460" w:right="360" w:firstLine="542"/>
        <w:spacing w:after="0" w:line="269" w:lineRule="auto"/>
        <w:tabs>
          <w:tab w:leader="none" w:pos="1486"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legal opinion of in-house counsel of the Borrower and its Subsidiaries, substantially in the form of Exhibit G-2 to the Original Credit Agreement;</w:t>
      </w:r>
    </w:p>
    <w:p>
      <w:pPr>
        <w:sectPr>
          <w:pgSz w:w="11900" w:h="16838" w:orient="portrait"/>
          <w:cols w:equalWidth="0" w:num="1">
            <w:col w:w="11420"/>
          </w:cols>
          <w:pgMar w:left="240" w:top="409" w:right="2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69</w:t>
      </w:r>
    </w:p>
    <w:p>
      <w:pPr>
        <w:spacing w:after="0" w:line="238" w:lineRule="exact"/>
        <w:rPr>
          <w:sz w:val="20"/>
          <w:szCs w:val="20"/>
          <w:color w:val="auto"/>
        </w:rPr>
      </w:pPr>
    </w:p>
    <w:p>
      <w:pPr>
        <w:ind w:left="460" w:right="440" w:firstLine="542"/>
        <w:spacing w:after="0" w:line="269" w:lineRule="auto"/>
        <w:tabs>
          <w:tab w:leader="none" w:pos="1541"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consented to by the relevant counsel, each legal opinion, if any, delivered in connection with the Spin-Off, accompanied by a reliance letter in favor of the Original Lenders;</w:t>
      </w:r>
    </w:p>
    <w:p>
      <w:pPr>
        <w:spacing w:after="0" w:line="159" w:lineRule="exact"/>
        <w:rPr>
          <w:rFonts w:ascii="Times New Roman" w:cs="Times New Roman" w:eastAsia="Times New Roman" w:hAnsi="Times New Roman"/>
          <w:sz w:val="20"/>
          <w:szCs w:val="20"/>
          <w:color w:val="auto"/>
        </w:rPr>
      </w:pPr>
    </w:p>
    <w:p>
      <w:pPr>
        <w:ind w:left="460" w:right="320" w:firstLine="542"/>
        <w:spacing w:after="0" w:line="269" w:lineRule="auto"/>
        <w:tabs>
          <w:tab w:leader="none" w:pos="153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legal opinion of local counsel in Florida with respect to the Land Trust substantially in the form of Exhibit G-3 to the Original Credit Agreement; and</w:t>
      </w:r>
    </w:p>
    <w:p>
      <w:pPr>
        <w:spacing w:after="0" w:line="159" w:lineRule="exact"/>
        <w:rPr>
          <w:rFonts w:ascii="Times New Roman" w:cs="Times New Roman" w:eastAsia="Times New Roman" w:hAnsi="Times New Roman"/>
          <w:sz w:val="20"/>
          <w:szCs w:val="20"/>
          <w:color w:val="auto"/>
        </w:rPr>
      </w:pPr>
    </w:p>
    <w:p>
      <w:pPr>
        <w:ind w:left="460" w:right="60" w:firstLine="542"/>
        <w:spacing w:after="0" w:line="269" w:lineRule="auto"/>
        <w:tabs>
          <w:tab w:leader="none" w:pos="1475"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legal opinion of such other special and local counsel as may be required by the Administrative Agent and in each case, in form and substance reasonably satisfactory to the Administrative Agent.</w:t>
      </w:r>
    </w:p>
    <w:p>
      <w:pPr>
        <w:spacing w:after="0" w:line="160" w:lineRule="exact"/>
        <w:rPr>
          <w:sz w:val="20"/>
          <w:szCs w:val="20"/>
          <w:color w:val="auto"/>
        </w:rPr>
      </w:pPr>
    </w:p>
    <w:p>
      <w:pPr>
        <w:ind w:left="460" w:right="120"/>
        <w:spacing w:after="0" w:line="269" w:lineRule="auto"/>
        <w:rPr>
          <w:sz w:val="20"/>
          <w:szCs w:val="20"/>
          <w:color w:val="auto"/>
        </w:rPr>
      </w:pPr>
      <w:r>
        <w:rPr>
          <w:rFonts w:ascii="Times New Roman" w:cs="Times New Roman" w:eastAsia="Times New Roman" w:hAnsi="Times New Roman"/>
          <w:sz w:val="20"/>
          <w:szCs w:val="20"/>
          <w:color w:val="auto"/>
        </w:rPr>
        <w:t>Each such legal opinion shall cover such other matters incident to the transactions contemplated by the Original Credit Agreement as the Administrative Agent may reasonably require.</w:t>
      </w:r>
    </w:p>
    <w:p>
      <w:pPr>
        <w:spacing w:after="0" w:line="160" w:lineRule="exact"/>
        <w:rPr>
          <w:sz w:val="20"/>
          <w:szCs w:val="20"/>
          <w:color w:val="auto"/>
        </w:rPr>
      </w:pPr>
    </w:p>
    <w:p>
      <w:pPr>
        <w:ind w:right="100" w:firstLine="1035"/>
        <w:spacing w:after="0" w:line="243" w:lineRule="auto"/>
        <w:tabs>
          <w:tab w:leader="none" w:pos="1461"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Pledged Stock; Stock Powers; Pledged Notes</w:t>
      </w:r>
      <w:r>
        <w:rPr>
          <w:rFonts w:ascii="Times New Roman" w:cs="Times New Roman" w:eastAsia="Times New Roman" w:hAnsi="Times New Roman"/>
          <w:sz w:val="20"/>
          <w:szCs w:val="20"/>
          <w:color w:val="auto"/>
        </w:rPr>
        <w:t xml:space="preserve">. The Administrative Agent shall have received (i) the certificates representing the shares of Capital Stock pledged pursuant to the Original Guarantee and Collateral Agreement, together with an undated stock power for each such certificate executed in blank by a duly authorized officer of the pledgor thereof and (ii) each promissory note (if any) pledged to the Administrative Agent pursuant to the Original Guarantee and Collateral Agreement endorsed (without recourse) in blank (or accompanied by an executed transfer form in blank) by the pledgor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certificates and related stock powers with respect to Foreign Subsidiaries shall not be required to be delivered to the Administrative Agent until 60 days following the Original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unless reasonably requested by the Administrative Agent, no Foreign Subsidiary shall be required to certificate any equity interests which are not certificated.</w:t>
      </w:r>
    </w:p>
    <w:p>
      <w:pPr>
        <w:spacing w:after="0" w:line="189" w:lineRule="exact"/>
        <w:rPr>
          <w:rFonts w:ascii="Times New Roman" w:cs="Times New Roman" w:eastAsia="Times New Roman" w:hAnsi="Times New Roman"/>
          <w:sz w:val="20"/>
          <w:szCs w:val="20"/>
          <w:color w:val="auto"/>
        </w:rPr>
      </w:pPr>
    </w:p>
    <w:p>
      <w:pPr>
        <w:ind w:left="1460" w:hanging="425"/>
        <w:spacing w:after="0"/>
        <w:tabs>
          <w:tab w:leader="none" w:pos="14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Filings, Registrations and Recordings</w:t>
      </w:r>
      <w:r>
        <w:rPr>
          <w:rFonts w:ascii="Times New Roman" w:cs="Times New Roman" w:eastAsia="Times New Roman" w:hAnsi="Times New Roman"/>
          <w:sz w:val="20"/>
          <w:szCs w:val="20"/>
          <w:color w:val="auto"/>
        </w:rPr>
        <w:t>. Each document (including any Uniform Commercial Code financing</w:t>
      </w:r>
    </w:p>
    <w:p>
      <w:pPr>
        <w:spacing w:after="0" w:line="22"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20"/>
          <w:szCs w:val="20"/>
          <w:color w:val="auto"/>
        </w:rPr>
        <w:t>statement) required by the Security Documents or under law or reasonably requested by the Administrative Agent to be filed, registered or recorded in order to create in favor of the Administrative Agent, for the benefit of the Lenders, a perfected Lien on the Collateral described therein, prior and superior in right to any other Person (other than with respect to Liens permitted by Section 7.4), shall be in proper form for filing, registration or recordation.</w:t>
      </w:r>
    </w:p>
    <w:p>
      <w:pPr>
        <w:spacing w:after="0" w:line="189" w:lineRule="exact"/>
        <w:rPr>
          <w:sz w:val="20"/>
          <w:szCs w:val="20"/>
          <w:color w:val="auto"/>
        </w:rPr>
      </w:pPr>
    </w:p>
    <w:p>
      <w:pPr>
        <w:ind w:right="480" w:firstLine="1035"/>
        <w:spacing w:after="0" w:line="269" w:lineRule="auto"/>
        <w:tabs>
          <w:tab w:leader="none" w:pos="1505"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Mortgages, etc</w:t>
      </w:r>
      <w:r>
        <w:rPr>
          <w:rFonts w:ascii="Times New Roman" w:cs="Times New Roman" w:eastAsia="Times New Roman" w:hAnsi="Times New Roman"/>
          <w:sz w:val="20"/>
          <w:szCs w:val="20"/>
          <w:color w:val="auto"/>
        </w:rPr>
        <w:t>. (i) The Administrative Agent shall have received a Mortgage with respect to each Mortgaged Property, executed and delivered by a duly authorized officer of each party thereto.</w:t>
      </w:r>
    </w:p>
    <w:p>
      <w:pPr>
        <w:spacing w:after="0" w:line="159" w:lineRule="exact"/>
        <w:rPr>
          <w:rFonts w:ascii="Times New Roman" w:cs="Times New Roman" w:eastAsia="Times New Roman" w:hAnsi="Times New Roman"/>
          <w:sz w:val="20"/>
          <w:szCs w:val="20"/>
          <w:color w:val="auto"/>
        </w:rPr>
      </w:pPr>
    </w:p>
    <w:p>
      <w:pPr>
        <w:ind w:left="460" w:right="180" w:firstLine="542"/>
        <w:spacing w:after="0" w:line="243" w:lineRule="auto"/>
        <w:tabs>
          <w:tab w:leader="none" w:pos="1486"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Collateral includes mortgages on land parcels (or interests therein) either (A) the Administrative Agent shall have received, and the title insurance company issuing the policy referred to in clause (iii) below (the “</w:t>
      </w:r>
      <w:r>
        <w:rPr>
          <w:rFonts w:ascii="Times New Roman" w:cs="Times New Roman" w:eastAsia="Times New Roman" w:hAnsi="Times New Roman"/>
          <w:sz w:val="20"/>
          <w:szCs w:val="20"/>
          <w:u w:val="single" w:color="auto"/>
          <w:color w:val="auto"/>
        </w:rPr>
        <w:t>Title Insurance Company</w:t>
      </w:r>
      <w:r>
        <w:rPr>
          <w:rFonts w:ascii="Times New Roman" w:cs="Times New Roman" w:eastAsia="Times New Roman" w:hAnsi="Times New Roman"/>
          <w:sz w:val="20"/>
          <w:szCs w:val="20"/>
          <w:color w:val="auto"/>
        </w:rPr>
        <w:t xml:space="preserve">”) shall have received, maps or plats of an as-built survey of the sites of the Mortgaged Properties certified to the Administrative Agent and the Title Insurance Company in a manner satisfactory to them, dated a date satisfactory to the Administrative Agent and the Title Insurance Company by an independent professional licensed land surveyor satisfactory to the Administrative Agent and the Title Insurance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maps or plats of an as-built survey be required to be furnished to the Administrative Agent or the title insurance company for non-resort or non-inventory Mortgaged Property having a tax assessment value of $500,000 or less or (B), the Administrative Agent shall have received in respect of each land parcel (or interests therein) the related public offering statement covering the land parcel and any interests therein.</w:t>
      </w:r>
    </w:p>
    <w:p>
      <w:pPr>
        <w:sectPr>
          <w:pgSz w:w="11900" w:h="16838" w:orient="portrait"/>
          <w:cols w:equalWidth="0" w:num="1">
            <w:col w:w="11420"/>
          </w:cols>
          <w:pgMar w:left="240" w:top="409" w:right="2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70</w:t>
      </w:r>
    </w:p>
    <w:p>
      <w:pPr>
        <w:spacing w:after="0" w:line="238" w:lineRule="exact"/>
        <w:rPr>
          <w:sz w:val="20"/>
          <w:szCs w:val="20"/>
          <w:color w:val="auto"/>
        </w:rPr>
      </w:pPr>
    </w:p>
    <w:p>
      <w:pPr>
        <w:ind w:left="460" w:right="140" w:firstLine="542"/>
        <w:spacing w:after="0" w:line="249" w:lineRule="auto"/>
        <w:tabs>
          <w:tab w:leader="none" w:pos="1541"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in respect of each Mortgaged Property a mortgagee’s title insurance policy (or policies) or marked up binder for such insurance, in each case in form and substance, and containing coverages, satisfactory to the Administrative Agent. The Administrative Agent shall have received evidence satisfactory to it that all premiums in respect of each such policy, all charges for mortgage recording tax, and all related expenses, if any, have been paid.</w:t>
      </w:r>
    </w:p>
    <w:p>
      <w:pPr>
        <w:spacing w:after="0" w:line="180" w:lineRule="exact"/>
        <w:rPr>
          <w:rFonts w:ascii="Times New Roman" w:cs="Times New Roman" w:eastAsia="Times New Roman" w:hAnsi="Times New Roman"/>
          <w:sz w:val="20"/>
          <w:szCs w:val="20"/>
          <w:color w:val="auto"/>
        </w:rPr>
      </w:pPr>
    </w:p>
    <w:p>
      <w:pPr>
        <w:ind w:left="460" w:right="160" w:firstLine="542"/>
        <w:spacing w:after="0" w:line="249" w:lineRule="auto"/>
        <w:tabs>
          <w:tab w:leader="none" w:pos="153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Mortgage covers any improved land parcel that is located in a Flood Area, the Administrative Agent shall have received (A) a certificate confirming flood insurance in an amount and on terms that are in compliance with Section 6.6(e) of this Agreement and (B) confirmation that the Borrower has received the notice required pursuant to Section 208.25(i) of Regulation H of the Board.</w:t>
      </w:r>
    </w:p>
    <w:p>
      <w:pPr>
        <w:spacing w:after="0" w:line="180" w:lineRule="exact"/>
        <w:rPr>
          <w:rFonts w:ascii="Times New Roman" w:cs="Times New Roman" w:eastAsia="Times New Roman" w:hAnsi="Times New Roman"/>
          <w:sz w:val="20"/>
          <w:szCs w:val="20"/>
          <w:color w:val="auto"/>
        </w:rPr>
      </w:pPr>
    </w:p>
    <w:p>
      <w:pPr>
        <w:jc w:val="both"/>
        <w:ind w:left="460" w:right="100" w:firstLine="542"/>
        <w:spacing w:after="0" w:line="254" w:lineRule="auto"/>
        <w:tabs>
          <w:tab w:leader="none" w:pos="147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made available at its offices to the Administrative Agent a copy of all recorded documents referred to, or listed as exceptions to title in, the title policy or policies referred to in clause (iii) above and a copy of all other material documents affecting the Mortgaged Properties.</w:t>
      </w:r>
    </w:p>
    <w:p>
      <w:pPr>
        <w:spacing w:after="0" w:line="174" w:lineRule="exact"/>
        <w:rPr>
          <w:rFonts w:ascii="Times New Roman" w:cs="Times New Roman" w:eastAsia="Times New Roman" w:hAnsi="Times New Roman"/>
          <w:sz w:val="20"/>
          <w:szCs w:val="20"/>
          <w:color w:val="auto"/>
        </w:rPr>
      </w:pPr>
    </w:p>
    <w:p>
      <w:pPr>
        <w:ind w:left="1520" w:hanging="485"/>
        <w:spacing w:after="0"/>
        <w:tabs>
          <w:tab w:leader="none" w:pos="1520"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Ratings</w:t>
      </w:r>
      <w:r>
        <w:rPr>
          <w:rFonts w:ascii="Times New Roman" w:cs="Times New Roman" w:eastAsia="Times New Roman" w:hAnsi="Times New Roman"/>
          <w:sz w:val="20"/>
          <w:szCs w:val="20"/>
          <w:color w:val="auto"/>
        </w:rPr>
        <w:t>. MVWC shall have received a corporate credit rating from S&amp;P.</w:t>
      </w:r>
    </w:p>
    <w:p>
      <w:pPr>
        <w:spacing w:after="0" w:line="215" w:lineRule="exact"/>
        <w:rPr>
          <w:rFonts w:ascii="Times New Roman" w:cs="Times New Roman" w:eastAsia="Times New Roman" w:hAnsi="Times New Roman"/>
          <w:sz w:val="20"/>
          <w:szCs w:val="20"/>
          <w:color w:val="auto"/>
        </w:rPr>
      </w:pPr>
    </w:p>
    <w:p>
      <w:pPr>
        <w:jc w:val="both"/>
        <w:ind w:right="20" w:firstLine="1035"/>
        <w:spacing w:after="0" w:line="249" w:lineRule="auto"/>
        <w:tabs>
          <w:tab w:leader="none" w:pos="1560"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Collection Accounts</w:t>
      </w:r>
      <w:r>
        <w:rPr>
          <w:rFonts w:ascii="Times New Roman" w:cs="Times New Roman" w:eastAsia="Times New Roman" w:hAnsi="Times New Roman"/>
          <w:sz w:val="20"/>
          <w:szCs w:val="20"/>
          <w:color w:val="auto"/>
        </w:rPr>
        <w:t>. The Administrative Agent shall have received evidence reasonably satisfactory to it that the system of Collection Accounts referred to in Section 6.11(a) shall have been established and all related account control agreements, in form and substance reasonably satisfactory to the Administrative Agent, shall have been executed and delivered by the Administrative Agent, the relevant depositary bank and the appropriate Loan Party.</w:t>
      </w:r>
    </w:p>
    <w:p>
      <w:pPr>
        <w:spacing w:after="0" w:line="180" w:lineRule="exact"/>
        <w:rPr>
          <w:rFonts w:ascii="Times New Roman" w:cs="Times New Roman" w:eastAsia="Times New Roman" w:hAnsi="Times New Roman"/>
          <w:sz w:val="20"/>
          <w:szCs w:val="20"/>
          <w:color w:val="auto"/>
        </w:rPr>
      </w:pPr>
    </w:p>
    <w:p>
      <w:pPr>
        <w:ind w:right="240" w:firstLine="1035"/>
        <w:spacing w:after="0" w:line="254" w:lineRule="auto"/>
        <w:tabs>
          <w:tab w:leader="none" w:pos="1505"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At least five days prior to the Original Closing Date, the Administrative Agent and the other Original Lenders shall have received documentation and other information from each of the Loan Parties required by regulatory authorities under applicable “know your customer” and anti-money laundering rules and regulations, including, without limitation, the Patriot Act.</w:t>
      </w:r>
    </w:p>
    <w:p>
      <w:pPr>
        <w:spacing w:after="0" w:line="174" w:lineRule="exact"/>
        <w:rPr>
          <w:rFonts w:ascii="Times New Roman" w:cs="Times New Roman" w:eastAsia="Times New Roman" w:hAnsi="Times New Roman"/>
          <w:sz w:val="20"/>
          <w:szCs w:val="20"/>
          <w:color w:val="auto"/>
        </w:rPr>
      </w:pPr>
    </w:p>
    <w:p>
      <w:pPr>
        <w:jc w:val="both"/>
        <w:ind w:right="20" w:firstLine="1035"/>
        <w:spacing w:after="0" w:line="254" w:lineRule="auto"/>
        <w:tabs>
          <w:tab w:leader="none" w:pos="1505"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Schedules</w:t>
      </w:r>
      <w:r>
        <w:rPr>
          <w:rFonts w:ascii="Times New Roman" w:cs="Times New Roman" w:eastAsia="Times New Roman" w:hAnsi="Times New Roman"/>
          <w:sz w:val="20"/>
          <w:szCs w:val="20"/>
          <w:color w:val="auto"/>
        </w:rPr>
        <w:t>. At least 3 (three) Business Days prior to the Original Closing Date, the Administrative Agent shall have received Schedule 1.1C, Schedule 4.19(a) and Schedule 4.19(b), each completed and in form and substance reasonably satisfactory to the Administrative Agent. Upon delivery of such schedules they will be deemed to be a part of the Credit Agreement as originally executed.</w:t>
      </w:r>
    </w:p>
    <w:p>
      <w:pPr>
        <w:spacing w:after="0" w:line="175"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20"/>
          <w:szCs w:val="20"/>
          <w:color w:val="auto"/>
        </w:rPr>
        <w:t>For the purpose of determining compliance with the conditions specified in this Section 5.1, each Original Lender shall be deemed to have accepted, and to be satisfied with, each document or other matter required under this Section 5.1 unless the Administrative Agent shall have received written notice from such Original Lender prior to the proposed Original Closing Date specifying its objection thereto.</w:t>
      </w:r>
    </w:p>
    <w:p>
      <w:pPr>
        <w:spacing w:after="0" w:line="175" w:lineRule="exact"/>
        <w:rPr>
          <w:sz w:val="20"/>
          <w:szCs w:val="20"/>
          <w:color w:val="auto"/>
        </w:rPr>
      </w:pPr>
    </w:p>
    <w:p>
      <w:pPr>
        <w:ind w:right="460" w:firstLine="1027"/>
        <w:spacing w:after="0" w:line="269"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Conditions to Each Extension of Credit</w:t>
      </w:r>
      <w:r>
        <w:rPr>
          <w:rFonts w:ascii="Times New Roman" w:cs="Times New Roman" w:eastAsia="Times New Roman" w:hAnsi="Times New Roman"/>
          <w:sz w:val="20"/>
          <w:szCs w:val="20"/>
          <w:color w:val="auto"/>
        </w:rPr>
        <w:t>. The agreement of each Lender to make any extension of credit requested to be made by it on any date (including its initial extension of credit) is subject to the satisfaction of the following conditions precedent:</w:t>
      </w:r>
    </w:p>
    <w:p>
      <w:pPr>
        <w:spacing w:after="0" w:line="160" w:lineRule="exact"/>
        <w:rPr>
          <w:sz w:val="20"/>
          <w:szCs w:val="20"/>
          <w:color w:val="auto"/>
        </w:rPr>
      </w:pPr>
    </w:p>
    <w:p>
      <w:pPr>
        <w:ind w:left="460" w:right="120" w:firstLine="542"/>
        <w:spacing w:after="0" w:line="249" w:lineRule="auto"/>
        <w:tabs>
          <w:tab w:leader="none" w:pos="146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of the representations and warranties made by any Loan Party in or pursuant to the Loan Documents shall be true and correct in all material respects (and in all respects if qualified by materiality) on and as of such date as if made on and as of such date (or to the extent such representations and warranties expressly relate to an earlier date, as of such earlier date).</w:t>
      </w:r>
    </w:p>
    <w:p>
      <w:pPr>
        <w:sectPr>
          <w:pgSz w:w="11900" w:h="16838" w:orient="portrait"/>
          <w:cols w:equalWidth="0" w:num="1">
            <w:col w:w="11420"/>
          </w:cols>
          <w:pgMar w:left="240" w:top="409" w:right="2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71</w:t>
      </w:r>
    </w:p>
    <w:p>
      <w:pPr>
        <w:spacing w:after="0" w:line="238" w:lineRule="exact"/>
        <w:rPr>
          <w:sz w:val="20"/>
          <w:szCs w:val="20"/>
          <w:color w:val="auto"/>
        </w:rPr>
      </w:pPr>
    </w:p>
    <w:p>
      <w:pPr>
        <w:ind w:left="460" w:right="220" w:firstLine="542"/>
        <w:spacing w:after="0" w:line="269" w:lineRule="auto"/>
        <w:tabs>
          <w:tab w:leader="none" w:pos="1475"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No Default or Event of Default shall have occurred and be continuing on such date or after giving effect to the extensions of credit requested to be made on such date.</w:t>
      </w:r>
    </w:p>
    <w:p>
      <w:pPr>
        <w:spacing w:after="0" w:line="159" w:lineRule="exact"/>
        <w:rPr>
          <w:rFonts w:ascii="Times New Roman" w:cs="Times New Roman" w:eastAsia="Times New Roman" w:hAnsi="Times New Roman"/>
          <w:sz w:val="20"/>
          <w:szCs w:val="20"/>
          <w:color w:val="auto"/>
        </w:rPr>
      </w:pPr>
    </w:p>
    <w:p>
      <w:pPr>
        <w:ind w:left="460" w:right="380" w:firstLine="542"/>
        <w:spacing w:after="0" w:line="264" w:lineRule="auto"/>
        <w:tabs>
          <w:tab w:leader="none" w:pos="1464" w:val="left"/>
        </w:tabs>
        <w:numPr>
          <w:ilvl w:val="1"/>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Borrowing Base</w:t>
      </w:r>
      <w:r>
        <w:rPr>
          <w:rFonts w:ascii="Times New Roman" w:cs="Times New Roman" w:eastAsia="Times New Roman" w:hAnsi="Times New Roman"/>
          <w:sz w:val="19"/>
          <w:szCs w:val="19"/>
          <w:color w:val="auto"/>
        </w:rPr>
        <w:t xml:space="preserve">. The Administrative Agent shall have received a Borrowing Base Certificate demonstrating </w:t>
      </w:r>
      <w:r>
        <w:rPr>
          <w:rFonts w:ascii="Times New Roman" w:cs="Times New Roman" w:eastAsia="Times New Roman" w:hAnsi="Times New Roman"/>
          <w:sz w:val="19"/>
          <w:szCs w:val="19"/>
          <w:u w:val="single" w:color="auto"/>
          <w:color w:val="auto"/>
        </w:rPr>
        <w:t>pro forma</w:t>
      </w:r>
      <w:r>
        <w:rPr>
          <w:rFonts w:ascii="Times New Roman" w:cs="Times New Roman" w:eastAsia="Times New Roman" w:hAnsi="Times New Roman"/>
          <w:sz w:val="19"/>
          <w:szCs w:val="19"/>
          <w:color w:val="auto"/>
        </w:rPr>
        <w:t xml:space="preserve"> compliance with Section 7.2 after giving effect to the extensions of credit requested to be made on such date (it being understood that</w:t>
      </w:r>
    </w:p>
    <w:p>
      <w:pPr>
        <w:ind w:left="740" w:hanging="276"/>
        <w:spacing w:after="0"/>
        <w:tabs>
          <w:tab w:leader="none" w:pos="7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Borrowing Base Certificate delivered pursuant to clause (vi) of Section 5.1(g) satisfies this requirement on the Closing Date and</w:t>
      </w:r>
    </w:p>
    <w:p>
      <w:pPr>
        <w:ind w:left="740" w:hanging="276"/>
        <w:spacing w:after="0"/>
        <w:tabs>
          <w:tab w:leader="none" w:pos="7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such Borrowing Base Certificate shall be based on the most recent Borrowing Base Certificate delivered pursuant to</w:t>
      </w:r>
    </w:p>
    <w:p>
      <w:pPr>
        <w:ind w:left="460" w:right="200"/>
        <w:spacing w:after="0" w:line="246" w:lineRule="auto"/>
        <w:rPr>
          <w:sz w:val="20"/>
          <w:szCs w:val="20"/>
          <w:color w:val="auto"/>
        </w:rPr>
      </w:pPr>
      <w:r>
        <w:rPr>
          <w:rFonts w:ascii="Times New Roman" w:cs="Times New Roman" w:eastAsia="Times New Roman" w:hAnsi="Times New Roman"/>
          <w:sz w:val="20"/>
          <w:szCs w:val="20"/>
          <w:color w:val="auto"/>
        </w:rPr>
        <w:t xml:space="preserve">Section 6.3(b) adjusted only for the requested extension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certificate shall be required in connection with an extension of credit that does not result in an increase in the Total Extensions of Credit.</w:t>
      </w:r>
    </w:p>
    <w:p>
      <w:pPr>
        <w:spacing w:after="0" w:line="18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Each borrowing by and issuance of a Letter of Credit on behalf of the Borrower hereunder shall constitute a representation and warranty by the Borrower as of the date of such extension of credit that the conditions contained in this Section 5.2 have been satisfied.</w:t>
      </w:r>
    </w:p>
    <w:p>
      <w:pPr>
        <w:spacing w:after="0" w:line="160" w:lineRule="exact"/>
        <w:rPr>
          <w:sz w:val="20"/>
          <w:szCs w:val="20"/>
          <w:color w:val="auto"/>
        </w:rPr>
      </w:pPr>
    </w:p>
    <w:p>
      <w:pPr>
        <w:jc w:val="center"/>
        <w:ind w:right="-19"/>
        <w:spacing w:after="0"/>
        <w:tabs>
          <w:tab w:leader="none" w:pos="240" w:val="left"/>
        </w:tabs>
        <w:rPr>
          <w:sz w:val="20"/>
          <w:szCs w:val="20"/>
          <w:color w:val="auto"/>
        </w:rPr>
      </w:pPr>
      <w:r>
        <w:rPr>
          <w:rFonts w:ascii="Times New Roman" w:cs="Times New Roman" w:eastAsia="Times New Roman" w:hAnsi="Times New Roman"/>
          <w:sz w:val="20"/>
          <w:szCs w:val="20"/>
          <w:color w:val="auto"/>
        </w:rPr>
        <w:t>SECTION 6.</w:t>
      </w:r>
      <w:r>
        <w:rPr>
          <w:sz w:val="20"/>
          <w:szCs w:val="20"/>
          <w:color w:val="auto"/>
        </w:rPr>
        <w:tab/>
      </w:r>
      <w:r>
        <w:rPr>
          <w:rFonts w:ascii="Times New Roman" w:cs="Times New Roman" w:eastAsia="Times New Roman" w:hAnsi="Times New Roman"/>
          <w:sz w:val="19"/>
          <w:szCs w:val="19"/>
          <w:color w:val="auto"/>
        </w:rPr>
        <w:t>AFFIRMATIVE COVENANTS</w:t>
      </w:r>
    </w:p>
    <w:p>
      <w:pPr>
        <w:spacing w:after="0" w:line="216" w:lineRule="exact"/>
        <w:rPr>
          <w:sz w:val="20"/>
          <w:szCs w:val="20"/>
          <w:color w:val="auto"/>
        </w:rPr>
      </w:pPr>
    </w:p>
    <w:p>
      <w:pPr>
        <w:ind w:right="380" w:firstLine="1027"/>
        <w:spacing w:after="0" w:line="254" w:lineRule="auto"/>
        <w:rPr>
          <w:sz w:val="20"/>
          <w:szCs w:val="20"/>
          <w:color w:val="auto"/>
        </w:rPr>
      </w:pPr>
      <w:r>
        <w:rPr>
          <w:rFonts w:ascii="Times New Roman" w:cs="Times New Roman" w:eastAsia="Times New Roman" w:hAnsi="Times New Roman"/>
          <w:sz w:val="20"/>
          <w:szCs w:val="20"/>
          <w:color w:val="auto"/>
        </w:rPr>
        <w:t>Each of MVWC and the Borrower agrees that, so long as the Commitments remain in effect, any Letter of Credit remains outstanding or any Loan or other amount is owing to any Lender or the Administrative Agent hereunder, each of MVWC and the Borrower shall and shall cause each of their respective Subsidiaries, as applicable, to:</w:t>
      </w:r>
    </w:p>
    <w:p>
      <w:pPr>
        <w:spacing w:after="0" w:line="175" w:lineRule="exact"/>
        <w:rPr>
          <w:sz w:val="20"/>
          <w:szCs w:val="20"/>
          <w:color w:val="auto"/>
        </w:rPr>
      </w:pPr>
    </w:p>
    <w:p>
      <w:pPr>
        <w:ind w:left="1040"/>
        <w:spacing w:after="0"/>
        <w:tabs>
          <w:tab w:leader="none" w:pos="152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 Furnish to the Administrative Agent and each Lender:</w:t>
      </w:r>
    </w:p>
    <w:p>
      <w:pPr>
        <w:spacing w:after="0" w:line="216" w:lineRule="exact"/>
        <w:rPr>
          <w:sz w:val="20"/>
          <w:szCs w:val="20"/>
          <w:color w:val="auto"/>
        </w:rPr>
      </w:pPr>
    </w:p>
    <w:p>
      <w:pPr>
        <w:ind w:left="460" w:right="280" w:firstLine="542"/>
        <w:spacing w:after="0" w:line="247" w:lineRule="auto"/>
        <w:tabs>
          <w:tab w:leader="none" w:pos="146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within 90 days after the end of each Fiscal Year, a copy of the audited consolidated balance sheet of MVWC and its consolidated Subsidiaries as at the end of such Fiscal Year and the related audited consolidated statements of income and of cash flows for such Fiscal Year, setting forth in each case in comparative form the figures for the previous year, reported on without a “going concern” or like qualification or exception, or qualification arising out of the scope of the audit, by Ernst &amp; Young LLP or other independent certified public accountants of nationally recognized standing;</w:t>
      </w:r>
    </w:p>
    <w:p>
      <w:pPr>
        <w:spacing w:after="0" w:line="180" w:lineRule="exact"/>
        <w:rPr>
          <w:rFonts w:ascii="Times New Roman" w:cs="Times New Roman" w:eastAsia="Times New Roman" w:hAnsi="Times New Roman"/>
          <w:sz w:val="20"/>
          <w:szCs w:val="20"/>
          <w:color w:val="auto"/>
        </w:rPr>
      </w:pPr>
    </w:p>
    <w:p>
      <w:pPr>
        <w:ind w:left="460" w:right="140" w:firstLine="542"/>
        <w:spacing w:after="0" w:line="245" w:lineRule="auto"/>
        <w:tabs>
          <w:tab w:leader="none" w:pos="147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not later than 45 days after the end of each of the first three Fiscal Quarters of each Fiscal Year (except in the case of the third Fiscal Quarter of Fiscal Year 2011, not later than 45 days after the effective date of the Spin-Off), the unaudited consolidated balance sheet of MVWC and its consolidated Subsidiaries as at the end of such Fiscal Quarter and the related unaudited consolidated statements of income and of cash flows for such Fiscal Quarter and the portion of the Fiscal Year through the end of such Fiscal Quarter, setting forth in each case in comparative form the figures for the previous Fiscal Year, certified by a Responsible Officer as being fairly stated in all material respects (subject to normal year-end audit adjustments); and</w:t>
      </w:r>
    </w:p>
    <w:p>
      <w:pPr>
        <w:spacing w:after="0" w:line="18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All such financial statements shall be complete and correct in all material respects and shall be prepared in reasonable detail and in accordance with GAAP applied (except as approved by such accountants or officer, as the case may be, and disclosed in reasonable detail therein) consistently throughout the periods reflected therein and with prior periods.</w:t>
      </w:r>
    </w:p>
    <w:p>
      <w:pPr>
        <w:sectPr>
          <w:pgSz w:w="11900" w:h="16838" w:orient="portrait"/>
          <w:cols w:equalWidth="0" w:num="1">
            <w:col w:w="11420"/>
          </w:cols>
          <w:pgMar w:left="240" w:top="409" w:right="239" w:bottom="1440" w:gutter="0" w:footer="0" w:header="0"/>
        </w:sectPr>
      </w:pPr>
    </w:p>
    <w:bookmarkStart w:id="167" w:name="page168"/>
    <w:bookmarkEnd w:id="167"/>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72</w:t>
      </w:r>
    </w:p>
    <w:p>
      <w:pPr>
        <w:spacing w:after="0" w:line="238"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Information required to be delivered pursuant to clause (a) or (b) of this Section shall be deemed to have been delivered if such information, or one or more annual or quarterly reports containing such information, shall have been posted by the Administrative Agent on Intralinks or similar site to which Lenders have been granted access or shall be available on the website of the SEC at http://www.sec.gov or on the website of MVWC at http://marriottvacationsworldwide.com. Each Lender shall be solely responsible for timely accessing posted documents and maintaining its copies of such documents. Information required to be delivered pursuant to this Section may also be delivered by electronic communication of a “pdf” or similar copy.</w:t>
      </w:r>
    </w:p>
    <w:p>
      <w:pPr>
        <w:spacing w:after="0" w:line="185" w:lineRule="exact"/>
        <w:rPr>
          <w:sz w:val="20"/>
          <w:szCs w:val="20"/>
          <w:color w:val="auto"/>
        </w:rPr>
      </w:pPr>
    </w:p>
    <w:p>
      <w:pPr>
        <w:ind w:right="260" w:firstLine="1027"/>
        <w:spacing w:after="0" w:line="269"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Certificates; Other Information</w:t>
      </w:r>
      <w:r>
        <w:rPr>
          <w:rFonts w:ascii="Times New Roman" w:cs="Times New Roman" w:eastAsia="Times New Roman" w:hAnsi="Times New Roman"/>
          <w:sz w:val="20"/>
          <w:szCs w:val="20"/>
          <w:color w:val="auto"/>
        </w:rPr>
        <w:t>. Furnish to the Administrative Agent and each Lender (or, in the case of clause (m), to the relevant Lender):</w:t>
      </w:r>
    </w:p>
    <w:p>
      <w:pPr>
        <w:spacing w:after="0" w:line="160" w:lineRule="exact"/>
        <w:rPr>
          <w:sz w:val="20"/>
          <w:szCs w:val="20"/>
          <w:color w:val="auto"/>
        </w:rPr>
      </w:pPr>
    </w:p>
    <w:p>
      <w:pPr>
        <w:ind w:left="460" w:right="640" w:firstLine="542"/>
        <w:spacing w:after="0" w:line="274" w:lineRule="auto"/>
        <w:tabs>
          <w:tab w:leader="none" w:pos="1464"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concurrently with the delivery of the financial statements referred to in Section 6.1(a), a certificate of the independent certified public accountants reporting on such financial statements stating that in making the examination necessary therefor no knowledge was obtained of any Default or Event of Default arising pursuant to Section 7.1, except as specified in such certificate;</w:t>
      </w:r>
    </w:p>
    <w:p>
      <w:pPr>
        <w:spacing w:after="0" w:line="156" w:lineRule="exact"/>
        <w:rPr>
          <w:rFonts w:ascii="Times New Roman" w:cs="Times New Roman" w:eastAsia="Times New Roman" w:hAnsi="Times New Roman"/>
          <w:sz w:val="19"/>
          <w:szCs w:val="19"/>
          <w:color w:val="auto"/>
        </w:rPr>
      </w:pPr>
    </w:p>
    <w:p>
      <w:pPr>
        <w:ind w:left="460" w:right="80" w:firstLine="542"/>
        <w:spacing w:after="0" w:line="247" w:lineRule="auto"/>
        <w:tabs>
          <w:tab w:leader="none" w:pos="1475"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concurrently with the delivery of any financial statements pursuant to Section 6.1, a certificate of a Responsible Officer stating that, to the best of each such Responsible Officer’s knowledge, each Loan Party during such period has observed or performed all of its covenants and other agreements, and satisfied every condition contained in this Agreement and the other Loan Documents to which it is a party to be observed, performed or satisfied by it, and that such Responsible Officer has obtained no knowledge of any Default or Event of Default except as specified in such certificate;</w:t>
      </w:r>
    </w:p>
    <w:p>
      <w:pPr>
        <w:spacing w:after="0" w:line="180" w:lineRule="exact"/>
        <w:rPr>
          <w:rFonts w:ascii="Times New Roman" w:cs="Times New Roman" w:eastAsia="Times New Roman" w:hAnsi="Times New Roman"/>
          <w:sz w:val="20"/>
          <w:szCs w:val="20"/>
          <w:color w:val="auto"/>
        </w:rPr>
      </w:pPr>
    </w:p>
    <w:p>
      <w:pPr>
        <w:ind w:left="460" w:right="20" w:firstLine="542"/>
        <w:spacing w:after="0" w:line="245" w:lineRule="auto"/>
        <w:tabs>
          <w:tab w:leader="none" w:pos="146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and in any event no later than 90 days after the end of each Fiscal Year, a detailed consolidated budget for the following Fiscal Year (including a projected consolidated balance sheet of the MVWC and its Subsidiaries as of the end of the following Fiscal Year, the related consolidated statements of projected cash flow and projected income and a description of the underlying assumptions applicable thereto) (collectively, the “</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which Projections shall in each case be accompanied by a certificate of a Responsible Officer stating that such Projections are based on reasonable estimates, information and assumptions and that such Responsible Officer has no reason to believe that such Projections are incorrect or misleading in any material respect;</w:t>
      </w:r>
    </w:p>
    <w:p>
      <w:pPr>
        <w:spacing w:after="0" w:line="185" w:lineRule="exact"/>
        <w:rPr>
          <w:rFonts w:ascii="Times New Roman" w:cs="Times New Roman" w:eastAsia="Times New Roman" w:hAnsi="Times New Roman"/>
          <w:sz w:val="20"/>
          <w:szCs w:val="20"/>
          <w:color w:val="auto"/>
        </w:rPr>
      </w:pPr>
    </w:p>
    <w:p>
      <w:pPr>
        <w:jc w:val="both"/>
        <w:ind w:left="460" w:right="240" w:firstLine="542"/>
        <w:spacing w:after="0" w:line="260" w:lineRule="auto"/>
        <w:tabs>
          <w:tab w:leader="none" w:pos="1475"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concurrently with the delivery of any financial statements pursuant to Section 6.1, copies of all amendments, supplements, waivers or other modifications with respect to any Intercompany Agreement or the Separation and Distribution Agreement that became effective during the fiscal period covered by such financial statements (or in the case of the financial statements pursuant to</w:t>
      </w:r>
    </w:p>
    <w:p>
      <w:pPr>
        <w:ind w:left="4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Section 6.1(a), during the fourth Fiscal Quarter) and which have not previously been delivered to the Lenders hereunder;</w:t>
      </w:r>
    </w:p>
    <w:p>
      <w:pPr>
        <w:spacing w:after="0" w:line="193" w:lineRule="exact"/>
        <w:rPr>
          <w:rFonts w:ascii="Times New Roman" w:cs="Times New Roman" w:eastAsia="Times New Roman" w:hAnsi="Times New Roman"/>
          <w:sz w:val="19"/>
          <w:szCs w:val="19"/>
          <w:color w:val="auto"/>
        </w:rPr>
      </w:pPr>
    </w:p>
    <w:p>
      <w:pPr>
        <w:ind w:left="460" w:right="80" w:firstLine="542"/>
        <w:spacing w:after="0" w:line="254" w:lineRule="auto"/>
        <w:tabs>
          <w:tab w:leader="none" w:pos="146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Business Days after the same are sent, copies of all financial statements and reports that MVWC or the Borrower sends to the holders of any class of its debt securities or public equity securities and, within five Business Days after the same are filed, copies of all financial statements and reports that MVWC or the Borrower may make to, or file with, the SEC;</w:t>
      </w:r>
    </w:p>
    <w:p>
      <w:pPr>
        <w:sectPr>
          <w:pgSz w:w="11900" w:h="16838" w:orient="portrait"/>
          <w:cols w:equalWidth="0" w:num="1">
            <w:col w:w="11420"/>
          </w:cols>
          <w:pgMar w:left="240" w:top="410" w:right="2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73</w:t>
      </w:r>
    </w:p>
    <w:p>
      <w:pPr>
        <w:spacing w:after="0" w:line="238" w:lineRule="exact"/>
        <w:rPr>
          <w:sz w:val="20"/>
          <w:szCs w:val="20"/>
          <w:color w:val="auto"/>
        </w:rPr>
      </w:pPr>
    </w:p>
    <w:p>
      <w:pPr>
        <w:ind w:right="40" w:firstLine="542"/>
        <w:spacing w:after="0" w:line="296" w:lineRule="auto"/>
        <w:tabs>
          <w:tab w:leader="none" w:pos="982"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seven Business Days of the end of each Fiscal Month, a timeshare sales report as of the end of such period for Time Share Interests included in the Borrowing Base as of the last day of such Fiscal Month in a format approved by the Administrative Agent;</w:t>
      </w:r>
    </w:p>
    <w:p>
      <w:pPr>
        <w:spacing w:after="0" w:line="136" w:lineRule="exact"/>
        <w:rPr>
          <w:rFonts w:ascii="Times New Roman" w:cs="Times New Roman" w:eastAsia="Times New Roman" w:hAnsi="Times New Roman"/>
          <w:sz w:val="19"/>
          <w:szCs w:val="19"/>
          <w:color w:val="auto"/>
        </w:rPr>
      </w:pPr>
    </w:p>
    <w:p>
      <w:pPr>
        <w:ind w:right="320" w:firstLine="542"/>
        <w:spacing w:after="0" w:line="254" w:lineRule="auto"/>
        <w:tabs>
          <w:tab w:leader="none" w:pos="1015"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twenty days (or if such twentieth day is not a Business Day, the next such day that is a Business Day) of the end of each calendar month, the servicer reports for each securitization transaction for which the Residual Interests are included in the Borrowing Base as of the last day of such calendar month;</w:t>
      </w:r>
    </w:p>
    <w:p>
      <w:pPr>
        <w:spacing w:after="0" w:line="174" w:lineRule="exact"/>
        <w:rPr>
          <w:rFonts w:ascii="Times New Roman" w:cs="Times New Roman" w:eastAsia="Times New Roman" w:hAnsi="Times New Roman"/>
          <w:sz w:val="20"/>
          <w:szCs w:val="20"/>
          <w:color w:val="auto"/>
        </w:rPr>
      </w:pPr>
    </w:p>
    <w:p>
      <w:pPr>
        <w:ind w:right="140" w:firstLine="542"/>
        <w:spacing w:after="0" w:line="244" w:lineRule="auto"/>
        <w:tabs>
          <w:tab w:leader="none" w:pos="1015"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following receipt thereof, copies of (i) any documents described in Section 101(f) and 101(j) of ERISA with respect to a Pension Plan and (ii) any documents described in Section 101(f), 101(k) or 101(l) of ERISA that any Group Member or any ERISA Affiliate may request with respect to any Multiemployer 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relevant Group Members or ERISA Affiliates have not requested such documents or notices from the administrator or sponsor of the applicable Multiemployer Plans, then, upon reasonable request of the Administrative Agent, such Group Member or the ERISA Affiliate shall promptly make a request for such documents or notices from such administrator or sponsor and the Borrower shall provide copies of such documents and notices to the Administrative Agent promptly after receipt thereof;</w:t>
      </w:r>
    </w:p>
    <w:p>
      <w:pPr>
        <w:spacing w:after="0" w:line="186" w:lineRule="exact"/>
        <w:rPr>
          <w:rFonts w:ascii="Times New Roman" w:cs="Times New Roman" w:eastAsia="Times New Roman" w:hAnsi="Times New Roman"/>
          <w:sz w:val="20"/>
          <w:szCs w:val="20"/>
          <w:color w:val="auto"/>
        </w:rPr>
      </w:pPr>
    </w:p>
    <w:p>
      <w:pPr>
        <w:ind w:firstLine="542"/>
        <w:spacing w:after="0" w:line="259" w:lineRule="auto"/>
        <w:tabs>
          <w:tab w:leader="none" w:pos="971"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within 15 Business Days following the completion of each Fiscal Year, any changes to contracts (including any termination or expiration thereof) governing the receipt of Management Fees that could reasonably be expected to affect the amount of fees received or the timing of receipt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aggregate amount of Management Fees received by the Loan Parties during such Fiscal Year exceeded $40,000,000, MVWC and the Borrower shall not be required to provide notice to the Administrative Agent of any such change that could not reasonably be expected to result in a material change to the amount of fees receivable under the applicable contract or the timing of receipt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for purposes of the foregoing proviso, the termination or expiration of any such contract, or any change to any provision governing the termination or expiration thereof, shall be deemed to be a “material change”;</w:t>
      </w:r>
    </w:p>
    <w:p>
      <w:pPr>
        <w:spacing w:after="0" w:line="172" w:lineRule="exact"/>
        <w:rPr>
          <w:rFonts w:ascii="Times New Roman" w:cs="Times New Roman" w:eastAsia="Times New Roman" w:hAnsi="Times New Roman"/>
          <w:sz w:val="19"/>
          <w:szCs w:val="19"/>
          <w:color w:val="auto"/>
        </w:rPr>
      </w:pPr>
    </w:p>
    <w:p>
      <w:pPr>
        <w:ind w:right="260" w:firstLine="542"/>
        <w:spacing w:after="0" w:line="254" w:lineRule="auto"/>
        <w:tabs>
          <w:tab w:leader="none" w:pos="971"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15 Business Days after the delivery of any financial statements pursuant to Section 6.1, the discount rate used to calculate the book value of Residual Interests and any changes to the assumptions used in the calculation of the book value of Residual Interests, including any such changes since the date of delivery of the most recent Borrowing Base Certificate;</w:t>
      </w:r>
    </w:p>
    <w:p>
      <w:pPr>
        <w:spacing w:after="0" w:line="174" w:lineRule="exact"/>
        <w:rPr>
          <w:rFonts w:ascii="Times New Roman" w:cs="Times New Roman" w:eastAsia="Times New Roman" w:hAnsi="Times New Roman"/>
          <w:sz w:val="20"/>
          <w:szCs w:val="20"/>
          <w:color w:val="auto"/>
        </w:rPr>
      </w:pPr>
    </w:p>
    <w:p>
      <w:pPr>
        <w:ind w:right="40" w:firstLine="542"/>
        <w:spacing w:after="0" w:line="269" w:lineRule="auto"/>
        <w:tabs>
          <w:tab w:leader="none" w:pos="1015"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15 Business Days following the Closing Date, a schedule of Investments in Foreign Subsidiaries outstanding as of the Closing Date;</w:t>
      </w:r>
    </w:p>
    <w:p>
      <w:pPr>
        <w:spacing w:after="0" w:line="159" w:lineRule="exact"/>
        <w:rPr>
          <w:rFonts w:ascii="Times New Roman" w:cs="Times New Roman" w:eastAsia="Times New Roman" w:hAnsi="Times New Roman"/>
          <w:sz w:val="20"/>
          <w:szCs w:val="20"/>
          <w:color w:val="auto"/>
        </w:rPr>
      </w:pPr>
    </w:p>
    <w:p>
      <w:pPr>
        <w:ind w:left="980" w:hanging="438"/>
        <w:spacing w:after="0"/>
        <w:tabs>
          <w:tab w:leader="none" w:pos="98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the request of the Administrative Agent, furnish a copy of any of the documents referred to in Section 5.1(k)</w:t>
      </w:r>
    </w:p>
    <w:p>
      <w:pPr>
        <w:spacing w:after="0" w:line="21" w:lineRule="exact"/>
        <w:rPr>
          <w:rFonts w:ascii="Times New Roman" w:cs="Times New Roman" w:eastAsia="Times New Roman" w:hAnsi="Times New Roman"/>
          <w:sz w:val="20"/>
          <w:szCs w:val="20"/>
          <w:color w:val="auto"/>
        </w:rPr>
      </w:pPr>
    </w:p>
    <w:p>
      <w:pPr>
        <w:ind w:right="120" w:firstLine="4"/>
        <w:spacing w:after="0" w:line="246" w:lineRule="auto"/>
        <w:tabs>
          <w:tab w:leader="none" w:pos="28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such Mortgaged Properties or any such documents in respect of any Mortgaged Property referred to in Section 6.10 to the Administrative Agent; and</w:t>
      </w:r>
    </w:p>
    <w:p>
      <w:pPr>
        <w:spacing w:after="0" w:line="181" w:lineRule="exact"/>
        <w:rPr>
          <w:rFonts w:ascii="Times New Roman" w:cs="Times New Roman" w:eastAsia="Times New Roman" w:hAnsi="Times New Roman"/>
          <w:sz w:val="20"/>
          <w:szCs w:val="20"/>
          <w:color w:val="auto"/>
        </w:rPr>
      </w:pPr>
    </w:p>
    <w:p>
      <w:pPr>
        <w:ind w:left="1080" w:hanging="538"/>
        <w:spacing w:after="0"/>
        <w:tabs>
          <w:tab w:leader="none" w:pos="1080"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such additional financial and other information as any Lender may from time to time reasonably request.</w:t>
      </w:r>
    </w:p>
    <w:p>
      <w:pPr>
        <w:spacing w:after="0" w:line="216"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u w:val="single" w:color="auto"/>
          <w:color w:val="auto"/>
        </w:rPr>
        <w:t>Compliance and Borrowing Base Certificates</w:t>
      </w:r>
      <w:r>
        <w:rPr>
          <w:rFonts w:ascii="Times New Roman" w:cs="Times New Roman" w:eastAsia="Times New Roman" w:hAnsi="Times New Roman"/>
          <w:sz w:val="19"/>
          <w:szCs w:val="19"/>
          <w:color w:val="auto"/>
        </w:rPr>
        <w:t>. The Borrower shall deliver to the Administrative Agent:</w:t>
      </w:r>
    </w:p>
    <w:p>
      <w:pPr>
        <w:sectPr>
          <w:pgSz w:w="11900" w:h="16838" w:orient="portrait"/>
          <w:cols w:equalWidth="0" w:num="1">
            <w:col w:w="10960"/>
          </w:cols>
          <w:pgMar w:left="700" w:top="409" w:right="2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74</w:t>
      </w:r>
    </w:p>
    <w:p>
      <w:pPr>
        <w:spacing w:after="0" w:line="238" w:lineRule="exact"/>
        <w:rPr>
          <w:sz w:val="20"/>
          <w:szCs w:val="20"/>
          <w:color w:val="auto"/>
        </w:rPr>
      </w:pPr>
    </w:p>
    <w:p>
      <w:pPr>
        <w:ind w:right="20" w:firstLine="1035"/>
        <w:spacing w:after="0" w:line="243" w:lineRule="auto"/>
        <w:tabs>
          <w:tab w:leader="none" w:pos="149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concurrently with the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(ii) containing all information and calculations necessary for determining compliance by each Group Member with the provisions of this Agreement referred to therein as of the last day of the Fiscal Quarter or Fiscal Year, as the case may be, and (iii) to the extent not previously disclosed to the Administrative Agent, (1) a description of any change in the jurisdiction of organization of any Loan Party, (2) a list of any Intellectual Property in the categories set forth in Schedule 6 to the Guarantee and Collateral Agreement acquired or exclusively licensed by any Loan Party and (3) a description of any Person that has become a Group Member, in each case since the date of the most recent report delivered pursuant to this clause (iii) (or, in the case of the first such report so delivered, since the Effective Date);</w:t>
      </w:r>
    </w:p>
    <w:p>
      <w:pPr>
        <w:spacing w:after="0" w:line="186" w:lineRule="exact"/>
        <w:rPr>
          <w:rFonts w:ascii="Times New Roman" w:cs="Times New Roman" w:eastAsia="Times New Roman" w:hAnsi="Times New Roman"/>
          <w:sz w:val="20"/>
          <w:szCs w:val="20"/>
          <w:color w:val="auto"/>
        </w:rPr>
      </w:pPr>
    </w:p>
    <w:p>
      <w:pPr>
        <w:ind w:right="60" w:firstLine="1035"/>
        <w:spacing w:after="0" w:line="263" w:lineRule="auto"/>
        <w:tabs>
          <w:tab w:leader="none" w:pos="1456"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within 20 days (or if such twentieth day is not a Business Day, the next such day that is a Business Day) following the end of each Fiscal Month, a Borrowing Base Certificate duly executed by the Chief Financial Officer, Controller or a Company Vice President setting forth a calculation of the Borrowing Base as of the end of such fiscal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MVWC shall deliver an interim Borrowing Base Certificate to the Administrative Agent upon (i) any Material Disposition (it being understood and agreed that such Borrowing Base Certificate shall be calculated after giving </w:t>
      </w:r>
      <w:r>
        <w:rPr>
          <w:rFonts w:ascii="Times New Roman" w:cs="Times New Roman" w:eastAsia="Times New Roman" w:hAnsi="Times New Roman"/>
          <w:sz w:val="19"/>
          <w:szCs w:val="19"/>
          <w:u w:val="single" w:color="auto"/>
          <w:color w:val="auto"/>
        </w:rPr>
        <w:t>pro forma</w:t>
      </w:r>
      <w:r>
        <w:rPr>
          <w:rFonts w:ascii="Times New Roman" w:cs="Times New Roman" w:eastAsia="Times New Roman" w:hAnsi="Times New Roman"/>
          <w:sz w:val="19"/>
          <w:szCs w:val="19"/>
          <w:color w:val="auto"/>
        </w:rPr>
        <w:t xml:space="preserve"> effect to such Material Disposition) and (ii) as required by Section 5.2(c); and</w:t>
      </w:r>
    </w:p>
    <w:p>
      <w:pPr>
        <w:spacing w:after="0" w:line="166" w:lineRule="exact"/>
        <w:rPr>
          <w:rFonts w:ascii="Times New Roman" w:cs="Times New Roman" w:eastAsia="Times New Roman" w:hAnsi="Times New Roman"/>
          <w:sz w:val="19"/>
          <w:szCs w:val="19"/>
          <w:color w:val="auto"/>
        </w:rPr>
      </w:pPr>
    </w:p>
    <w:p>
      <w:pPr>
        <w:ind w:right="80" w:firstLine="1035"/>
        <w:spacing w:after="0" w:line="254" w:lineRule="auto"/>
        <w:tabs>
          <w:tab w:leader="none" w:pos="1445"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20 days (or if such twentieth day is not a Business Day, the next such day that is a Business Day) following the end of each Fiscal Month the Borrower will provide certification to the Title Insurance Company of the quantum of beneficial interests in the Land Trust subject to a Mortgage.</w:t>
      </w:r>
    </w:p>
    <w:p>
      <w:pPr>
        <w:spacing w:after="0" w:line="175" w:lineRule="exact"/>
        <w:rPr>
          <w:sz w:val="20"/>
          <w:szCs w:val="20"/>
          <w:color w:val="auto"/>
        </w:rPr>
      </w:pPr>
    </w:p>
    <w:p>
      <w:pPr>
        <w:jc w:val="both"/>
        <w:ind w:right="220" w:firstLine="1027"/>
        <w:spacing w:after="0" w:line="249"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Payment of Obligations</w:t>
      </w:r>
      <w:r>
        <w:rPr>
          <w:rFonts w:ascii="Times New Roman" w:cs="Times New Roman" w:eastAsia="Times New Roman" w:hAnsi="Times New Roman"/>
          <w:sz w:val="20"/>
          <w:szCs w:val="20"/>
          <w:color w:val="auto"/>
        </w:rPr>
        <w:t>. Pay, discharge or otherwise satisfy at or before maturity or before they become delinquent, as the case may be, all its material obligations of whatever nature, except where the amount or validity thereof is currently being contested in good faith by appropriate proceedings and reserves in conformity with GAAP with respect thereto have been provided on the books of the relevant Group Member.</w:t>
      </w:r>
    </w:p>
    <w:p>
      <w:pPr>
        <w:spacing w:after="0" w:line="180" w:lineRule="exact"/>
        <w:rPr>
          <w:sz w:val="20"/>
          <w:szCs w:val="20"/>
          <w:color w:val="auto"/>
        </w:rPr>
      </w:pPr>
    </w:p>
    <w:p>
      <w:pPr>
        <w:ind w:right="200" w:firstLine="1027"/>
        <w:spacing w:after="0" w:line="263" w:lineRule="auto"/>
        <w:rPr>
          <w:sz w:val="20"/>
          <w:szCs w:val="20"/>
          <w:color w:val="auto"/>
        </w:rPr>
      </w:pPr>
      <w:r>
        <w:rPr>
          <w:rFonts w:ascii="Times New Roman" w:cs="Times New Roman" w:eastAsia="Times New Roman" w:hAnsi="Times New Roman"/>
          <w:sz w:val="19"/>
          <w:szCs w:val="19"/>
          <w:color w:val="auto"/>
        </w:rPr>
        <w:t xml:space="preserve">6.5 </w:t>
      </w:r>
      <w:r>
        <w:rPr>
          <w:rFonts w:ascii="Times New Roman" w:cs="Times New Roman" w:eastAsia="Times New Roman" w:hAnsi="Times New Roman"/>
          <w:sz w:val="19"/>
          <w:szCs w:val="19"/>
          <w:u w:val="single" w:color="auto"/>
          <w:color w:val="auto"/>
        </w:rPr>
        <w:t>Maintenance of Existence; Compliance</w:t>
      </w:r>
      <w:r>
        <w:rPr>
          <w:rFonts w:ascii="Times New Roman" w:cs="Times New Roman" w:eastAsia="Times New Roman" w:hAnsi="Times New Roman"/>
          <w:sz w:val="19"/>
          <w:szCs w:val="19"/>
          <w:color w:val="auto"/>
        </w:rPr>
        <w:t>. (a)(i) Preserve, renew and keep in full force and effect its organizational existence and (ii) take all reasonable action to maintain all rights, privileges and franchises necessary or desirable in the normal conduct of its business, except, in each case, as otherwise permitted by Section 7.5 and except, in the case of clause (ii) above, to the extent that failure to do so could not reasonably be expected to have a Material Adverse Effect; and (b) comply with all Contractual Obligations and Requirements of Law except to the extent that failure to comply therewith could not, in the aggregate, reasonably be expected to have a Material Adverse Effect.</w:t>
      </w:r>
    </w:p>
    <w:p>
      <w:pPr>
        <w:spacing w:after="0" w:line="167" w:lineRule="exact"/>
        <w:rPr>
          <w:sz w:val="20"/>
          <w:szCs w:val="20"/>
          <w:color w:val="auto"/>
        </w:rPr>
      </w:pPr>
    </w:p>
    <w:p>
      <w:pPr>
        <w:jc w:val="both"/>
        <w:ind w:right="100" w:firstLine="1027"/>
        <w:spacing w:after="0" w:line="249"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u w:val="single" w:color="auto"/>
          <w:color w:val="auto"/>
        </w:rPr>
        <w:t>Maintenance of Property; Insurance</w:t>
      </w:r>
      <w:r>
        <w:rPr>
          <w:rFonts w:ascii="Times New Roman" w:cs="Times New Roman" w:eastAsia="Times New Roman" w:hAnsi="Times New Roman"/>
          <w:sz w:val="20"/>
          <w:szCs w:val="20"/>
          <w:color w:val="auto"/>
        </w:rPr>
        <w:t>. (a) (i) Keep all property useful and necessary in its business in good working order and condition, ordinary wear and tear excepted and (ii) maintain with financially sound and reputable companies insurance on all its property in at least such amounts and against at least such risks (but including in any event public liability, product liability and business interruptions) as are usually insured against in the same general area by companies engaged in the same or a similar business.</w:t>
      </w:r>
    </w:p>
    <w:p>
      <w:pPr>
        <w:spacing w:after="0" w:line="180" w:lineRule="exact"/>
        <w:rPr>
          <w:sz w:val="20"/>
          <w:szCs w:val="20"/>
          <w:color w:val="auto"/>
        </w:rPr>
      </w:pPr>
    </w:p>
    <w:p>
      <w:pPr>
        <w:ind w:right="20" w:firstLine="1035"/>
        <w:spacing w:after="0" w:line="254" w:lineRule="auto"/>
        <w:tabs>
          <w:tab w:leader="none" w:pos="1505"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requirements in Section 6.6(a), maintain, with financially sound and reputable companies, insurance policies (i) insuring the Collateral (including any Collateral that is owned through the Beneficial Interests (as defined in the Mortgages)) against loss by fire, explosion, theft and such other casualties as is consistent with that carried by other reasonably prudent</w:t>
      </w:r>
    </w:p>
    <w:p>
      <w:pPr>
        <w:sectPr>
          <w:pgSz w:w="11900" w:h="16838" w:orient="portrait"/>
          <w:cols w:equalWidth="0" w:num="1">
            <w:col w:w="11420"/>
          </w:cols>
          <w:pgMar w:left="240" w:top="409" w:right="2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75</w:t>
      </w:r>
    </w:p>
    <w:p>
      <w:pPr>
        <w:spacing w:after="0" w:line="23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9"/>
          <w:szCs w:val="19"/>
          <w:color w:val="auto"/>
        </w:rPr>
        <w:t>owners/operators engaged in the same or similar business in the same general area or as may otherwise be reasonably satisfactory to the Administrative Agent, and (ii) insuring the Loan Parties, the Administrative Agent and the other Secured Parties (as defined in the Guarantee and Collateral Agreement) against liability for personal injury and property damage relating to such Collateral, such policies to be in such form and amounts and having such coverage as is consistent with that carried by other reasonably prudent owners/operators engaged in the same or similar business in the same general area or as may otherwise be reasonably satisfactory to the Administrative Agent; in the case of both clause</w:t>
      </w:r>
    </w:p>
    <w:p>
      <w:pPr>
        <w:ind w:right="60" w:firstLine="8"/>
        <w:spacing w:after="0" w:line="252" w:lineRule="auto"/>
        <w:tabs>
          <w:tab w:leader="none" w:pos="236"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and clause (ii) of this Section 6.6(b), taking into account the commercial reasonableness of the procurement of such insurance coverage in light of then current market conditions. Except as the Administrative Agent may agree, in its sole discretion, all such insurance shall (i) provide that no cancellation in coverage thereof shall be effective until at least thirty (30) days after receipt by the Administrative Agent of written notice thereof, (ii) if commercially available, provide that no material reduction in amount or material change in coverage thereof shall be effective until at least thirty (30) days after receipt by the Administrative Agent of written notice thereof, (iii) if insuring Collateral, name the Administrative Agent as an additional insured party or loss payee, as its interests may appear;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notice provision in clause</w:t>
      </w:r>
    </w:p>
    <w:p>
      <w:pPr>
        <w:spacing w:after="0" w:line="1" w:lineRule="exact"/>
        <w:rPr>
          <w:rFonts w:ascii="Times New Roman" w:cs="Times New Roman" w:eastAsia="Times New Roman" w:hAnsi="Times New Roman"/>
          <w:sz w:val="19"/>
          <w:szCs w:val="19"/>
          <w:color w:val="auto"/>
        </w:rPr>
      </w:pPr>
    </w:p>
    <w:p>
      <w:pPr>
        <w:ind w:right="20" w:firstLine="8"/>
        <w:spacing w:after="0" w:line="241" w:lineRule="auto"/>
        <w:tabs>
          <w:tab w:leader="none" w:pos="291"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is not commercially available, the Borrower shall promptly upon obtaining knowledge thereof provide the Administrative Agent with notice of such material reduction or change in coverage. With respect to Beneficial Interests, the obligation hereunder (including under subsection (e) below) shall be deemed satisfied so long as the Trust or the Trust Association (as defined in the Mortgages) or other owners’ association governing the “Trust Property” (as defined by the Trust Agreement referred to in the Mortgages) owns a “master” or “blanket” policy for the Trust Property in accordance with the terms hereof (or such policy has been obtained on its behalf).</w:t>
      </w:r>
    </w:p>
    <w:p>
      <w:pPr>
        <w:spacing w:after="0" w:line="187" w:lineRule="exact"/>
        <w:rPr>
          <w:rFonts w:ascii="Times New Roman" w:cs="Times New Roman" w:eastAsia="Times New Roman" w:hAnsi="Times New Roman"/>
          <w:sz w:val="20"/>
          <w:szCs w:val="20"/>
          <w:color w:val="auto"/>
        </w:rPr>
      </w:pPr>
    </w:p>
    <w:p>
      <w:pPr>
        <w:ind w:right="200" w:firstLine="1035"/>
        <w:spacing w:after="0" w:line="254" w:lineRule="auto"/>
        <w:tabs>
          <w:tab w:leader="none" w:pos="1445"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execution of this Agreement, Borrower shall deliver (i) certificates of insurance which evidence the required coverages, and certificates with respect to any renewals thereof to the Administrative Agent and (ii) supplemental reports with respect thereto as the Administrative Agent may from time to time reasonably request.</w:t>
      </w:r>
    </w:p>
    <w:p>
      <w:pPr>
        <w:spacing w:after="0" w:line="174" w:lineRule="exact"/>
        <w:rPr>
          <w:rFonts w:ascii="Times New Roman" w:cs="Times New Roman" w:eastAsia="Times New Roman" w:hAnsi="Times New Roman"/>
          <w:sz w:val="20"/>
          <w:szCs w:val="20"/>
          <w:color w:val="auto"/>
        </w:rPr>
      </w:pPr>
    </w:p>
    <w:p>
      <w:pPr>
        <w:ind w:left="1460" w:hanging="425"/>
        <w:spacing w:after="0"/>
        <w:tabs>
          <w:tab w:leader="none" w:pos="1460"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shall comply with and conform in all material respects to (i) all provisions of each such insurance policy, and</w:t>
      </w:r>
    </w:p>
    <w:p>
      <w:pPr>
        <w:spacing w:after="0" w:line="22" w:lineRule="exact"/>
        <w:rPr>
          <w:sz w:val="20"/>
          <w:szCs w:val="20"/>
          <w:color w:val="auto"/>
        </w:rPr>
      </w:pPr>
    </w:p>
    <w:p>
      <w:pPr>
        <w:ind w:right="60" w:firstLine="8"/>
        <w:spacing w:after="0" w:line="242" w:lineRule="auto"/>
        <w:tabs>
          <w:tab w:leader="none" w:pos="291"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requirements of the insurers applicable to the Loan Parties or to any of the Collateral or to the use, manner of use, occupancy, possession, operation, maintenance, alteration or repair of any of the Collateral and not use or knowingly permit the use of the Collateral in any manner which would permit any insurer to cancel any insurance policy or void coverage required to be maintained by this Agreement.</w:t>
      </w:r>
    </w:p>
    <w:p>
      <w:pPr>
        <w:spacing w:after="0" w:line="187" w:lineRule="exact"/>
        <w:rPr>
          <w:rFonts w:ascii="Times New Roman" w:cs="Times New Roman" w:eastAsia="Times New Roman" w:hAnsi="Times New Roman"/>
          <w:sz w:val="20"/>
          <w:szCs w:val="20"/>
          <w:color w:val="auto"/>
        </w:rPr>
      </w:pPr>
    </w:p>
    <w:p>
      <w:pPr>
        <w:ind w:right="80" w:firstLine="1035"/>
        <w:spacing w:after="0" w:line="266" w:lineRule="auto"/>
        <w:tabs>
          <w:tab w:leader="none" w:pos="1434"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improved real property or interest therein that is encumbered by a Mortgage and located in a Flood Area must be insured for flood risks in amounts as are available on commercially reasonable terms and as approved by the Administrative Agent, which approval shall not be unreasonably withheld; provided, however, that in no case can the amount of insurance be less than that required by applicable law and regulation. Such insurance may be maintained under an “all-risk” blanket program which includes the required flood coverage</w:t>
      </w:r>
    </w:p>
    <w:p>
      <w:pPr>
        <w:spacing w:after="0" w:line="165" w:lineRule="exact"/>
        <w:rPr>
          <w:rFonts w:ascii="Times New Roman" w:cs="Times New Roman" w:eastAsia="Times New Roman" w:hAnsi="Times New Roman"/>
          <w:sz w:val="19"/>
          <w:szCs w:val="19"/>
          <w:color w:val="auto"/>
        </w:rPr>
      </w:pPr>
    </w:p>
    <w:p>
      <w:pPr>
        <w:ind w:right="40" w:firstLine="1035"/>
        <w:spacing w:after="0" w:line="245" w:lineRule="auto"/>
        <w:tabs>
          <w:tab w:leader="none" w:pos="1423"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Borrower is in default of its obligations to insure or deliver certificates of insurance for any such policy or policies (including any policies required under subsection (e) above), then Administrative Agent, at its option upon ten (10) days’ notice to Mortgagor (as defined in the relevant Mortgage), if during such 10-day period such default remains uncured, may effect such insurance from year to year at rates substantially similar to the rate at which Borrower had insured the Collateral, and pay the premium or premiums therefor, and Borrower shall pay to Administrative Agent within ten (10) days after demand together with supporting documentation such premium or premiums so paid by Mortgagee (as defined in the relevant Mortgage).</w:t>
      </w:r>
    </w:p>
    <w:p>
      <w:pPr>
        <w:sectPr>
          <w:pgSz w:w="11900" w:h="16838" w:orient="portrait"/>
          <w:cols w:equalWidth="0" w:num="1">
            <w:col w:w="11420"/>
          </w:cols>
          <w:pgMar w:left="240" w:top="409" w:right="239" w:bottom="1440" w:gutter="0" w:footer="0" w:header="0"/>
        </w:sectPr>
      </w:pPr>
    </w:p>
    <w:bookmarkStart w:id="171" w:name="page172"/>
    <w:bookmarkEnd w:id="171"/>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76</w:t>
      </w:r>
    </w:p>
    <w:p>
      <w:pPr>
        <w:spacing w:after="0" w:line="238" w:lineRule="exact"/>
        <w:rPr>
          <w:sz w:val="20"/>
          <w:szCs w:val="20"/>
          <w:color w:val="auto"/>
        </w:rPr>
      </w:pPr>
    </w:p>
    <w:p>
      <w:pPr>
        <w:ind w:firstLine="913"/>
        <w:spacing w:after="0" w:line="243" w:lineRule="auto"/>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u w:val="single" w:color="auto"/>
          <w:color w:val="auto"/>
        </w:rPr>
        <w:t>Inspection of Property; Books and Records; Discussions</w:t>
      </w:r>
      <w:r>
        <w:rPr>
          <w:rFonts w:ascii="Times New Roman" w:cs="Times New Roman" w:eastAsia="Times New Roman" w:hAnsi="Times New Roman"/>
          <w:sz w:val="20"/>
          <w:szCs w:val="20"/>
          <w:color w:val="auto"/>
        </w:rPr>
        <w:t>. (a) Keep proper books of records and account in which full, true and correct entries in conformity with GAAP and all Requirements of Law shall be made of all dealings and transactions in relation to its business and activities and (b) upon prior notice to the Borrower permit representatives of the Administrative or any Lender (provided that such Lender is accompanied by a representative of the Administrative Agent) to visit and inspect any of its properties and examine and make abstracts from any of its books and records at any reasonable time and as often as may reasonably be desired and to discuss the business, operations, properties and financial and other condition of the Group Members with officers and employees of the Group Members and with their independent certified public accountants; provided that such inspections and visits by the Administrative Agent shall be at the expense of the Borrower; provided further, that if no Event of Default has occurred and is continuing only one such visit and inspection in any calendar year shall be at the expense of the Borrower.</w:t>
      </w:r>
    </w:p>
    <w:p>
      <w:pPr>
        <w:spacing w:after="0" w:line="187" w:lineRule="exact"/>
        <w:rPr>
          <w:sz w:val="20"/>
          <w:szCs w:val="20"/>
          <w:color w:val="auto"/>
        </w:rPr>
      </w:pPr>
    </w:p>
    <w:p>
      <w:pPr>
        <w:ind w:left="920"/>
        <w:spacing w:after="0"/>
        <w:tabs>
          <w:tab w:leader="none" w:pos="1340" w:val="left"/>
        </w:tabs>
        <w:rPr>
          <w:sz w:val="20"/>
          <w:szCs w:val="20"/>
          <w:color w:val="auto"/>
        </w:rPr>
      </w:pPr>
      <w:r>
        <w:rPr>
          <w:rFonts w:ascii="Times New Roman" w:cs="Times New Roman" w:eastAsia="Times New Roman" w:hAnsi="Times New Roman"/>
          <w:sz w:val="20"/>
          <w:szCs w:val="20"/>
          <w:color w:val="auto"/>
        </w:rPr>
        <w:t>6.8</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Promptly give notice to the Administrative Agent and each Lender of:</w:t>
      </w:r>
    </w:p>
    <w:p>
      <w:pPr>
        <w:spacing w:after="0" w:line="216" w:lineRule="exact"/>
        <w:rPr>
          <w:sz w:val="20"/>
          <w:szCs w:val="20"/>
          <w:color w:val="auto"/>
        </w:rPr>
      </w:pPr>
    </w:p>
    <w:p>
      <w:pPr>
        <w:ind w:left="1360" w:hanging="457"/>
        <w:spacing w:after="0"/>
        <w:tabs>
          <w:tab w:leader="none" w:pos="136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 or Event of Default;</w:t>
      </w:r>
    </w:p>
    <w:p>
      <w:pPr>
        <w:spacing w:after="0" w:line="215" w:lineRule="exact"/>
        <w:rPr>
          <w:rFonts w:ascii="Times New Roman" w:cs="Times New Roman" w:eastAsia="Times New Roman" w:hAnsi="Times New Roman"/>
          <w:sz w:val="20"/>
          <w:szCs w:val="20"/>
          <w:color w:val="auto"/>
        </w:rPr>
      </w:pPr>
    </w:p>
    <w:p>
      <w:pPr>
        <w:ind w:left="460" w:right="120" w:firstLine="443"/>
        <w:spacing w:after="0" w:line="254" w:lineRule="auto"/>
        <w:tabs>
          <w:tab w:leader="none" w:pos="1327"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 default or event of default under any Contractual Obligation of any Group Member or (ii) litigation, investigation or proceeding that may exist at any time between any Group Member and any Governmental Authority, that in either case, if not cured or if adversely determined, as the case may be, could reasonably be expected to have a Material Adverse Effect;</w:t>
      </w:r>
    </w:p>
    <w:p>
      <w:pPr>
        <w:spacing w:after="0" w:line="174" w:lineRule="exact"/>
        <w:rPr>
          <w:rFonts w:ascii="Times New Roman" w:cs="Times New Roman" w:eastAsia="Times New Roman" w:hAnsi="Times New Roman"/>
          <w:sz w:val="20"/>
          <w:szCs w:val="20"/>
          <w:color w:val="auto"/>
        </w:rPr>
      </w:pPr>
    </w:p>
    <w:p>
      <w:pPr>
        <w:ind w:left="460" w:firstLine="443"/>
        <w:spacing w:after="0" w:line="254" w:lineRule="auto"/>
        <w:tabs>
          <w:tab w:leader="none" w:pos="1365"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litigation or proceeding affecting any Group Member (i) in which the amount involved is $5,000,000 or more and not covered by insurance, (ii) in which injunctive or similar relief is sought which, if granted, could reasonably be expected to have a Material Adverse Effect or (iii) which relates to any Loan Document;</w:t>
      </w:r>
    </w:p>
    <w:p>
      <w:pPr>
        <w:spacing w:after="0" w:line="174" w:lineRule="exact"/>
        <w:rPr>
          <w:rFonts w:ascii="Times New Roman" w:cs="Times New Roman" w:eastAsia="Times New Roman" w:hAnsi="Times New Roman"/>
          <w:sz w:val="20"/>
          <w:szCs w:val="20"/>
          <w:color w:val="auto"/>
        </w:rPr>
      </w:pPr>
    </w:p>
    <w:p>
      <w:pPr>
        <w:ind w:left="460" w:right="520" w:firstLine="443"/>
        <w:spacing w:after="0" w:line="249" w:lineRule="auto"/>
        <w:tabs>
          <w:tab w:leader="none" w:pos="137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ERISA Event or Foreign Plan Event that, alone or together with any other ERISA Event(s) and/or Foreign Plan Event(s) that have occurred, could reasonably be expected to result in liability of any Group Member or any ERISA Affiliate in an aggregate amount exceeding $5,000,000, as soon as possible and in any event within 10 Business Days after MVWC knows or has reason to know thereof; and</w:t>
      </w:r>
    </w:p>
    <w:p>
      <w:pPr>
        <w:spacing w:after="0" w:line="180" w:lineRule="exact"/>
        <w:rPr>
          <w:rFonts w:ascii="Times New Roman" w:cs="Times New Roman" w:eastAsia="Times New Roman" w:hAnsi="Times New Roman"/>
          <w:sz w:val="20"/>
          <w:szCs w:val="20"/>
          <w:color w:val="auto"/>
        </w:rPr>
      </w:pPr>
    </w:p>
    <w:p>
      <w:pPr>
        <w:ind w:left="1360" w:hanging="457"/>
        <w:spacing w:after="0"/>
        <w:tabs>
          <w:tab w:leader="none" w:pos="136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event that has had or could reasonably be expected to have a Material Adverse Effect.</w:t>
      </w:r>
    </w:p>
    <w:p>
      <w:pPr>
        <w:spacing w:after="0" w:line="216"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Each notice pursuant to this Section 6.8 shall be accompanied by a statement of a Responsible Officer setting forth details of the occurrence referred to therein and stating what action the relevant Group Member proposes to take with respect thereto.</w:t>
      </w:r>
    </w:p>
    <w:p>
      <w:pPr>
        <w:spacing w:after="0" w:line="160" w:lineRule="exact"/>
        <w:rPr>
          <w:sz w:val="20"/>
          <w:szCs w:val="20"/>
          <w:color w:val="auto"/>
        </w:rPr>
      </w:pPr>
    </w:p>
    <w:p>
      <w:pPr>
        <w:ind w:right="80" w:firstLine="913"/>
        <w:spacing w:after="0" w:line="266" w:lineRule="auto"/>
        <w:rPr>
          <w:sz w:val="20"/>
          <w:szCs w:val="20"/>
          <w:color w:val="auto"/>
        </w:rPr>
      </w:pPr>
      <w:r>
        <w:rPr>
          <w:rFonts w:ascii="Times New Roman" w:cs="Times New Roman" w:eastAsia="Times New Roman" w:hAnsi="Times New Roman"/>
          <w:sz w:val="19"/>
          <w:szCs w:val="19"/>
          <w:color w:val="auto"/>
        </w:rPr>
        <w:t xml:space="preserve">6.9 </w:t>
      </w:r>
      <w:r>
        <w:rPr>
          <w:rFonts w:ascii="Times New Roman" w:cs="Times New Roman" w:eastAsia="Times New Roman" w:hAnsi="Times New Roman"/>
          <w:sz w:val="19"/>
          <w:szCs w:val="19"/>
          <w:u w:val="single" w:color="auto"/>
          <w:color w:val="auto"/>
        </w:rPr>
        <w:t>Environmental Laws</w:t>
      </w:r>
      <w:r>
        <w:rPr>
          <w:rFonts w:ascii="Times New Roman" w:cs="Times New Roman" w:eastAsia="Times New Roman" w:hAnsi="Times New Roman"/>
          <w:sz w:val="19"/>
          <w:szCs w:val="19"/>
          <w:color w:val="auto"/>
        </w:rPr>
        <w:t>. (a) Comply in all material respects with, and use reasonable commercial efforts to ensure compliance in all material respects by all tenants and subtenants, if any, with, all applicable Environmental Laws, and obtain and comply in all material respects with and maintain, and use reasonable commercial efforts to ensure that all tenants and subtenants obtain and comply in all material respects with and maintain, any and all licenses, approvals, notifications, registrations or permits required by applicable Environmental Laws.</w:t>
      </w:r>
    </w:p>
    <w:p>
      <w:pPr>
        <w:spacing w:after="0" w:line="166" w:lineRule="exact"/>
        <w:rPr>
          <w:sz w:val="20"/>
          <w:szCs w:val="20"/>
          <w:color w:val="auto"/>
        </w:rPr>
      </w:pPr>
    </w:p>
    <w:p>
      <w:pPr>
        <w:jc w:val="both"/>
        <w:ind w:right="180" w:firstLine="921"/>
        <w:spacing w:after="0" w:line="254" w:lineRule="auto"/>
        <w:tabs>
          <w:tab w:leader="none" w:pos="1391"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and complete all investigations, studies, sampling and testing, and all remedial, removal and other actions required under Environmental Laws and promptly comply in all material respects with all lawful orders and directives of all Governmental Authorities regarding Environmental Laws.</w:t>
      </w:r>
    </w:p>
    <w:p>
      <w:pPr>
        <w:sectPr>
          <w:pgSz w:w="11900" w:h="16838" w:orient="portrait"/>
          <w:cols w:equalWidth="0" w:num="1">
            <w:col w:w="11420"/>
          </w:cols>
          <w:pgMar w:left="240" w:top="409" w:right="2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77</w:t>
      </w:r>
    </w:p>
    <w:p>
      <w:pPr>
        <w:spacing w:after="0" w:line="238" w:lineRule="exact"/>
        <w:rPr>
          <w:sz w:val="20"/>
          <w:szCs w:val="20"/>
          <w:color w:val="auto"/>
        </w:rPr>
      </w:pPr>
    </w:p>
    <w:p>
      <w:pPr>
        <w:ind w:left="1040"/>
        <w:spacing w:after="0"/>
        <w:tabs>
          <w:tab w:leader="none" w:pos="1560" w:val="left"/>
        </w:tabs>
        <w:rPr>
          <w:sz w:val="20"/>
          <w:szCs w:val="20"/>
          <w:color w:val="auto"/>
        </w:rPr>
      </w:pPr>
      <w:r>
        <w:rPr>
          <w:rFonts w:ascii="Times New Roman" w:cs="Times New Roman" w:eastAsia="Times New Roman" w:hAnsi="Times New Roman"/>
          <w:sz w:val="20"/>
          <w:szCs w:val="20"/>
          <w:color w:val="auto"/>
        </w:rPr>
        <w:t>6.10</w:t>
      </w:r>
      <w:r>
        <w:rPr>
          <w:sz w:val="20"/>
          <w:szCs w:val="20"/>
          <w:color w:val="auto"/>
        </w:rPr>
        <w:tab/>
      </w:r>
      <w:r>
        <w:rPr>
          <w:rFonts w:ascii="Times New Roman" w:cs="Times New Roman" w:eastAsia="Times New Roman" w:hAnsi="Times New Roman"/>
          <w:sz w:val="19"/>
          <w:szCs w:val="19"/>
          <w:u w:val="single" w:color="auto"/>
          <w:color w:val="auto"/>
        </w:rPr>
        <w:t>Additional Collateral, etc</w:t>
      </w:r>
      <w:r>
        <w:rPr>
          <w:rFonts w:ascii="Times New Roman" w:cs="Times New Roman" w:eastAsia="Times New Roman" w:hAnsi="Times New Roman"/>
          <w:sz w:val="19"/>
          <w:szCs w:val="19"/>
          <w:color w:val="auto"/>
        </w:rPr>
        <w:t>. (a) With respect to any property acquired after the Closing Date by any Loan Party (other than</w:t>
      </w:r>
    </w:p>
    <w:p>
      <w:pPr>
        <w:spacing w:after="0" w:line="22" w:lineRule="exact"/>
        <w:rPr>
          <w:sz w:val="20"/>
          <w:szCs w:val="20"/>
          <w:color w:val="auto"/>
        </w:rPr>
      </w:pPr>
    </w:p>
    <w:p>
      <w:pPr>
        <w:ind w:right="140" w:firstLine="8"/>
        <w:spacing w:after="0" w:line="252" w:lineRule="auto"/>
        <w:tabs>
          <w:tab w:leader="none" w:pos="324"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property described in Sections 6.10(c) or (d), (x) any property subject to a Lien expressly permitted by Section 7.4(g), (y) property acquired by any Excluded Foreign Subsidiary or any Special Purpose Subsidiary or (z) any Excluded Property) as to which the Administrative Agent, for the benefit of the Lenders, does not have a perfected Lien, the applicable Loan Party shall promptly (i) execute and deliver to the Administrative Agent such amendments to the Guarantee and Collateral Agreement or such other documents as the Administrative Agent deems necessary or advisable to grant to the Administrative Agent, for the benefit of the Lenders, a security interest in such property and</w:t>
      </w:r>
    </w:p>
    <w:p>
      <w:pPr>
        <w:ind w:right="40" w:firstLine="8"/>
        <w:spacing w:after="0" w:line="242" w:lineRule="auto"/>
        <w:tabs>
          <w:tab w:leader="none" w:pos="291"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all actions necessary or advisable to grant to the Administrative Agent, for the benefit of the Lenders, a perfected first priority security interest in such property, including the filing of Uniform Commercial Code financing statements in such jurisdictions as may be required by the Guarantee and Collateral Agreement or by law or as may be requested by the Administrative Agent.</w:t>
      </w:r>
    </w:p>
    <w:p>
      <w:pPr>
        <w:spacing w:after="0" w:line="187" w:lineRule="exact"/>
        <w:rPr>
          <w:rFonts w:ascii="Times New Roman" w:cs="Times New Roman" w:eastAsia="Times New Roman" w:hAnsi="Times New Roman"/>
          <w:sz w:val="20"/>
          <w:szCs w:val="20"/>
          <w:color w:val="auto"/>
        </w:rPr>
      </w:pPr>
    </w:p>
    <w:p>
      <w:pPr>
        <w:ind w:left="1460" w:hanging="425"/>
        <w:spacing w:after="0"/>
        <w:tabs>
          <w:tab w:leader="none" w:pos="1460" w:val="left"/>
        </w:tabs>
        <w:numPr>
          <w:ilvl w:val="2"/>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right="160" w:firstLine="1035"/>
        <w:spacing w:after="0" w:line="254" w:lineRule="auto"/>
        <w:tabs>
          <w:tab w:leader="none" w:pos="1441" w:val="left"/>
        </w:tabs>
        <w:numPr>
          <w:ilvl w:val="2"/>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(i) any In-Process Property or (ii) Time Share Interests acquired or converted from In-Process Property after the Closing Date by any Loan Party (other than (x) any such real property subject to a Lien expressly permitted by Section 7.4(g), (y) real property acquired by any Excluded Foreign Subsidiary and (z) Excluded Property):</w:t>
      </w:r>
    </w:p>
    <w:p>
      <w:pPr>
        <w:spacing w:after="0" w:line="174" w:lineRule="exact"/>
        <w:rPr>
          <w:rFonts w:ascii="Times New Roman" w:cs="Times New Roman" w:eastAsia="Times New Roman" w:hAnsi="Times New Roman"/>
          <w:sz w:val="20"/>
          <w:szCs w:val="20"/>
          <w:color w:val="auto"/>
        </w:rPr>
      </w:pPr>
    </w:p>
    <w:p>
      <w:pPr>
        <w:ind w:left="460" w:right="20" w:firstLine="542"/>
        <w:spacing w:after="0" w:line="247" w:lineRule="auto"/>
        <w:tabs>
          <w:tab w:leader="none" w:pos="1431"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In respect of any such Time Share Interests (other than any Direct-from-Consumer Time Share Interests), the applicable Loan Party will, within twelve months of the date in which any In-Process Property becomes Time Share Interests or a Time Share Interest (other than any Direct-from-Consumer Time Share Interest) is acquired, execute and deliver for recording a first priority Mortgage (or a recordable instrument extending and spreading the lien of any existing Mortgage) in favor of the Administrative Agent encumbering such Time Share Interests (other than any Direct-from-Consumer Time Share Interests) owned by any Loan Party.</w:t>
      </w:r>
    </w:p>
    <w:p>
      <w:pPr>
        <w:spacing w:after="0" w:line="180" w:lineRule="exact"/>
        <w:rPr>
          <w:rFonts w:ascii="Times New Roman" w:cs="Times New Roman" w:eastAsia="Times New Roman" w:hAnsi="Times New Roman"/>
          <w:sz w:val="20"/>
          <w:szCs w:val="20"/>
          <w:color w:val="auto"/>
        </w:rPr>
      </w:pPr>
    </w:p>
    <w:p>
      <w:pPr>
        <w:ind w:left="460" w:right="40" w:firstLine="937"/>
        <w:spacing w:after="0" w:line="249" w:lineRule="auto"/>
        <w:tabs>
          <w:tab w:leader="none" w:pos="1855" w:val="left"/>
        </w:tabs>
        <w:numPr>
          <w:ilvl w:val="3"/>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such Mortgage shall be accompanied by delivery of the relevant items set forth in Section 5.1(k) that would have been required to have been provided if such property had been owned by the relevant Loan Party on the Closing Date and any consents or estoppels reasonably deemed necessary or advisable by the Administrative Agent in connection with such Mortgage. Each of the foregoing shall be in form and substance reasonably satisfactory to the Administrative Agent.</w:t>
      </w:r>
    </w:p>
    <w:p>
      <w:pPr>
        <w:spacing w:after="0" w:line="180" w:lineRule="exact"/>
        <w:rPr>
          <w:rFonts w:ascii="Times New Roman" w:cs="Times New Roman" w:eastAsia="Times New Roman" w:hAnsi="Times New Roman"/>
          <w:sz w:val="20"/>
          <w:szCs w:val="20"/>
          <w:color w:val="auto"/>
        </w:rPr>
      </w:pPr>
    </w:p>
    <w:p>
      <w:pPr>
        <w:ind w:left="460" w:right="240" w:firstLine="937"/>
        <w:spacing w:after="0" w:line="254" w:lineRule="auto"/>
        <w:tabs>
          <w:tab w:leader="none" w:pos="1855" w:val="left"/>
        </w:tabs>
        <w:numPr>
          <w:ilvl w:val="3"/>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requested by the Administrative Agent, the Borrower shall also deliver to the Administrative Agent legal opinions relating to the matters described above, which opinions shall be in form and substance, and from counsel, reasonably satisfactory to the Administrative Agent.</w:t>
      </w:r>
    </w:p>
    <w:p>
      <w:pPr>
        <w:spacing w:after="0" w:line="174" w:lineRule="exact"/>
        <w:rPr>
          <w:rFonts w:ascii="Times New Roman" w:cs="Times New Roman" w:eastAsia="Times New Roman" w:hAnsi="Times New Roman"/>
          <w:sz w:val="20"/>
          <w:szCs w:val="20"/>
          <w:color w:val="auto"/>
        </w:rPr>
      </w:pPr>
    </w:p>
    <w:p>
      <w:pPr>
        <w:jc w:val="both"/>
        <w:ind w:left="460" w:right="140" w:firstLine="937"/>
        <w:spacing w:after="0" w:line="254" w:lineRule="auto"/>
        <w:tabs>
          <w:tab w:leader="none" w:pos="1866" w:val="left"/>
        </w:tabs>
        <w:numPr>
          <w:ilvl w:val="3"/>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any Time Share Interests acquired or converted from In-Process Property after the Closing Date by any Loan Party that at any time are not subject to a Mortgage in accordance with this Section 6.10(c) shall be excluded from the definition of Eligible Time Share Interests.</w:t>
      </w:r>
    </w:p>
    <w:p>
      <w:pPr>
        <w:spacing w:after="0" w:line="174" w:lineRule="exact"/>
        <w:rPr>
          <w:rFonts w:ascii="Times New Roman" w:cs="Times New Roman" w:eastAsia="Times New Roman" w:hAnsi="Times New Roman"/>
          <w:sz w:val="20"/>
          <w:szCs w:val="20"/>
          <w:color w:val="auto"/>
        </w:rPr>
      </w:pPr>
    </w:p>
    <w:p>
      <w:pPr>
        <w:ind w:left="460" w:right="240" w:firstLine="542"/>
        <w:spacing w:after="0" w:line="247" w:lineRule="auto"/>
        <w:tabs>
          <w:tab w:leader="none" w:pos="1486"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any In-Process Property that the Borrower elects to include in the Borrowing Base as Eligible In-Process Property, the applicable Loan Party shall (A) execute and deliver a first priority Mortgage, in favor of the Administrative Agent, for the benefit of the Lenders, covering such real property, together with the relevant items set forth in Section 5.1(k) that would have been required to have been provided if such property had been owned by the relevant Loan Party on the Closing Date and any consents or estoppels reasonably deemed</w:t>
      </w:r>
    </w:p>
    <w:p>
      <w:pPr>
        <w:sectPr>
          <w:pgSz w:w="11900" w:h="16838" w:orient="portrait"/>
          <w:cols w:equalWidth="0" w:num="1">
            <w:col w:w="11420"/>
          </w:cols>
          <w:pgMar w:left="240" w:top="410" w:right="2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78</w:t>
      </w:r>
    </w:p>
    <w:p>
      <w:pPr>
        <w:spacing w:after="0" w:line="238" w:lineRule="exact"/>
        <w:rPr>
          <w:sz w:val="20"/>
          <w:szCs w:val="20"/>
          <w:color w:val="auto"/>
        </w:rPr>
      </w:pPr>
    </w:p>
    <w:p>
      <w:pPr>
        <w:ind w:left="460" w:right="20"/>
        <w:spacing w:after="0" w:line="247" w:lineRule="auto"/>
        <w:rPr>
          <w:sz w:val="20"/>
          <w:szCs w:val="20"/>
          <w:color w:val="auto"/>
        </w:rPr>
      </w:pPr>
      <w:r>
        <w:rPr>
          <w:rFonts w:ascii="Times New Roman" w:cs="Times New Roman" w:eastAsia="Times New Roman" w:hAnsi="Times New Roman"/>
          <w:sz w:val="20"/>
          <w:szCs w:val="20"/>
          <w:color w:val="auto"/>
        </w:rPr>
        <w:t>necessary or advisable by the Administrative Agent in connection with such Mortgage, each of the foregoing in form and substance reasonably satisfactory to the Administrative Agent and (B) if requested by the Administrative Agent, deliver to the Administrative Agent legal opinions relating to the matters described above, which opinions shall be in form and substance, and from counsel, reasonably satisfactory to the Administrative Agent. For the avoidance of doubt, any such In-Process Property that at any time is not subject to a Mortgage in accordance with this Section 6.10(c) shall be excluded from the definition of Eligible In-Process Property.</w:t>
      </w:r>
    </w:p>
    <w:p>
      <w:pPr>
        <w:spacing w:after="0" w:line="181" w:lineRule="exact"/>
        <w:rPr>
          <w:sz w:val="20"/>
          <w:szCs w:val="20"/>
          <w:color w:val="auto"/>
        </w:rPr>
      </w:pPr>
    </w:p>
    <w:p>
      <w:pPr>
        <w:ind w:left="460" w:right="20" w:firstLine="443"/>
        <w:spacing w:after="0" w:line="242" w:lineRule="auto"/>
        <w:tabs>
          <w:tab w:leader="none" w:pos="1393"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any Direct-from-Consumer Time Share Interests that the Borrower elects to include in the Borrowing Base as Eligible Time Share Interests, the applicable Loan Party shall (A) execute and deliver a first priority Mortgage, in favor of the Administrative Agent, for the benefit of the Lenders, covering such real property, together with the relevant items set forth in Section 5.1(k) that would have been required to have been provided if such property had been owned by the relevant Loan Party on the Closing Date and any consents or estoppels reasonably deemed necessary or advisable by the Administrative Agent in connection with such Mortgage, each of the foregoing in form and substance reasonably satisfactory to the Administrative Agent and (B) if requested by the Administrative Agent, deliver to the Administrative Agent legal opinions relating to the matters described above, which opinions shall be in form and substance, and from counsel, reasonably satisfactory to the Administrative Agent. For the avoidance of doubt, any such Direct-from-Consumer Time Share Interest that at any time is not subject to a Mortgage in accordance with this Section 6.10(c) shall be excluded from the definition of Eligible Time Share Interests.</w:t>
      </w:r>
    </w:p>
    <w:p>
      <w:pPr>
        <w:spacing w:after="0" w:line="193" w:lineRule="exact"/>
        <w:rPr>
          <w:sz w:val="20"/>
          <w:szCs w:val="20"/>
          <w:color w:val="auto"/>
        </w:rPr>
      </w:pPr>
    </w:p>
    <w:p>
      <w:pPr>
        <w:ind w:right="40" w:firstLine="921"/>
        <w:spacing w:after="0" w:line="254" w:lineRule="auto"/>
        <w:tabs>
          <w:tab w:leader="none" w:pos="1338"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Subsidiary (other than an Excluded Foreign Subsidiary and a Special Purpose Subsidiary) created or acquired after the Closing Date by any Loan Party (which, for the purposes of this paragraph (d), shall include any existing Subsidiary that ceases to be an Excluded Foreign Subsidiary or a Special Purpose Subsidiary), the applicable Loan Party shall promptly (i) execute and deliver to the Administrative Agent such amendments to the Guarantee and Collateral Agreement as the Administrative Agent deems necessary or advisable to grant to the Administrative Agent, for the benefit of the Lenders, a perfected first priority security interest in the Capital Stock of such new Subsidiary that is owned by any Loan Party, (ii) deliver to the Administrative Agent the certificates representing such Capital Stock, together with undated stock powers, in blank, executed and delivered by a duly authorized officer of the relevant Loan Party, (iii) cause such new Subsidiary (A) to become a party to the Guarantee and Collateral Agreement, (B) to take such actions necessary or advisable to grant to the Administrative Agent for the benefit of the Lenders a perfected first priority security interest in the Collateral described in the Guarantee and Collateral Agreement with respect to such new Subsidiary, including the filing of Uniform Commercial Code financing statements in such jurisdictions as may be required by the Guarantee and Collateral Agreement or by law or as may be requested by the Administrative Agent and,</w:t>
      </w:r>
    </w:p>
    <w:p>
      <w:pPr>
        <w:spacing w:after="0" w:line="4" w:lineRule="exact"/>
        <w:rPr>
          <w:rFonts w:ascii="Times New Roman" w:cs="Times New Roman" w:eastAsia="Times New Roman" w:hAnsi="Times New Roman"/>
          <w:sz w:val="19"/>
          <w:szCs w:val="19"/>
          <w:color w:val="auto"/>
        </w:rPr>
      </w:pPr>
    </w:p>
    <w:p>
      <w:pPr>
        <w:ind w:right="100" w:firstLine="8"/>
        <w:spacing w:after="0" w:line="241" w:lineRule="auto"/>
        <w:tabs>
          <w:tab w:leader="none" w:pos="313"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Subsidiary owns any real property of the type in which mortgages are required by Section 6.10(c), cause such Subsidiary to comply with such Sections and (D) to deliver to the Administrative Agent a certificate of such Subsidiary, substantially in the form of Exhibit C, with appropriate insertions and attachments, and (iv) if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187" w:lineRule="exact"/>
        <w:rPr>
          <w:rFonts w:ascii="Times New Roman" w:cs="Times New Roman" w:eastAsia="Times New Roman" w:hAnsi="Times New Roman"/>
          <w:sz w:val="20"/>
          <w:szCs w:val="20"/>
          <w:color w:val="auto"/>
        </w:rPr>
      </w:pPr>
    </w:p>
    <w:p>
      <w:pPr>
        <w:ind w:right="20" w:firstLine="921"/>
        <w:spacing w:after="0" w:line="247" w:lineRule="auto"/>
        <w:tabs>
          <w:tab w:leader="none" w:pos="1327"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new Excluded Foreign Subsidiary or Special Purpose Subsidiary created or acquired after the Closing Date by any Loan Party, the applicable Loan Party shall promptly (i) execute and deliver to the Administrative Agent such amendments to the Guarantee and Collateral Agreement as the Administrative Agent deems necessary or advisable to grant to the Administrative Agent, for the benefit of the Lenders, a perfected first priority security interest in the Capital Stock of such new Subsidiary that is owned by any such Loan Party (provided that in no event</w:t>
      </w:r>
    </w:p>
    <w:p>
      <w:pPr>
        <w:sectPr>
          <w:pgSz w:w="11900" w:h="16838" w:orient="portrait"/>
          <w:cols w:equalWidth="0" w:num="1">
            <w:col w:w="11420"/>
          </w:cols>
          <w:pgMar w:left="240" w:top="409" w:right="2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79</w:t>
      </w:r>
    </w:p>
    <w:p>
      <w:pPr>
        <w:spacing w:after="0" w:line="23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shall more than 66-2/3% of the total outstanding voting Capital Stock of any such new Excluded Foreign Subsidiary be required to be so pledged), (ii) deliver to the Administrative Agent the certificates representing such Capital Stock, together with undated stock powers, in blank, executed and delivered by a duly authorized officer of the relevant Loan Party, and take such other action as may be necessary or, in the opinion of the Administrative Agent, desirable to perfect the Administrative Agent’s security interest therein, and (iii) if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185" w:lineRule="exact"/>
        <w:rPr>
          <w:sz w:val="20"/>
          <w:szCs w:val="20"/>
          <w:color w:val="auto"/>
        </w:rPr>
      </w:pPr>
    </w:p>
    <w:p>
      <w:pPr>
        <w:ind w:left="1040"/>
        <w:spacing w:after="0"/>
        <w:tabs>
          <w:tab w:leader="none" w:pos="1560" w:val="left"/>
        </w:tabs>
        <w:rPr>
          <w:sz w:val="20"/>
          <w:szCs w:val="20"/>
          <w:color w:val="auto"/>
        </w:rPr>
      </w:pPr>
      <w:r>
        <w:rPr>
          <w:rFonts w:ascii="Times New Roman" w:cs="Times New Roman" w:eastAsia="Times New Roman" w:hAnsi="Times New Roman"/>
          <w:sz w:val="20"/>
          <w:szCs w:val="20"/>
          <w:color w:val="auto"/>
        </w:rPr>
        <w:t>6.11</w:t>
      </w:r>
      <w:r>
        <w:rPr>
          <w:sz w:val="20"/>
          <w:szCs w:val="20"/>
          <w:color w:val="auto"/>
        </w:rPr>
        <w:tab/>
      </w:r>
      <w:r>
        <w:rPr>
          <w:rFonts w:ascii="Times New Roman" w:cs="Times New Roman" w:eastAsia="Times New Roman" w:hAnsi="Times New Roman"/>
          <w:sz w:val="19"/>
          <w:szCs w:val="19"/>
          <w:u w:val="single" w:color="auto"/>
          <w:color w:val="auto"/>
        </w:rPr>
        <w:t>Accounts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40" w:firstLine="1035"/>
        <w:spacing w:after="0" w:line="269" w:lineRule="auto"/>
        <w:tabs>
          <w:tab w:leader="none" w:pos="1544"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the Closing Date, the Borrower shall have (or shall have caused the relevant Loan Party to have) established the following deposit accounts as Collection Accounts:</w:t>
      </w:r>
    </w:p>
    <w:p>
      <w:pPr>
        <w:spacing w:after="0" w:line="159" w:lineRule="exact"/>
        <w:rPr>
          <w:rFonts w:ascii="Times New Roman" w:cs="Times New Roman" w:eastAsia="Times New Roman" w:hAnsi="Times New Roman"/>
          <w:sz w:val="20"/>
          <w:szCs w:val="20"/>
          <w:color w:val="auto"/>
        </w:rPr>
      </w:pPr>
    </w:p>
    <w:p>
      <w:pPr>
        <w:ind w:left="460" w:right="520" w:firstLine="542"/>
        <w:spacing w:after="0" w:line="269" w:lineRule="auto"/>
        <w:tabs>
          <w:tab w:leader="none" w:pos="153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accounts for the purpose of collecting proceeds of the sale of Time Share Interests that are included in the calculation of the Borrowing Base (other than sales of legacy and fractional products from resorts in the U.S. Virgin Islands);</w:t>
      </w:r>
    </w:p>
    <w:p>
      <w:pPr>
        <w:spacing w:after="0" w:line="159" w:lineRule="exact"/>
        <w:rPr>
          <w:rFonts w:ascii="Times New Roman" w:cs="Times New Roman" w:eastAsia="Times New Roman" w:hAnsi="Times New Roman"/>
          <w:sz w:val="20"/>
          <w:szCs w:val="20"/>
          <w:color w:val="auto"/>
        </w:rPr>
      </w:pPr>
    </w:p>
    <w:p>
      <w:pPr>
        <w:ind w:left="1540" w:hanging="538"/>
        <w:spacing w:after="0"/>
        <w:tabs>
          <w:tab w:leader="none" w:pos="154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accounts for the purpose of collecting Management Fees; and</w:t>
      </w:r>
    </w:p>
    <w:p>
      <w:pPr>
        <w:spacing w:after="0" w:line="215" w:lineRule="exact"/>
        <w:rPr>
          <w:rFonts w:ascii="Times New Roman" w:cs="Times New Roman" w:eastAsia="Times New Roman" w:hAnsi="Times New Roman"/>
          <w:sz w:val="20"/>
          <w:szCs w:val="20"/>
          <w:color w:val="auto"/>
        </w:rPr>
      </w:pPr>
    </w:p>
    <w:p>
      <w:pPr>
        <w:ind w:left="460" w:right="160" w:firstLine="542"/>
        <w:spacing w:after="0" w:line="269" w:lineRule="auto"/>
        <w:tabs>
          <w:tab w:leader="none" w:pos="1541"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accounts for the purpose of collecting proceeds of Residual Interests that are included in the calculation of the Borrowing Base.</w:t>
      </w:r>
    </w:p>
    <w:p>
      <w:pPr>
        <w:spacing w:after="0" w:line="159" w:lineRule="exact"/>
        <w:rPr>
          <w:rFonts w:ascii="Times New Roman" w:cs="Times New Roman" w:eastAsia="Times New Roman" w:hAnsi="Times New Roman"/>
          <w:sz w:val="20"/>
          <w:szCs w:val="20"/>
          <w:color w:val="auto"/>
        </w:rPr>
      </w:pPr>
    </w:p>
    <w:p>
      <w:pPr>
        <w:ind w:right="80" w:firstLine="1035"/>
        <w:spacing w:after="0" w:line="245" w:lineRule="auto"/>
        <w:tabs>
          <w:tab w:leader="none" w:pos="1551"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Loan Parties shall cause all (i) proceeds and deposits received from the buyers of Time Share Interests and not subject to rescission that are included in the calculation of the Borrowing Base (other than from buyers of legacy and fractional products from resorts in the U.S. Virgin Islands) to be deposited in the Collection Accounts established for such purpose, (ii) Management Fees to be deposited in the Collection Account established for such purpose and (iii) proceeds of Residual Interests that are included in the calculation of the Borrowing Base to be deposited in the Collection Account established for such purpose. Such deposits shall be made promptly and in any event no later than two Business Days following receipt by any Loan Party or any agent of any Loan Party of such proceeds.</w:t>
      </w:r>
    </w:p>
    <w:p>
      <w:pPr>
        <w:spacing w:after="0" w:line="185" w:lineRule="exact"/>
        <w:rPr>
          <w:rFonts w:ascii="Times New Roman" w:cs="Times New Roman" w:eastAsia="Times New Roman" w:hAnsi="Times New Roman"/>
          <w:sz w:val="20"/>
          <w:szCs w:val="20"/>
          <w:color w:val="auto"/>
        </w:rPr>
      </w:pPr>
    </w:p>
    <w:p>
      <w:pPr>
        <w:ind w:right="140" w:firstLine="1035"/>
        <w:spacing w:after="0" w:line="245" w:lineRule="auto"/>
        <w:tabs>
          <w:tab w:leader="none" w:pos="1544"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relevant Loan Parties further agrees to direct (A) all account debtors in respect of any Management Fees that constitute Collateral to make all payments thereof directly to a lock box associated with a Collection Account established pursuant to Section 6.11(a)(ii); (B) all agents that conduct closings of sales of Time Share Interests to remit net proceeds of such sales received from Time Share Interest buyers upon such closings directly to a Collection Account established pursuant to Section 6.11(a)(i); and (C) any trustee or administrative agent that holds or receives proceeds of Residual Interests included in the calculation of the Borrowing Base to remit all such proceeds directly to a Collection Account established pursuant to Section 6.11(a)(iii).</w:t>
      </w:r>
    </w:p>
    <w:p>
      <w:pPr>
        <w:spacing w:after="0" w:line="185" w:lineRule="exact"/>
        <w:rPr>
          <w:sz w:val="20"/>
          <w:szCs w:val="20"/>
          <w:color w:val="auto"/>
        </w:rPr>
      </w:pPr>
    </w:p>
    <w:p>
      <w:pPr>
        <w:ind w:right="400" w:firstLine="1027"/>
        <w:spacing w:after="0" w:line="269" w:lineRule="auto"/>
        <w:rPr>
          <w:sz w:val="20"/>
          <w:szCs w:val="20"/>
          <w:color w:val="auto"/>
        </w:rPr>
      </w:pPr>
      <w:r>
        <w:rPr>
          <w:rFonts w:ascii="Times New Roman" w:cs="Times New Roman" w:eastAsia="Times New Roman" w:hAnsi="Times New Roman"/>
          <w:sz w:val="20"/>
          <w:szCs w:val="20"/>
          <w:color w:val="auto"/>
        </w:rPr>
        <w:t xml:space="preserve">6.12 </w:t>
      </w:r>
      <w:r>
        <w:rPr>
          <w:rFonts w:ascii="Times New Roman" w:cs="Times New Roman" w:eastAsia="Times New Roman" w:hAnsi="Times New Roman"/>
          <w:sz w:val="20"/>
          <w:szCs w:val="20"/>
          <w:u w:val="single" w:color="auto"/>
          <w:color w:val="auto"/>
        </w:rPr>
        <w:t>Credit Rating</w:t>
      </w:r>
      <w:r>
        <w:rPr>
          <w:rFonts w:ascii="Times New Roman" w:cs="Times New Roman" w:eastAsia="Times New Roman" w:hAnsi="Times New Roman"/>
          <w:sz w:val="20"/>
          <w:szCs w:val="20"/>
          <w:color w:val="auto"/>
        </w:rPr>
        <w:t>. The Borrower shall at all times use its commercially reasonable efforts to cause a public corporate credit rating by S&amp;P to be maintained with respect to MVWC.</w:t>
      </w:r>
    </w:p>
    <w:p>
      <w:pPr>
        <w:spacing w:after="0" w:line="160" w:lineRule="exact"/>
        <w:rPr>
          <w:sz w:val="20"/>
          <w:szCs w:val="20"/>
          <w:color w:val="auto"/>
        </w:rPr>
      </w:pPr>
    </w:p>
    <w:p>
      <w:pPr>
        <w:ind w:right="160" w:firstLine="1027"/>
        <w:spacing w:after="0" w:line="254" w:lineRule="auto"/>
        <w:rPr>
          <w:sz w:val="20"/>
          <w:szCs w:val="20"/>
          <w:color w:val="auto"/>
        </w:rPr>
      </w:pPr>
      <w:r>
        <w:rPr>
          <w:rFonts w:ascii="Times New Roman" w:cs="Times New Roman" w:eastAsia="Times New Roman" w:hAnsi="Times New Roman"/>
          <w:sz w:val="20"/>
          <w:szCs w:val="20"/>
          <w:color w:val="auto"/>
        </w:rPr>
        <w:t xml:space="preserve">6.13 </w:t>
      </w:r>
      <w:r>
        <w:rPr>
          <w:rFonts w:ascii="Times New Roman" w:cs="Times New Roman" w:eastAsia="Times New Roman" w:hAnsi="Times New Roman"/>
          <w:sz w:val="20"/>
          <w:szCs w:val="20"/>
          <w:u w:val="single" w:color="auto"/>
          <w:color w:val="auto"/>
        </w:rPr>
        <w:t>Compliance with Anti-Corruption Laws and Sanctions</w:t>
      </w:r>
      <w:r>
        <w:rPr>
          <w:rFonts w:ascii="Times New Roman" w:cs="Times New Roman" w:eastAsia="Times New Roman" w:hAnsi="Times New Roman"/>
          <w:sz w:val="20"/>
          <w:szCs w:val="20"/>
          <w:color w:val="auto"/>
        </w:rPr>
        <w:t>. Each Loan Party, for itself or through its parent or other Affiliates, will maintain in effect and enforce policies and procedures designed to ensure compliance by such Loan Party, its Subsidiaries and their respective directors, officers, employees and agents with Anti-Corruption Laws and applicable Sanctions.</w:t>
      </w:r>
    </w:p>
    <w:p>
      <w:pPr>
        <w:sectPr>
          <w:pgSz w:w="11900" w:h="16838" w:orient="portrait"/>
          <w:cols w:equalWidth="0" w:num="1">
            <w:col w:w="11420"/>
          </w:cols>
          <w:pgMar w:left="240" w:top="409" w:right="2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80</w:t>
      </w:r>
    </w:p>
    <w:p>
      <w:pPr>
        <w:spacing w:after="0" w:line="238"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20"/>
          <w:szCs w:val="20"/>
          <w:color w:val="auto"/>
        </w:rPr>
        <w:t>SECTION 7.</w:t>
      </w:r>
      <w:r>
        <w:rPr>
          <w:sz w:val="20"/>
          <w:szCs w:val="20"/>
          <w:color w:val="auto"/>
        </w:rPr>
        <w:tab/>
      </w:r>
      <w:r>
        <w:rPr>
          <w:rFonts w:ascii="Times New Roman" w:cs="Times New Roman" w:eastAsia="Times New Roman" w:hAnsi="Times New Roman"/>
          <w:sz w:val="19"/>
          <w:szCs w:val="19"/>
          <w:color w:val="auto"/>
        </w:rPr>
        <w:t>NEGATIVE COVENANTS</w:t>
      </w:r>
    </w:p>
    <w:p>
      <w:pPr>
        <w:spacing w:after="0" w:line="216" w:lineRule="exact"/>
        <w:rPr>
          <w:sz w:val="20"/>
          <w:szCs w:val="20"/>
          <w:color w:val="auto"/>
        </w:rPr>
      </w:pPr>
    </w:p>
    <w:p>
      <w:pPr>
        <w:jc w:val="both"/>
        <w:ind w:right="280" w:firstLine="913"/>
        <w:spacing w:after="0" w:line="254" w:lineRule="auto"/>
        <w:rPr>
          <w:sz w:val="20"/>
          <w:szCs w:val="20"/>
          <w:color w:val="auto"/>
        </w:rPr>
      </w:pPr>
      <w:r>
        <w:rPr>
          <w:rFonts w:ascii="Times New Roman" w:cs="Times New Roman" w:eastAsia="Times New Roman" w:hAnsi="Times New Roman"/>
          <w:sz w:val="20"/>
          <w:szCs w:val="20"/>
          <w:color w:val="auto"/>
        </w:rPr>
        <w:t>Each of MVWC and the Borrower hereby agrees that, so long as the Commitments remain in effect, any Letter of Credit remains outstanding or any Loan or other amount is owing to any Lender or the Administrative Agent hereunder, each of MVWC and the Borrower shall not, and shall not permit any of its Subsidiaries to, directly or indirectly:</w:t>
      </w:r>
    </w:p>
    <w:p>
      <w:pPr>
        <w:spacing w:after="0" w:line="175" w:lineRule="exact"/>
        <w:rPr>
          <w:sz w:val="20"/>
          <w:szCs w:val="20"/>
          <w:color w:val="auto"/>
        </w:rPr>
      </w:pPr>
    </w:p>
    <w:p>
      <w:pPr>
        <w:ind w:left="920"/>
        <w:spacing w:after="0"/>
        <w:tabs>
          <w:tab w:leader="none" w:pos="134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u w:val="single" w:color="auto"/>
          <w:color w:val="auto"/>
        </w:rPr>
        <w:t>Financial Condition Covenants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780" w:firstLine="921"/>
        <w:spacing w:after="0" w:line="269" w:lineRule="auto"/>
        <w:tabs>
          <w:tab w:leader="none" w:pos="1331"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Leverage Ratio.</w:t>
      </w:r>
      <w:r>
        <w:rPr>
          <w:rFonts w:ascii="Times New Roman" w:cs="Times New Roman" w:eastAsia="Times New Roman" w:hAnsi="Times New Roman"/>
          <w:sz w:val="20"/>
          <w:szCs w:val="20"/>
          <w:color w:val="auto"/>
        </w:rPr>
        <w:t xml:space="preserve"> Permit the ratio of Consolidated Total Debt to Consolidated Adjusted EBITDA for the Reference Period set forth below to exceed the ratio set forth below opposite such Reference Period:</w:t>
      </w:r>
    </w:p>
    <w:p>
      <w:pPr>
        <w:spacing w:after="0" w:line="190" w:lineRule="exact"/>
        <w:rPr>
          <w:sz w:val="20"/>
          <w:szCs w:val="20"/>
          <w:color w:val="auto"/>
        </w:rPr>
      </w:pPr>
    </w:p>
    <w:tbl>
      <w:tblPr>
        <w:tblLayout w:type="fixed"/>
        <w:tblInd w:w="1730" w:type="dxa"/>
        <w:tblCellMar>
          <w:top w:w="0" w:type="dxa"/>
          <w:left w:w="0" w:type="dxa"/>
          <w:bottom w:w="0" w:type="dxa"/>
          <w:right w:w="0" w:type="dxa"/>
        </w:tblCellMar>
      </w:tblPr>
      <w:tr>
        <w:trPr>
          <w:trHeight w:val="211"/>
        </w:trPr>
        <w:tc>
          <w:tcPr>
            <w:tcW w:w="4060" w:type="dxa"/>
            <w:vAlign w:val="bottom"/>
            <w:tcBorders>
              <w:top w:val="single" w:sz="8" w:color="auto"/>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FISCAL QUARTER(S) ENDING</w:t>
            </w:r>
          </w:p>
        </w:tc>
        <w:tc>
          <w:tcPr>
            <w:tcW w:w="3940" w:type="dxa"/>
            <w:vAlign w:val="bottom"/>
            <w:tcBorders>
              <w:top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CONSOLIDATED LEVERAGE</w:t>
            </w:r>
          </w:p>
        </w:tc>
      </w:tr>
      <w:tr>
        <w:trPr>
          <w:trHeight w:val="241"/>
        </w:trPr>
        <w:tc>
          <w:tcPr>
            <w:tcW w:w="4060" w:type="dxa"/>
            <w:vAlign w:val="bottom"/>
            <w:tcBorders>
              <w:left w:val="single" w:sz="8" w:color="auto"/>
              <w:bottom w:val="single" w:sz="8" w:color="auto"/>
              <w:right w:val="single" w:sz="8" w:color="auto"/>
            </w:tcBorders>
          </w:tcPr>
          <w:p>
            <w:pPr>
              <w:spacing w:after="0"/>
              <w:rPr>
                <w:sz w:val="20"/>
                <w:szCs w:val="20"/>
                <w:color w:val="auto"/>
              </w:rPr>
            </w:pPr>
          </w:p>
        </w:tc>
        <w:tc>
          <w:tcPr>
            <w:tcW w:w="394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RATIO</w:t>
            </w:r>
          </w:p>
        </w:tc>
      </w:tr>
      <w:tr>
        <w:trPr>
          <w:trHeight w:val="198"/>
        </w:trPr>
        <w:tc>
          <w:tcPr>
            <w:tcW w:w="4060" w:type="dxa"/>
            <w:vAlign w:val="bottom"/>
            <w:tcBorders>
              <w:left w:val="single" w:sz="8" w:color="auto"/>
              <w:right w:val="single" w:sz="8" w:color="auto"/>
            </w:tcBorders>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rPr>
              <w:t>Closing Date through last day of</w:t>
            </w:r>
          </w:p>
        </w:tc>
        <w:tc>
          <w:tcPr>
            <w:tcW w:w="3940" w:type="dxa"/>
            <w:vAlign w:val="bottom"/>
            <w:tcBorders>
              <w:right w:val="single" w:sz="8" w:color="auto"/>
            </w:tcBorders>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8"/>
              </w:rPr>
              <w:t>6.00:1.0</w:t>
            </w:r>
          </w:p>
        </w:tc>
      </w:tr>
      <w:tr>
        <w:trPr>
          <w:trHeight w:val="241"/>
        </w:trPr>
        <w:tc>
          <w:tcPr>
            <w:tcW w:w="40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2012 Fiscal Year</w:t>
            </w:r>
          </w:p>
        </w:tc>
        <w:tc>
          <w:tcPr>
            <w:tcW w:w="3940" w:type="dxa"/>
            <w:vAlign w:val="bottom"/>
            <w:tcBorders>
              <w:bottom w:val="single" w:sz="8" w:color="auto"/>
              <w:right w:val="single" w:sz="8" w:color="auto"/>
            </w:tcBorders>
          </w:tcPr>
          <w:p>
            <w:pPr>
              <w:spacing w:after="0"/>
              <w:rPr>
                <w:sz w:val="20"/>
                <w:szCs w:val="20"/>
                <w:color w:val="auto"/>
              </w:rPr>
            </w:pPr>
          </w:p>
        </w:tc>
      </w:tr>
      <w:tr>
        <w:trPr>
          <w:trHeight w:val="198"/>
        </w:trPr>
        <w:tc>
          <w:tcPr>
            <w:tcW w:w="4060" w:type="dxa"/>
            <w:vAlign w:val="bottom"/>
            <w:tcBorders>
              <w:left w:val="single" w:sz="8" w:color="auto"/>
              <w:right w:val="single" w:sz="8" w:color="auto"/>
            </w:tcBorders>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rPr>
              <w:t>Last day of first 2013 Fiscal</w:t>
            </w:r>
          </w:p>
        </w:tc>
        <w:tc>
          <w:tcPr>
            <w:tcW w:w="3940" w:type="dxa"/>
            <w:vAlign w:val="bottom"/>
            <w:tcBorders>
              <w:right w:val="single" w:sz="8" w:color="auto"/>
            </w:tcBorders>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8"/>
              </w:rPr>
              <w:t>6.00:1.0</w:t>
            </w:r>
          </w:p>
        </w:tc>
      </w:tr>
      <w:tr>
        <w:trPr>
          <w:trHeight w:val="241"/>
        </w:trPr>
        <w:tc>
          <w:tcPr>
            <w:tcW w:w="40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Quarter</w:t>
            </w:r>
          </w:p>
        </w:tc>
        <w:tc>
          <w:tcPr>
            <w:tcW w:w="3940" w:type="dxa"/>
            <w:vAlign w:val="bottom"/>
            <w:tcBorders>
              <w:bottom w:val="single" w:sz="8" w:color="auto"/>
              <w:right w:val="single" w:sz="8" w:color="auto"/>
            </w:tcBorders>
          </w:tcPr>
          <w:p>
            <w:pPr>
              <w:spacing w:after="0"/>
              <w:rPr>
                <w:sz w:val="20"/>
                <w:szCs w:val="20"/>
                <w:color w:val="auto"/>
              </w:rPr>
            </w:pPr>
          </w:p>
        </w:tc>
      </w:tr>
      <w:tr>
        <w:trPr>
          <w:trHeight w:val="198"/>
        </w:trPr>
        <w:tc>
          <w:tcPr>
            <w:tcW w:w="4060" w:type="dxa"/>
            <w:vAlign w:val="bottom"/>
            <w:tcBorders>
              <w:left w:val="single" w:sz="8" w:color="auto"/>
              <w:right w:val="single" w:sz="8" w:color="auto"/>
            </w:tcBorders>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rPr>
              <w:t>Last day of second 2013 Fiscal</w:t>
            </w:r>
          </w:p>
        </w:tc>
        <w:tc>
          <w:tcPr>
            <w:tcW w:w="3940" w:type="dxa"/>
            <w:vAlign w:val="bottom"/>
            <w:tcBorders>
              <w:right w:val="single" w:sz="8" w:color="auto"/>
            </w:tcBorders>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8"/>
              </w:rPr>
              <w:t>5.75:1.0</w:t>
            </w:r>
          </w:p>
        </w:tc>
      </w:tr>
      <w:tr>
        <w:trPr>
          <w:trHeight w:val="241"/>
        </w:trPr>
        <w:tc>
          <w:tcPr>
            <w:tcW w:w="40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Quarter</w:t>
            </w:r>
          </w:p>
        </w:tc>
        <w:tc>
          <w:tcPr>
            <w:tcW w:w="3940" w:type="dxa"/>
            <w:vAlign w:val="bottom"/>
            <w:tcBorders>
              <w:bottom w:val="single" w:sz="8" w:color="auto"/>
              <w:right w:val="single" w:sz="8" w:color="auto"/>
            </w:tcBorders>
          </w:tcPr>
          <w:p>
            <w:pPr>
              <w:spacing w:after="0"/>
              <w:rPr>
                <w:sz w:val="20"/>
                <w:szCs w:val="20"/>
                <w:color w:val="auto"/>
              </w:rPr>
            </w:pPr>
          </w:p>
        </w:tc>
      </w:tr>
      <w:tr>
        <w:trPr>
          <w:trHeight w:val="198"/>
        </w:trPr>
        <w:tc>
          <w:tcPr>
            <w:tcW w:w="4060" w:type="dxa"/>
            <w:vAlign w:val="bottom"/>
            <w:tcBorders>
              <w:left w:val="single" w:sz="8" w:color="auto"/>
              <w:right w:val="single" w:sz="8" w:color="auto"/>
            </w:tcBorders>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rPr>
              <w:t>Last day of third 2013 Fiscal</w:t>
            </w:r>
          </w:p>
        </w:tc>
        <w:tc>
          <w:tcPr>
            <w:tcW w:w="3940" w:type="dxa"/>
            <w:vAlign w:val="bottom"/>
            <w:tcBorders>
              <w:right w:val="single" w:sz="8" w:color="auto"/>
            </w:tcBorders>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8"/>
              </w:rPr>
              <w:t>5.75:1.0</w:t>
            </w:r>
          </w:p>
        </w:tc>
      </w:tr>
      <w:tr>
        <w:trPr>
          <w:trHeight w:val="241"/>
        </w:trPr>
        <w:tc>
          <w:tcPr>
            <w:tcW w:w="40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Quarter</w:t>
            </w:r>
          </w:p>
        </w:tc>
        <w:tc>
          <w:tcPr>
            <w:tcW w:w="3940" w:type="dxa"/>
            <w:vAlign w:val="bottom"/>
            <w:tcBorders>
              <w:bottom w:val="single" w:sz="8" w:color="auto"/>
              <w:right w:val="single" w:sz="8" w:color="auto"/>
            </w:tcBorders>
          </w:tcPr>
          <w:p>
            <w:pPr>
              <w:spacing w:after="0"/>
              <w:rPr>
                <w:sz w:val="20"/>
                <w:szCs w:val="20"/>
                <w:color w:val="auto"/>
              </w:rPr>
            </w:pPr>
          </w:p>
        </w:tc>
      </w:tr>
      <w:tr>
        <w:trPr>
          <w:trHeight w:val="216"/>
        </w:trPr>
        <w:tc>
          <w:tcPr>
            <w:tcW w:w="40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Last day of 2013 Fiscal Year</w:t>
            </w:r>
          </w:p>
        </w:tc>
        <w:tc>
          <w:tcPr>
            <w:tcW w:w="394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5.75:1.0</w:t>
            </w:r>
          </w:p>
        </w:tc>
      </w:tr>
      <w:tr>
        <w:trPr>
          <w:trHeight w:val="191"/>
        </w:trPr>
        <w:tc>
          <w:tcPr>
            <w:tcW w:w="4060" w:type="dxa"/>
            <w:vAlign w:val="bottom"/>
            <w:tcBorders>
              <w:left w:val="single" w:sz="8" w:color="auto"/>
              <w:right w:val="single" w:sz="8" w:color="auto"/>
            </w:tcBorders>
          </w:tcPr>
          <w:p>
            <w:pPr>
              <w:jc w:val="center"/>
              <w:ind w:left="50"/>
              <w:spacing w:after="0" w:line="191" w:lineRule="exact"/>
              <w:rPr>
                <w:sz w:val="20"/>
                <w:szCs w:val="20"/>
                <w:color w:val="auto"/>
              </w:rPr>
            </w:pPr>
            <w:r>
              <w:rPr>
                <w:rFonts w:ascii="Times New Roman" w:cs="Times New Roman" w:eastAsia="Times New Roman" w:hAnsi="Times New Roman"/>
                <w:sz w:val="18"/>
                <w:szCs w:val="18"/>
                <w:color w:val="auto"/>
              </w:rPr>
              <w:t>Last day of first 2014 Fiscal</w:t>
            </w:r>
          </w:p>
        </w:tc>
        <w:tc>
          <w:tcPr>
            <w:tcW w:w="3940" w:type="dxa"/>
            <w:vAlign w:val="bottom"/>
            <w:tcBorders>
              <w:right w:val="single" w:sz="8" w:color="auto"/>
            </w:tcBorders>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8"/>
              </w:rPr>
              <w:t>5.75:1.0</w:t>
            </w:r>
          </w:p>
        </w:tc>
      </w:tr>
      <w:tr>
        <w:trPr>
          <w:trHeight w:val="241"/>
        </w:trPr>
        <w:tc>
          <w:tcPr>
            <w:tcW w:w="40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Quarter</w:t>
            </w:r>
          </w:p>
        </w:tc>
        <w:tc>
          <w:tcPr>
            <w:tcW w:w="3940" w:type="dxa"/>
            <w:vAlign w:val="bottom"/>
            <w:tcBorders>
              <w:bottom w:val="single" w:sz="8" w:color="auto"/>
              <w:right w:val="single" w:sz="8" w:color="auto"/>
            </w:tcBorders>
          </w:tcPr>
          <w:p>
            <w:pPr>
              <w:spacing w:after="0"/>
              <w:rPr>
                <w:sz w:val="20"/>
                <w:szCs w:val="20"/>
                <w:color w:val="auto"/>
              </w:rPr>
            </w:pPr>
          </w:p>
        </w:tc>
      </w:tr>
      <w:tr>
        <w:trPr>
          <w:trHeight w:val="198"/>
        </w:trPr>
        <w:tc>
          <w:tcPr>
            <w:tcW w:w="4060" w:type="dxa"/>
            <w:vAlign w:val="bottom"/>
            <w:tcBorders>
              <w:left w:val="single" w:sz="8" w:color="auto"/>
              <w:right w:val="single" w:sz="8" w:color="auto"/>
            </w:tcBorders>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9"/>
              </w:rPr>
              <w:t>Last day of each Fiscal Quarter</w:t>
            </w:r>
          </w:p>
        </w:tc>
        <w:tc>
          <w:tcPr>
            <w:tcW w:w="3940" w:type="dxa"/>
            <w:vAlign w:val="bottom"/>
            <w:tcBorders>
              <w:right w:val="single" w:sz="8" w:color="auto"/>
            </w:tcBorders>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8"/>
              </w:rPr>
              <w:t>5.25:1.0</w:t>
            </w:r>
          </w:p>
        </w:tc>
      </w:tr>
      <w:tr>
        <w:trPr>
          <w:trHeight w:val="241"/>
        </w:trPr>
        <w:tc>
          <w:tcPr>
            <w:tcW w:w="40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thereafter</w:t>
            </w:r>
          </w:p>
        </w:tc>
        <w:tc>
          <w:tcPr>
            <w:tcW w:w="3940" w:type="dxa"/>
            <w:vAlign w:val="bottom"/>
            <w:tcBorders>
              <w:bottom w:val="single" w:sz="8" w:color="auto"/>
              <w:right w:val="single" w:sz="8" w:color="auto"/>
            </w:tcBorders>
          </w:tcPr>
          <w:p>
            <w:pPr>
              <w:spacing w:after="0"/>
              <w:rPr>
                <w:sz w:val="20"/>
                <w:szCs w:val="20"/>
                <w:color w:val="auto"/>
              </w:rPr>
            </w:pPr>
          </w:p>
        </w:tc>
      </w:tr>
    </w:tbl>
    <w:p>
      <w:pPr>
        <w:spacing w:after="0" w:line="193" w:lineRule="exact"/>
        <w:rPr>
          <w:sz w:val="20"/>
          <w:szCs w:val="20"/>
          <w:color w:val="auto"/>
        </w:rPr>
      </w:pPr>
    </w:p>
    <w:p>
      <w:pPr>
        <w:ind w:right="280" w:firstLine="921"/>
        <w:spacing w:after="0" w:line="269" w:lineRule="auto"/>
        <w:tabs>
          <w:tab w:leader="none" w:pos="1391"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Permit the Consolidated Interest Coverage Ratio for any Reference Period to be less than the 3.00:1:00.</w:t>
      </w:r>
    </w:p>
    <w:p>
      <w:pPr>
        <w:spacing w:after="0" w:line="159" w:lineRule="exact"/>
        <w:rPr>
          <w:rFonts w:ascii="Times New Roman" w:cs="Times New Roman" w:eastAsia="Times New Roman" w:hAnsi="Times New Roman"/>
          <w:sz w:val="20"/>
          <w:szCs w:val="20"/>
          <w:color w:val="auto"/>
        </w:rPr>
      </w:pPr>
    </w:p>
    <w:p>
      <w:pPr>
        <w:ind w:right="120" w:firstLine="921"/>
        <w:spacing w:after="0" w:line="249" w:lineRule="auto"/>
        <w:tabs>
          <w:tab w:leader="none" w:pos="1331"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Net Worth</w:t>
      </w:r>
      <w:r>
        <w:rPr>
          <w:rFonts w:ascii="Times New Roman" w:cs="Times New Roman" w:eastAsia="Times New Roman" w:hAnsi="Times New Roman"/>
          <w:sz w:val="20"/>
          <w:szCs w:val="20"/>
          <w:color w:val="auto"/>
        </w:rPr>
        <w:t xml:space="preserve">. Permit Consolidated Tangible Net Worth at any time to be less than the sum of (i) the Base Consolidated Tangible Net Worth Amount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in respect of each Fiscal Quarter that has elapsed following the Second Amendment </w:t>
      </w:r>
      <w:r>
        <w:rPr>
          <w:rFonts w:ascii="Times New Roman" w:cs="Times New Roman" w:eastAsia="Times New Roman" w:hAnsi="Times New Roman"/>
          <w:sz w:val="20"/>
          <w:szCs w:val="20"/>
          <w:u w:val="single" w:color="auto"/>
          <w:color w:val="0000FF"/>
        </w:rPr>
        <w:t>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Restatement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Effective Date, 80% of any increase in Consolidated Tangible Net Worth during each such Fiscal Quarter attributable to Net Cash</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Proceeds received by any Group Member in an offering of common equity during such Fiscal Quarter, on a cumulative basis.</w:t>
      </w:r>
    </w:p>
    <w:p>
      <w:pPr>
        <w:spacing w:after="0" w:line="180" w:lineRule="exact"/>
        <w:rPr>
          <w:sz w:val="20"/>
          <w:szCs w:val="20"/>
          <w:color w:val="auto"/>
        </w:rPr>
      </w:pPr>
    </w:p>
    <w:p>
      <w:pPr>
        <w:ind w:left="920"/>
        <w:spacing w:after="0"/>
        <w:tabs>
          <w:tab w:leader="none" w:pos="134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u w:val="single" w:color="auto"/>
          <w:color w:val="auto"/>
        </w:rPr>
        <w:t>Borrowing Base</w:t>
      </w:r>
      <w:r>
        <w:rPr>
          <w:rFonts w:ascii="Times New Roman" w:cs="Times New Roman" w:eastAsia="Times New Roman" w:hAnsi="Times New Roman"/>
          <w:sz w:val="19"/>
          <w:szCs w:val="19"/>
          <w:color w:val="auto"/>
        </w:rPr>
        <w:t>. Permit the Borrowing Base Coverage Ratio to be less than 1.25:1.00.</w:t>
      </w:r>
    </w:p>
    <w:p>
      <w:pPr>
        <w:spacing w:after="0" w:line="216" w:lineRule="exact"/>
        <w:rPr>
          <w:sz w:val="20"/>
          <w:szCs w:val="20"/>
          <w:color w:val="auto"/>
        </w:rPr>
      </w:pPr>
    </w:p>
    <w:p>
      <w:pPr>
        <w:ind w:left="920"/>
        <w:spacing w:after="0"/>
        <w:tabs>
          <w:tab w:leader="none" w:pos="134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Create, issue, incur, assume, become liable in respect of or suffer to exist any Indebtedness, except:</w:t>
      </w:r>
    </w:p>
    <w:p>
      <w:pPr>
        <w:spacing w:after="0" w:line="216" w:lineRule="exact"/>
        <w:rPr>
          <w:sz w:val="20"/>
          <w:szCs w:val="20"/>
          <w:color w:val="auto"/>
        </w:rPr>
      </w:pPr>
    </w:p>
    <w:p>
      <w:pPr>
        <w:ind w:left="1320" w:hanging="417"/>
        <w:spacing w:after="0"/>
        <w:tabs>
          <w:tab w:leader="none" w:pos="132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Loan Party pursuant to any Loan Document;</w:t>
      </w:r>
    </w:p>
    <w:p>
      <w:pPr>
        <w:sectPr>
          <w:pgSz w:w="11900" w:h="16838" w:orient="portrait"/>
          <w:cols w:equalWidth="0" w:num="1">
            <w:col w:w="11420"/>
          </w:cols>
          <w:pgMar w:left="240" w:top="409" w:right="2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81</w:t>
      </w:r>
    </w:p>
    <w:p>
      <w:pPr>
        <w:spacing w:after="0" w:line="238" w:lineRule="exact"/>
        <w:rPr>
          <w:sz w:val="20"/>
          <w:szCs w:val="20"/>
          <w:color w:val="auto"/>
        </w:rPr>
      </w:pPr>
    </w:p>
    <w:p>
      <w:pPr>
        <w:ind w:right="180" w:firstLine="443"/>
        <w:spacing w:after="0" w:line="269" w:lineRule="auto"/>
        <w:tabs>
          <w:tab w:leader="none" w:pos="867"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MVWC or of the Borrower to any Subsidiary and of any Wholly Owned Subsidiary Guarantor to MVWC or to the Borrower or any other Subsidiary;</w:t>
      </w:r>
    </w:p>
    <w:p>
      <w:pPr>
        <w:spacing w:after="0" w:line="159" w:lineRule="exact"/>
        <w:rPr>
          <w:rFonts w:ascii="Times New Roman" w:cs="Times New Roman" w:eastAsia="Times New Roman" w:hAnsi="Times New Roman"/>
          <w:sz w:val="20"/>
          <w:szCs w:val="20"/>
          <w:color w:val="auto"/>
        </w:rPr>
      </w:pPr>
    </w:p>
    <w:p>
      <w:pPr>
        <w:ind w:right="620" w:firstLine="443"/>
        <w:spacing w:after="0" w:line="269" w:lineRule="auto"/>
        <w:tabs>
          <w:tab w:leader="none" w:pos="85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 Obligations incurred in the ordinary course of business by MVWC or the Borrower or any of their respective Subsidiaries of obligations of any Wholly Owned Subsidiary Guarantor;</w:t>
      </w:r>
    </w:p>
    <w:p>
      <w:pPr>
        <w:spacing w:after="0" w:line="159" w:lineRule="exact"/>
        <w:rPr>
          <w:rFonts w:ascii="Times New Roman" w:cs="Times New Roman" w:eastAsia="Times New Roman" w:hAnsi="Times New Roman"/>
          <w:sz w:val="20"/>
          <w:szCs w:val="20"/>
          <w:color w:val="auto"/>
        </w:rPr>
      </w:pPr>
    </w:p>
    <w:p>
      <w:pPr>
        <w:ind w:right="320" w:firstLine="443"/>
        <w:spacing w:after="0" w:line="269" w:lineRule="auto"/>
        <w:tabs>
          <w:tab w:leader="none" w:pos="867"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outstanding on the Effective Date and listed on </w:t>
      </w:r>
      <w:r>
        <w:rPr>
          <w:rFonts w:ascii="Times New Roman" w:cs="Times New Roman" w:eastAsia="Times New Roman" w:hAnsi="Times New Roman"/>
          <w:sz w:val="20"/>
          <w:szCs w:val="20"/>
          <w:u w:val="single" w:color="auto"/>
          <w:color w:val="auto"/>
        </w:rPr>
        <w:t>Schedule 7.3(d)</w:t>
      </w:r>
      <w:r>
        <w:rPr>
          <w:rFonts w:ascii="Times New Roman" w:cs="Times New Roman" w:eastAsia="Times New Roman" w:hAnsi="Times New Roman"/>
          <w:sz w:val="20"/>
          <w:szCs w:val="20"/>
          <w:color w:val="auto"/>
        </w:rPr>
        <w:t xml:space="preserve"> and any refinancings, refundings, renewals or extensions thereof (without increasing, or shortening the maturity of, the principal amount thereof);</w:t>
      </w:r>
    </w:p>
    <w:p>
      <w:pPr>
        <w:spacing w:after="0" w:line="159" w:lineRule="exact"/>
        <w:rPr>
          <w:rFonts w:ascii="Times New Roman" w:cs="Times New Roman" w:eastAsia="Times New Roman" w:hAnsi="Times New Roman"/>
          <w:sz w:val="20"/>
          <w:szCs w:val="20"/>
          <w:color w:val="auto"/>
        </w:rPr>
      </w:pPr>
    </w:p>
    <w:p>
      <w:pPr>
        <w:ind w:right="400" w:firstLine="443"/>
        <w:spacing w:after="0" w:line="269" w:lineRule="auto"/>
        <w:tabs>
          <w:tab w:leader="none" w:pos="85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(including, without limitation, Capital Lease Obligations) secured by Liens permitted by Section 7.4(g) in an aggregate principal amount not to exceed $12,000,000 at any one time outstanding;</w:t>
      </w:r>
    </w:p>
    <w:p>
      <w:pPr>
        <w:spacing w:after="0" w:line="159" w:lineRule="exact"/>
        <w:rPr>
          <w:rFonts w:ascii="Times New Roman" w:cs="Times New Roman" w:eastAsia="Times New Roman" w:hAnsi="Times New Roman"/>
          <w:sz w:val="20"/>
          <w:szCs w:val="20"/>
          <w:color w:val="auto"/>
        </w:rPr>
      </w:pPr>
    </w:p>
    <w:p>
      <w:pPr>
        <w:ind w:left="840" w:hanging="397"/>
        <w:spacing w:after="0"/>
        <w:tabs>
          <w:tab w:leader="none" w:pos="84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under any Swap Agreements permitted by Section 7.12;</w:t>
      </w:r>
    </w:p>
    <w:p>
      <w:pPr>
        <w:spacing w:after="0" w:line="215" w:lineRule="exact"/>
        <w:rPr>
          <w:rFonts w:ascii="Times New Roman" w:cs="Times New Roman" w:eastAsia="Times New Roman" w:hAnsi="Times New Roman"/>
          <w:sz w:val="20"/>
          <w:szCs w:val="20"/>
          <w:color w:val="auto"/>
        </w:rPr>
      </w:pPr>
    </w:p>
    <w:p>
      <w:pPr>
        <w:ind w:right="200" w:firstLine="443"/>
        <w:spacing w:after="0" w:line="247" w:lineRule="auto"/>
        <w:tabs>
          <w:tab w:leader="none" w:pos="867"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represented by, or in connection with appeal, bid, performance, surety, customs or similar bonds issued for the account of any Group Member, the performance of bids, tenders, sales or contracts (in each case, other than for the repayment of borrowed money), statutory obligations, workers’ compensation claims, unemployment insurance, other types of social security or pension benefits, self-insurance and similar obligations and arrangements, in each case, to the extent incurred in the ordinary course of business;</w:t>
      </w:r>
    </w:p>
    <w:p>
      <w:pPr>
        <w:spacing w:after="0" w:line="180" w:lineRule="exact"/>
        <w:rPr>
          <w:rFonts w:ascii="Times New Roman" w:cs="Times New Roman" w:eastAsia="Times New Roman" w:hAnsi="Times New Roman"/>
          <w:sz w:val="20"/>
          <w:szCs w:val="20"/>
          <w:color w:val="auto"/>
        </w:rPr>
      </w:pPr>
    </w:p>
    <w:p>
      <w:pPr>
        <w:ind w:left="880" w:hanging="437"/>
        <w:spacing w:after="0"/>
        <w:tabs>
          <w:tab w:leader="none" w:pos="88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under, and Guarantee Obligations relating to, the Receivables Warehouse Facility;</w:t>
      </w:r>
    </w:p>
    <w:p>
      <w:pPr>
        <w:spacing w:after="0" w:line="215" w:lineRule="exact"/>
        <w:rPr>
          <w:rFonts w:ascii="Times New Roman" w:cs="Times New Roman" w:eastAsia="Times New Roman" w:hAnsi="Times New Roman"/>
          <w:sz w:val="20"/>
          <w:szCs w:val="20"/>
          <w:color w:val="auto"/>
        </w:rPr>
      </w:pPr>
    </w:p>
    <w:p>
      <w:pPr>
        <w:ind w:left="820" w:hanging="377"/>
        <w:spacing w:after="0"/>
        <w:tabs>
          <w:tab w:leader="none" w:pos="82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Non-Recourse Debt of any Time Share SPV in respect of any Qualified Securitization Transactions;</w:t>
      </w:r>
    </w:p>
    <w:p>
      <w:pPr>
        <w:spacing w:after="0" w:line="215" w:lineRule="exact"/>
        <w:rPr>
          <w:rFonts w:ascii="Times New Roman" w:cs="Times New Roman" w:eastAsia="Times New Roman" w:hAnsi="Times New Roman"/>
          <w:sz w:val="20"/>
          <w:szCs w:val="20"/>
          <w:color w:val="auto"/>
        </w:rPr>
      </w:pPr>
    </w:p>
    <w:p>
      <w:pPr>
        <w:ind w:right="100" w:firstLine="443"/>
        <w:spacing w:after="0" w:line="269" w:lineRule="auto"/>
        <w:tabs>
          <w:tab w:leader="none" w:pos="823"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Foreign Subsidiaries and Indebtedness of Foreign Subsidiaries that is guaranteed by a Loan Party to the extent permitted by Section 7.3(k);</w:t>
      </w:r>
    </w:p>
    <w:p>
      <w:pPr>
        <w:spacing w:after="0" w:line="159" w:lineRule="exact"/>
        <w:rPr>
          <w:rFonts w:ascii="Times New Roman" w:cs="Times New Roman" w:eastAsia="Times New Roman" w:hAnsi="Times New Roman"/>
          <w:sz w:val="20"/>
          <w:szCs w:val="20"/>
          <w:color w:val="auto"/>
        </w:rPr>
      </w:pPr>
    </w:p>
    <w:p>
      <w:pPr>
        <w:ind w:right="220" w:firstLine="443"/>
        <w:spacing w:after="0" w:line="269" w:lineRule="auto"/>
        <w:tabs>
          <w:tab w:leader="none" w:pos="867"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Guarantee Obligations of a Loan Party or any Subsidiary in respect of Indebtedness of a Foreign Subsidiary to the extent permitted by Section 7.9(f);</w:t>
      </w:r>
    </w:p>
    <w:p>
      <w:pPr>
        <w:spacing w:after="0" w:line="159" w:lineRule="exact"/>
        <w:rPr>
          <w:rFonts w:ascii="Times New Roman" w:cs="Times New Roman" w:eastAsia="Times New Roman" w:hAnsi="Times New Roman"/>
          <w:sz w:val="20"/>
          <w:szCs w:val="20"/>
          <w:color w:val="auto"/>
        </w:rPr>
      </w:pPr>
    </w:p>
    <w:p>
      <w:pPr>
        <w:ind w:right="20" w:firstLine="443"/>
        <w:spacing w:after="0" w:line="269" w:lineRule="auto"/>
        <w:tabs>
          <w:tab w:leader="none" w:pos="823"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 newly-acquired Subsidiary that is outstanding on the date such Subsidiary is acquired; provided that any such Indebtedness was not created in contemplation of such acquisition and such acquisition was made in compliance with Section 7.9;</w:t>
      </w:r>
    </w:p>
    <w:p>
      <w:pPr>
        <w:spacing w:after="0" w:line="159" w:lineRule="exact"/>
        <w:rPr>
          <w:rFonts w:ascii="Times New Roman" w:cs="Times New Roman" w:eastAsia="Times New Roman" w:hAnsi="Times New Roman"/>
          <w:sz w:val="20"/>
          <w:szCs w:val="20"/>
          <w:color w:val="auto"/>
        </w:rPr>
      </w:pPr>
    </w:p>
    <w:p>
      <w:pPr>
        <w:ind w:left="920" w:hanging="477"/>
        <w:spacing w:after="0"/>
        <w:tabs>
          <w:tab w:leader="none" w:pos="92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 Obligations in respect of the Singapore L/C;</w:t>
      </w:r>
    </w:p>
    <w:p>
      <w:pPr>
        <w:spacing w:after="0" w:line="215" w:lineRule="exact"/>
        <w:rPr>
          <w:rFonts w:ascii="Times New Roman" w:cs="Times New Roman" w:eastAsia="Times New Roman" w:hAnsi="Times New Roman"/>
          <w:sz w:val="20"/>
          <w:szCs w:val="20"/>
          <w:color w:val="auto"/>
        </w:rPr>
      </w:pPr>
    </w:p>
    <w:p>
      <w:pPr>
        <w:ind w:left="880" w:hanging="437"/>
        <w:spacing w:after="0"/>
        <w:tabs>
          <w:tab w:leader="none" w:pos="88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 Obligations under the Separation and Distribution Agreement or the Intercompany Agreements;</w:t>
      </w:r>
    </w:p>
    <w:p>
      <w:pPr>
        <w:spacing w:after="0" w:line="215" w:lineRule="exact"/>
        <w:rPr>
          <w:rFonts w:ascii="Times New Roman" w:cs="Times New Roman" w:eastAsia="Times New Roman" w:hAnsi="Times New Roman"/>
          <w:sz w:val="20"/>
          <w:szCs w:val="20"/>
          <w:color w:val="auto"/>
        </w:rPr>
      </w:pPr>
    </w:p>
    <w:p>
      <w:pPr>
        <w:ind w:left="880" w:hanging="437"/>
        <w:spacing w:after="0"/>
        <w:tabs>
          <w:tab w:leader="none" w:pos="88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 Obligations constituting Standard Securitization Undertakings in respect of a Qualified Securitization Transaction;</w:t>
      </w:r>
    </w:p>
    <w:p>
      <w:pPr>
        <w:spacing w:after="0" w:line="215" w:lineRule="exact"/>
        <w:rPr>
          <w:rFonts w:ascii="Times New Roman" w:cs="Times New Roman" w:eastAsia="Times New Roman" w:hAnsi="Times New Roman"/>
          <w:sz w:val="20"/>
          <w:szCs w:val="20"/>
          <w:color w:val="auto"/>
        </w:rPr>
      </w:pPr>
    </w:p>
    <w:p>
      <w:pPr>
        <w:ind w:left="880" w:hanging="437"/>
        <w:spacing w:after="0"/>
        <w:tabs>
          <w:tab w:leader="none" w:pos="88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the Preferred Stock;</w:t>
      </w:r>
    </w:p>
    <w:p>
      <w:pPr>
        <w:sectPr>
          <w:pgSz w:w="11900" w:h="16838" w:orient="portrait"/>
          <w:cols w:equalWidth="0" w:num="1">
            <w:col w:w="10960"/>
          </w:cols>
          <w:pgMar w:left="700" w:top="409" w:right="2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82</w:t>
      </w:r>
    </w:p>
    <w:p>
      <w:pPr>
        <w:spacing w:after="0" w:line="238" w:lineRule="exact"/>
        <w:rPr>
          <w:sz w:val="20"/>
          <w:szCs w:val="20"/>
          <w:color w:val="auto"/>
        </w:rPr>
      </w:pPr>
    </w:p>
    <w:p>
      <w:pPr>
        <w:ind w:right="500" w:firstLine="443"/>
        <w:spacing w:after="0" w:line="269" w:lineRule="auto"/>
        <w:tabs>
          <w:tab w:leader="none" w:pos="867"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the deferred purchase price of Marriott Rewards points under the Marriott Rewards Affiliation Agreement;</w:t>
      </w:r>
    </w:p>
    <w:p>
      <w:pPr>
        <w:spacing w:after="0" w:line="51" w:lineRule="exact"/>
        <w:rPr>
          <w:rFonts w:ascii="Times New Roman" w:cs="Times New Roman" w:eastAsia="Times New Roman" w:hAnsi="Times New Roman"/>
          <w:sz w:val="20"/>
          <w:szCs w:val="20"/>
          <w:color w:val="auto"/>
        </w:rPr>
      </w:pPr>
    </w:p>
    <w:p>
      <w:pPr>
        <w:ind w:right="80" w:firstLine="443"/>
        <w:spacing w:after="0" w:line="254" w:lineRule="auto"/>
        <w:tabs>
          <w:tab w:leader="none" w:pos="834"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which may be deemed to exist in connection with customary agreements providing for indemnification, purchase price adjustments and similar obligations in connection with the acquisition or disposition of assets in connection with transactions otherwise permitted hereunder;</w:t>
      </w:r>
    </w:p>
    <w:p>
      <w:pPr>
        <w:spacing w:after="0" w:line="66" w:lineRule="exact"/>
        <w:rPr>
          <w:rFonts w:ascii="Times New Roman" w:cs="Times New Roman" w:eastAsia="Times New Roman" w:hAnsi="Times New Roman"/>
          <w:sz w:val="20"/>
          <w:szCs w:val="20"/>
          <w:color w:val="auto"/>
        </w:rPr>
      </w:pPr>
    </w:p>
    <w:p>
      <w:pPr>
        <w:ind w:left="840" w:hanging="397"/>
        <w:spacing w:after="0"/>
        <w:tabs>
          <w:tab w:leader="none" w:pos="840"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Subordinated Debt; provided that (w) no Event of Default exists on the date of incurrence thereof or would result therefrom,</w:t>
      </w:r>
    </w:p>
    <w:p>
      <w:pPr>
        <w:spacing w:after="0" w:line="21" w:lineRule="exact"/>
        <w:rPr>
          <w:rFonts w:ascii="Times New Roman" w:cs="Times New Roman" w:eastAsia="Times New Roman" w:hAnsi="Times New Roman"/>
          <w:sz w:val="20"/>
          <w:szCs w:val="20"/>
          <w:color w:val="auto"/>
        </w:rPr>
      </w:pPr>
    </w:p>
    <w:p>
      <w:pPr>
        <w:ind w:firstLine="4"/>
        <w:spacing w:after="0"/>
        <w:tabs>
          <w:tab w:leader="none" w:pos="28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Indebtedness does not have any scheduled or mandatory payments of principal prior to the date that is three months following the Termination Date (as in effect in the date of incurrence of such Indebtedness) and (y) after giving effect to such Indebtedness and the use of proceeds thereof, in each case for the Reference Period ending on the last day of the Fiscal Quarter preceding the date on which such Indebtedness is incurred for which financial statements are available pursuant to Section 6.1, (1) the Borrower will be in compliance with the financial covenants set forth in Section 7.1 determined on a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basis as of the last day of such Reference Period and (2) the consolidated leverage ratio set forth in Section 7.1(a) determined on such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basis would be no greater than 0.25x less than the maximum consolidated leverage ratio set forth in Section 7.1(a) as at the last day of such Fiscal Quarter, it being acknowledged and agreed that the required ratio levels to be satisfied will be the levels applicable on the last day of the Fiscal Quarter in which such Indebtedness is incurred;</w:t>
      </w:r>
    </w:p>
    <w:p>
      <w:pPr>
        <w:spacing w:after="0" w:line="82" w:lineRule="exact"/>
        <w:rPr>
          <w:rFonts w:ascii="Times New Roman" w:cs="Times New Roman" w:eastAsia="Times New Roman" w:hAnsi="Times New Roman"/>
          <w:sz w:val="20"/>
          <w:szCs w:val="20"/>
          <w:color w:val="auto"/>
        </w:rPr>
      </w:pPr>
    </w:p>
    <w:p>
      <w:pPr>
        <w:ind w:right="280" w:firstLine="443"/>
        <w:spacing w:after="0" w:line="254" w:lineRule="auto"/>
        <w:tabs>
          <w:tab w:leader="none" w:pos="823"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Group Member relating to MVWC’s European or Asia Pacific businesses incurred under and Guarantee Obligations of the Borrower or MVWC incurred in connection with hypothecations of or Qualified Securitization Transactions with respect to Time Share Receivables relating to resorts within MVWC’s European or Asia Pacific businesses;</w:t>
      </w:r>
    </w:p>
    <w:p>
      <w:pPr>
        <w:spacing w:after="0" w:line="66" w:lineRule="exact"/>
        <w:rPr>
          <w:rFonts w:ascii="Times New Roman" w:cs="Times New Roman" w:eastAsia="Times New Roman" w:hAnsi="Times New Roman"/>
          <w:sz w:val="20"/>
          <w:szCs w:val="20"/>
          <w:color w:val="auto"/>
        </w:rPr>
      </w:pPr>
    </w:p>
    <w:p>
      <w:pPr>
        <w:ind w:right="60" w:firstLine="443"/>
        <w:spacing w:after="0" w:line="245" w:lineRule="auto"/>
        <w:tabs>
          <w:tab w:leader="none" w:pos="867"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Non-Recourse Debt attaching to any Time Share Interests or Time Share Development Property that is acquired by any Group Member that is not a Loan Party after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existed at the time such real property was acquired and was not created in contemplation of such acquisition and (ii) at any time such Indebtedness is assumed and after giving </w:t>
      </w:r>
      <w:r>
        <w:rPr>
          <w:rFonts w:ascii="Times New Roman" w:cs="Times New Roman" w:eastAsia="Times New Roman" w:hAnsi="Times New Roman"/>
          <w:sz w:val="20"/>
          <w:szCs w:val="20"/>
          <w:u w:val="single" w:color="auto"/>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forma</w:t>
      </w:r>
      <w:r>
        <w:rPr>
          <w:rFonts w:ascii="Times New Roman" w:cs="Times New Roman" w:eastAsia="Times New Roman" w:hAnsi="Times New Roman"/>
          <w:sz w:val="20"/>
          <w:szCs w:val="20"/>
          <w:color w:val="auto"/>
        </w:rPr>
        <w:t xml:space="preserve"> effect to such assumption, the aggregate principal amount of all Indebtedness assumed and then outstanding pursuant to this Section 7.3(u), when aggregated with the principal amount of all other Indebtedness then outstanding pursuant to Section 7.3(v), shall not exceed $180,000,000;</w:t>
      </w:r>
    </w:p>
    <w:p>
      <w:pPr>
        <w:spacing w:after="0" w:line="76" w:lineRule="exact"/>
        <w:rPr>
          <w:rFonts w:ascii="Times New Roman" w:cs="Times New Roman" w:eastAsia="Times New Roman" w:hAnsi="Times New Roman"/>
          <w:sz w:val="20"/>
          <w:szCs w:val="20"/>
          <w:color w:val="auto"/>
        </w:rPr>
      </w:pPr>
    </w:p>
    <w:p>
      <w:pPr>
        <w:ind w:right="280" w:firstLine="443"/>
        <w:spacing w:after="0" w:line="247" w:lineRule="auto"/>
        <w:tabs>
          <w:tab w:leader="none" w:pos="867"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Non-Recourse Debt incurred by any Group Member that is not a Loan Party to finance (i) the acquisition or development of any Time Share Interests by such Group Member or (ii) the acquisition of any Time Share Development Property by such Group Member;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any time such Indebtedness is incurred and after giving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effect to such incurrence, the aggregate principal amount of all Indebtedness incurred and then outstanding pursuant to this Section 7.3(v), when aggregated with the principal amount of all other Indebtedness then outstanding pursuant to Section 7.3(u), shall not exceed $180,000,000;</w:t>
      </w:r>
    </w:p>
    <w:p>
      <w:pPr>
        <w:spacing w:after="0" w:line="72" w:lineRule="exact"/>
        <w:rPr>
          <w:rFonts w:ascii="Times New Roman" w:cs="Times New Roman" w:eastAsia="Times New Roman" w:hAnsi="Times New Roman"/>
          <w:sz w:val="20"/>
          <w:szCs w:val="20"/>
          <w:color w:val="auto"/>
        </w:rPr>
      </w:pPr>
    </w:p>
    <w:p>
      <w:pPr>
        <w:ind w:right="740" w:firstLine="443"/>
        <w:spacing w:after="0" w:line="296" w:lineRule="auto"/>
        <w:tabs>
          <w:tab w:leader="none" w:pos="911" w:val="left"/>
        </w:tabs>
        <w:numPr>
          <w:ilvl w:val="1"/>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unsecured Guarantee Obligations of a Loan Party or any Subsidiary in respect of Indebtedness of any Group Member permitted by Section 7.3(u) or (v) in an aggregate principal amount not to exceed $60,000,000 at any one time outstanding; and</w:t>
      </w:r>
    </w:p>
    <w:p>
      <w:pPr>
        <w:sectPr>
          <w:pgSz w:w="11900" w:h="16838" w:orient="portrait"/>
          <w:cols w:equalWidth="0" w:num="1">
            <w:col w:w="10960"/>
          </w:cols>
          <w:pgMar w:left="700" w:top="409" w:right="2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83</w:t>
      </w:r>
    </w:p>
    <w:p>
      <w:pPr>
        <w:spacing w:after="0" w:line="238" w:lineRule="exact"/>
        <w:rPr>
          <w:sz w:val="20"/>
          <w:szCs w:val="20"/>
          <w:color w:val="auto"/>
        </w:rPr>
      </w:pPr>
    </w:p>
    <w:p>
      <w:pPr>
        <w:ind w:left="460" w:right="1020" w:firstLine="443"/>
        <w:spacing w:after="0" w:line="269" w:lineRule="auto"/>
        <w:tabs>
          <w:tab w:leader="none" w:pos="1327"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Indebtedness of MVWC or any of its Subsidiaries in an aggregate principal amount (for MVWC and all Subsidiaries) not to exceed $10,000,000 at any one time outstanding.</w:t>
      </w:r>
    </w:p>
    <w:p>
      <w:pPr>
        <w:spacing w:after="0" w:line="160" w:lineRule="exact"/>
        <w:rPr>
          <w:sz w:val="20"/>
          <w:szCs w:val="20"/>
          <w:color w:val="auto"/>
        </w:rPr>
      </w:pPr>
    </w:p>
    <w:p>
      <w:pPr>
        <w:ind w:left="920"/>
        <w:spacing w:after="0"/>
        <w:tabs>
          <w:tab w:leader="none" w:pos="134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19"/>
          <w:szCs w:val="19"/>
          <w:u w:val="single" w:color="auto"/>
          <w:color w:val="auto"/>
        </w:rPr>
        <w:t>Liens</w:t>
      </w:r>
      <w:r>
        <w:rPr>
          <w:rFonts w:ascii="Times New Roman" w:cs="Times New Roman" w:eastAsia="Times New Roman" w:hAnsi="Times New Roman"/>
          <w:sz w:val="19"/>
          <w:szCs w:val="19"/>
          <w:color w:val="auto"/>
        </w:rPr>
        <w:t>. Create, incur, assume or suffer to exist any Lien upon any of its property, whether now owned or hereafter acquired,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except:</w:t>
      </w:r>
    </w:p>
    <w:p>
      <w:pPr>
        <w:spacing w:after="0" w:line="194" w:lineRule="exact"/>
        <w:rPr>
          <w:sz w:val="20"/>
          <w:szCs w:val="20"/>
          <w:color w:val="auto"/>
        </w:rPr>
      </w:pPr>
    </w:p>
    <w:p>
      <w:pPr>
        <w:ind w:left="460" w:right="480" w:firstLine="443"/>
        <w:spacing w:after="0" w:line="254" w:lineRule="auto"/>
        <w:tabs>
          <w:tab w:leader="none" w:pos="1316"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for Taxes not yet due or that are being contested in good faith by appropriate proceedings,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adequate reserves with respect thereto are maintained on the books of the Borrower or its Subsidiaries, as the case may be, in conformity with GAAP;</w:t>
      </w:r>
    </w:p>
    <w:p>
      <w:pPr>
        <w:spacing w:after="0" w:line="174" w:lineRule="exact"/>
        <w:rPr>
          <w:rFonts w:ascii="Times New Roman" w:cs="Times New Roman" w:eastAsia="Times New Roman" w:hAnsi="Times New Roman"/>
          <w:sz w:val="20"/>
          <w:szCs w:val="20"/>
          <w:color w:val="auto"/>
        </w:rPr>
      </w:pPr>
    </w:p>
    <w:p>
      <w:pPr>
        <w:ind w:left="460" w:right="220" w:firstLine="443"/>
        <w:spacing w:after="0" w:line="254" w:lineRule="auto"/>
        <w:tabs>
          <w:tab w:leader="none" w:pos="1327"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mechanics’, materialmen’s, repairmen’s or other like Liens arising in the ordinary course of business that are not overdue for a period of more than 30 days or that are being contested in good faith by appropriate proceedings and which do not in the aggregate materially detract from the value of the property subject thereto;</w:t>
      </w:r>
    </w:p>
    <w:p>
      <w:pPr>
        <w:spacing w:after="0" w:line="174" w:lineRule="exact"/>
        <w:rPr>
          <w:rFonts w:ascii="Times New Roman" w:cs="Times New Roman" w:eastAsia="Times New Roman" w:hAnsi="Times New Roman"/>
          <w:sz w:val="20"/>
          <w:szCs w:val="20"/>
          <w:color w:val="auto"/>
        </w:rPr>
      </w:pPr>
    </w:p>
    <w:p>
      <w:pPr>
        <w:ind w:left="1320" w:hanging="417"/>
        <w:spacing w:after="0"/>
        <w:tabs>
          <w:tab w:leader="none" w:pos="132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in connection with workers’ compensation, unemployment insurance and other social security legislation;</w:t>
      </w:r>
    </w:p>
    <w:p>
      <w:pPr>
        <w:spacing w:after="0" w:line="215" w:lineRule="exact"/>
        <w:rPr>
          <w:rFonts w:ascii="Times New Roman" w:cs="Times New Roman" w:eastAsia="Times New Roman" w:hAnsi="Times New Roman"/>
          <w:sz w:val="20"/>
          <w:szCs w:val="20"/>
          <w:color w:val="auto"/>
        </w:rPr>
      </w:pPr>
    </w:p>
    <w:p>
      <w:pPr>
        <w:ind w:left="460" w:right="600" w:firstLine="443"/>
        <w:spacing w:after="0" w:line="254" w:lineRule="auto"/>
        <w:tabs>
          <w:tab w:leader="none" w:pos="1327"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to secure the performance of bids, trade contracts (other than for borrowed money), leases, statutory obligations, surety and appeal bonds, performance bonds, credit card merchant agreements and bank cash account management agreements and other obligations of a like nature incurred in the ordinary course of business;</w:t>
      </w:r>
    </w:p>
    <w:p>
      <w:pPr>
        <w:spacing w:after="0" w:line="174" w:lineRule="exact"/>
        <w:rPr>
          <w:rFonts w:ascii="Times New Roman" w:cs="Times New Roman" w:eastAsia="Times New Roman" w:hAnsi="Times New Roman"/>
          <w:sz w:val="20"/>
          <w:szCs w:val="20"/>
          <w:color w:val="auto"/>
        </w:rPr>
      </w:pPr>
    </w:p>
    <w:p>
      <w:pPr>
        <w:ind w:left="460" w:right="260" w:firstLine="443"/>
        <w:spacing w:after="0" w:line="254" w:lineRule="auto"/>
        <w:tabs>
          <w:tab w:leader="none" w:pos="1316"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rights-of-way, restrictions and other similar encumbrances incurred in the ordinary course of business that, in the aggregate, are not substantial in amount and that do not in any case materially detract from the value of the property subject thereto or materially interfere with the ordinary conduct of the business of MVWC or any of its Subsidiaries;</w:t>
      </w:r>
    </w:p>
    <w:p>
      <w:pPr>
        <w:spacing w:after="0" w:line="174" w:lineRule="exact"/>
        <w:rPr>
          <w:rFonts w:ascii="Times New Roman" w:cs="Times New Roman" w:eastAsia="Times New Roman" w:hAnsi="Times New Roman"/>
          <w:sz w:val="20"/>
          <w:szCs w:val="20"/>
          <w:color w:val="auto"/>
        </w:rPr>
      </w:pPr>
    </w:p>
    <w:p>
      <w:pPr>
        <w:jc w:val="both"/>
        <w:ind w:left="460" w:right="60" w:firstLine="443"/>
        <w:spacing w:after="0" w:line="254" w:lineRule="auto"/>
        <w:tabs>
          <w:tab w:leader="none" w:pos="129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 existence on the Effective Date listed on Schedule 7.4(f), securing Indebtedness permitted by Section 7.3(d),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Lien is spread to cover any additional property after the Closing Date and that the amount of Indebtedness secured thereby is not increased;</w:t>
      </w:r>
    </w:p>
    <w:p>
      <w:pPr>
        <w:spacing w:after="0" w:line="174" w:lineRule="exact"/>
        <w:rPr>
          <w:rFonts w:ascii="Times New Roman" w:cs="Times New Roman" w:eastAsia="Times New Roman" w:hAnsi="Times New Roman"/>
          <w:sz w:val="20"/>
          <w:szCs w:val="20"/>
          <w:color w:val="auto"/>
        </w:rPr>
      </w:pPr>
    </w:p>
    <w:p>
      <w:pPr>
        <w:jc w:val="both"/>
        <w:ind w:left="460" w:right="100" w:firstLine="443"/>
        <w:spacing w:after="0" w:line="249" w:lineRule="auto"/>
        <w:tabs>
          <w:tab w:leader="none" w:pos="1327"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of MVWC or any Subsidiary incurred pursuant to Section 7.3(e) to finance the acquisition of fixed or capital assets that do not constitute In-Process Property or Time Share Interests,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shall be created substantially simultaneously with the acquisition of such fixed or capital assets, (ii) such Liens do not at any time encumber any property other than the property financed by such Indebtedness and (iii) the amount of Indebtedness secured thereby is not increased;</w:t>
      </w:r>
    </w:p>
    <w:p>
      <w:pPr>
        <w:spacing w:after="0" w:line="180" w:lineRule="exact"/>
        <w:rPr>
          <w:rFonts w:ascii="Times New Roman" w:cs="Times New Roman" w:eastAsia="Times New Roman" w:hAnsi="Times New Roman"/>
          <w:sz w:val="20"/>
          <w:szCs w:val="20"/>
          <w:color w:val="auto"/>
        </w:rPr>
      </w:pPr>
    </w:p>
    <w:p>
      <w:pPr>
        <w:ind w:left="1340" w:hanging="437"/>
        <w:spacing w:after="0"/>
        <w:tabs>
          <w:tab w:leader="none" w:pos="134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pursuant to the Security Documents;</w:t>
      </w:r>
    </w:p>
    <w:p>
      <w:pPr>
        <w:spacing w:after="0" w:line="215" w:lineRule="exact"/>
        <w:rPr>
          <w:rFonts w:ascii="Times New Roman" w:cs="Times New Roman" w:eastAsia="Times New Roman" w:hAnsi="Times New Roman"/>
          <w:sz w:val="20"/>
          <w:szCs w:val="20"/>
          <w:color w:val="auto"/>
        </w:rPr>
      </w:pPr>
    </w:p>
    <w:p>
      <w:pPr>
        <w:ind w:left="460" w:right="180" w:firstLine="443"/>
        <w:spacing w:after="0" w:line="269" w:lineRule="auto"/>
        <w:tabs>
          <w:tab w:leader="none" w:pos="1283"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 lessor under any lease entered into by MVWC or any Subsidiary in the ordinary course of its business and covering only the assets so leased;</w:t>
      </w:r>
    </w:p>
    <w:p>
      <w:pPr>
        <w:spacing w:after="0" w:line="159" w:lineRule="exact"/>
        <w:rPr>
          <w:rFonts w:ascii="Times New Roman" w:cs="Times New Roman" w:eastAsia="Times New Roman" w:hAnsi="Times New Roman"/>
          <w:sz w:val="20"/>
          <w:szCs w:val="20"/>
          <w:color w:val="auto"/>
        </w:rPr>
      </w:pPr>
    </w:p>
    <w:p>
      <w:pPr>
        <w:ind w:left="460" w:right="160" w:firstLine="443"/>
        <w:spacing w:after="0" w:line="269" w:lineRule="auto"/>
        <w:tabs>
          <w:tab w:leader="none" w:pos="1283"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(1) Time Share Receivables and Related Assets transferred to a Time Share SPV and (2) assets of a Time Share SPV, in either case incurred in connection with a Qualified Securitization Transaction or the Receivables Warehouse Facility;</w:t>
      </w:r>
    </w:p>
    <w:p>
      <w:pPr>
        <w:sectPr>
          <w:pgSz w:w="11900" w:h="16838" w:orient="portrait"/>
          <w:cols w:equalWidth="0" w:num="1">
            <w:col w:w="11420"/>
          </w:cols>
          <w:pgMar w:left="240" w:top="409" w:right="2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84</w:t>
      </w:r>
    </w:p>
    <w:p>
      <w:pPr>
        <w:spacing w:after="0" w:line="238" w:lineRule="exact"/>
        <w:rPr>
          <w:sz w:val="20"/>
          <w:szCs w:val="20"/>
          <w:color w:val="auto"/>
        </w:rPr>
      </w:pPr>
    </w:p>
    <w:p>
      <w:pPr>
        <w:ind w:left="1340" w:hanging="437"/>
        <w:spacing w:after="0"/>
        <w:tabs>
          <w:tab w:leader="none" w:pos="134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of cash or Cash Equivalents made to secure obligations in respect of Swap Agreements permitted</w:t>
      </w:r>
    </w:p>
    <w:p>
      <w:pPr>
        <w:spacing w:after="0" w:line="21" w:lineRule="exact"/>
        <w:rPr>
          <w:rFonts w:ascii="Times New Roman" w:cs="Times New Roman" w:eastAsia="Times New Roman" w:hAnsi="Times New Roman"/>
          <w:sz w:val="20"/>
          <w:szCs w:val="20"/>
          <w:color w:val="auto"/>
        </w:rPr>
      </w:pPr>
    </w:p>
    <w:p>
      <w:pPr>
        <w:ind w:left="4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hereunder;</w:t>
      </w:r>
    </w:p>
    <w:p>
      <w:pPr>
        <w:spacing w:after="0" w:line="193" w:lineRule="exact"/>
        <w:rPr>
          <w:rFonts w:ascii="Times New Roman" w:cs="Times New Roman" w:eastAsia="Times New Roman" w:hAnsi="Times New Roman"/>
          <w:sz w:val="20"/>
          <w:szCs w:val="20"/>
          <w:color w:val="auto"/>
        </w:rPr>
      </w:pPr>
    </w:p>
    <w:p>
      <w:pPr>
        <w:ind w:left="460" w:right="40" w:firstLine="443"/>
        <w:spacing w:after="0" w:line="254" w:lineRule="auto"/>
        <w:tabs>
          <w:tab w:leader="none" w:pos="1283"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property or Capital Stock of a Person at the time such Person becomes a Subsidiary; provided however, that such Liens are not created, incurred or assumed in connection with, or in contemplation of, such other Person becoming a Subsidiary; provided further, however, that any such Lien may not extend to any other property owned by a Group Member;</w:t>
      </w:r>
    </w:p>
    <w:p>
      <w:pPr>
        <w:spacing w:after="0" w:line="174" w:lineRule="exact"/>
        <w:rPr>
          <w:rFonts w:ascii="Times New Roman" w:cs="Times New Roman" w:eastAsia="Times New Roman" w:hAnsi="Times New Roman"/>
          <w:sz w:val="20"/>
          <w:szCs w:val="20"/>
          <w:color w:val="auto"/>
        </w:rPr>
      </w:pPr>
    </w:p>
    <w:p>
      <w:pPr>
        <w:ind w:left="1380" w:hanging="477"/>
        <w:spacing w:after="0"/>
        <w:tabs>
          <w:tab w:leader="none" w:pos="138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securing the Singapore L/C;</w:t>
      </w:r>
    </w:p>
    <w:p>
      <w:pPr>
        <w:spacing w:after="0" w:line="215" w:lineRule="exact"/>
        <w:rPr>
          <w:rFonts w:ascii="Times New Roman" w:cs="Times New Roman" w:eastAsia="Times New Roman" w:hAnsi="Times New Roman"/>
          <w:sz w:val="20"/>
          <w:szCs w:val="20"/>
          <w:color w:val="auto"/>
        </w:rPr>
      </w:pPr>
    </w:p>
    <w:p>
      <w:pPr>
        <w:ind w:left="460" w:right="80" w:firstLine="443"/>
        <w:spacing w:after="0" w:line="249" w:lineRule="auto"/>
        <w:tabs>
          <w:tab w:leader="none" w:pos="1327"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not otherwise permitted by this Section 7.4 so long as such Liens to do not encumber In-Process Property or Time Share Interests and neither (i) the aggregate outstanding principal amount of the obligations secured thereby nor (ii) the aggregate fair market value (determined as of the date such Lien is incurred) of the assets subject thereto exceeds (as MVWC and all Subsidiaries) $2,000,000 at any one time;</w:t>
      </w:r>
    </w:p>
    <w:p>
      <w:pPr>
        <w:spacing w:after="0" w:line="180" w:lineRule="exact"/>
        <w:rPr>
          <w:rFonts w:ascii="Times New Roman" w:cs="Times New Roman" w:eastAsia="Times New Roman" w:hAnsi="Times New Roman"/>
          <w:sz w:val="20"/>
          <w:szCs w:val="20"/>
          <w:color w:val="auto"/>
        </w:rPr>
      </w:pPr>
    </w:p>
    <w:p>
      <w:pPr>
        <w:ind w:left="1340" w:hanging="437"/>
        <w:spacing w:after="0"/>
        <w:tabs>
          <w:tab w:leader="none" w:pos="134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Foreign Time Share Receivables securing Indebtedness permitted by Section 7.3(j);</w:t>
      </w:r>
    </w:p>
    <w:p>
      <w:pPr>
        <w:spacing w:after="0" w:line="215" w:lineRule="exact"/>
        <w:rPr>
          <w:rFonts w:ascii="Times New Roman" w:cs="Times New Roman" w:eastAsia="Times New Roman" w:hAnsi="Times New Roman"/>
          <w:sz w:val="20"/>
          <w:szCs w:val="20"/>
          <w:color w:val="auto"/>
        </w:rPr>
      </w:pPr>
    </w:p>
    <w:p>
      <w:pPr>
        <w:ind w:left="460" w:right="420" w:firstLine="443"/>
        <w:spacing w:after="0" w:line="269" w:lineRule="auto"/>
        <w:tabs>
          <w:tab w:leader="none" w:pos="1327"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monetized notes underlying hypothecations of, or Qualified Securitization Transactions with respect to, Time Share Receivables permitted by Section 7.3(t); and</w:t>
      </w:r>
    </w:p>
    <w:p>
      <w:pPr>
        <w:spacing w:after="0" w:line="159" w:lineRule="exact"/>
        <w:rPr>
          <w:rFonts w:ascii="Times New Roman" w:cs="Times New Roman" w:eastAsia="Times New Roman" w:hAnsi="Times New Roman"/>
          <w:sz w:val="20"/>
          <w:szCs w:val="20"/>
          <w:color w:val="auto"/>
        </w:rPr>
      </w:pPr>
    </w:p>
    <w:p>
      <w:pPr>
        <w:ind w:left="460" w:right="100" w:firstLine="443"/>
        <w:spacing w:after="0" w:line="269" w:lineRule="auto"/>
        <w:tabs>
          <w:tab w:leader="none" w:pos="1327"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property of a Group Member that is not a Loan Party and pledges of the Capital Stock of such Group Member, in each case to secure Non-Recourse Debt permitted by Sections 7.3(u), (v) or (w).</w:t>
      </w:r>
    </w:p>
    <w:p>
      <w:pPr>
        <w:spacing w:after="0" w:line="160" w:lineRule="exact"/>
        <w:rPr>
          <w:sz w:val="20"/>
          <w:szCs w:val="20"/>
          <w:color w:val="auto"/>
        </w:rPr>
      </w:pPr>
    </w:p>
    <w:p>
      <w:pPr>
        <w:ind w:right="20" w:firstLine="913"/>
        <w:spacing w:after="0" w:line="269"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u w:val="single" w:color="auto"/>
          <w:color w:val="auto"/>
        </w:rPr>
        <w:t>Fundamental Changes</w:t>
      </w:r>
      <w:r>
        <w:rPr>
          <w:rFonts w:ascii="Times New Roman" w:cs="Times New Roman" w:eastAsia="Times New Roman" w:hAnsi="Times New Roman"/>
          <w:sz w:val="20"/>
          <w:szCs w:val="20"/>
          <w:color w:val="auto"/>
        </w:rPr>
        <w:t>. Enter into any merger, consolidation or amalgamation, or liquidate, wind up or dissolve itself (or suffer any liquidation or dissolution), or Dispose of all or substantially all of its property or business, except that:</w:t>
      </w:r>
    </w:p>
    <w:p>
      <w:pPr>
        <w:spacing w:after="0" w:line="160" w:lineRule="exact"/>
        <w:rPr>
          <w:sz w:val="20"/>
          <w:szCs w:val="20"/>
          <w:color w:val="auto"/>
        </w:rPr>
      </w:pPr>
    </w:p>
    <w:p>
      <w:pPr>
        <w:jc w:val="both"/>
        <w:ind w:left="460" w:right="80" w:firstLine="443"/>
        <w:spacing w:after="0" w:line="247" w:lineRule="auto"/>
        <w:tabs>
          <w:tab w:leader="none" w:pos="1316"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Subsidiary of the Borrower may be merged or consolidated with or into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the continuing or surviving corporation), (ii) any Subsidiary of MVWC (other than the Borrower and its Subsidiaries) may be merged or consolidated with or into MVWC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MVWC shall be the continuing or surviving corporation) or with or into any Subsidiary of MVWC and (iii) any Subsidiary of the Borrower may be merged or consolidated with or into any Wholly Owned Subsidiary Guarantor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Wholly Owned Subsidiary Guarantor shall be the continuing or surviving corporation);</w:t>
      </w:r>
    </w:p>
    <w:p>
      <w:pPr>
        <w:spacing w:after="0" w:line="180" w:lineRule="exact"/>
        <w:rPr>
          <w:rFonts w:ascii="Times New Roman" w:cs="Times New Roman" w:eastAsia="Times New Roman" w:hAnsi="Times New Roman"/>
          <w:sz w:val="20"/>
          <w:szCs w:val="20"/>
          <w:color w:val="auto"/>
        </w:rPr>
      </w:pPr>
    </w:p>
    <w:p>
      <w:pPr>
        <w:ind w:left="460" w:right="360" w:firstLine="443"/>
        <w:spacing w:after="0" w:line="249" w:lineRule="auto"/>
        <w:tabs>
          <w:tab w:leader="none" w:pos="1327"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Subsidiary of the Borrower may Dispose of any or all of its assets (A) to the Borrower or any Wholly Owned Subsidiary Guarantor (upon voluntary liquidation or otherwise) or (B) pursuant to a Disposition permitted by Section 7.6, and (ii) any Subsidiary of MVWC (other than the Borrower and its Subsidiaries) may Dispose of any or all of its assets (A) to MVWC or any Subsidiary (upon voluntary liquidation or otherwise) or (B) pursuant to a Disposition permitted by Section 7.6;</w:t>
      </w:r>
    </w:p>
    <w:p>
      <w:pPr>
        <w:spacing w:after="0" w:line="180" w:lineRule="exact"/>
        <w:rPr>
          <w:rFonts w:ascii="Times New Roman" w:cs="Times New Roman" w:eastAsia="Times New Roman" w:hAnsi="Times New Roman"/>
          <w:sz w:val="20"/>
          <w:szCs w:val="20"/>
          <w:color w:val="auto"/>
        </w:rPr>
      </w:pPr>
    </w:p>
    <w:p>
      <w:pPr>
        <w:ind w:left="1320" w:hanging="417"/>
        <w:spacing w:after="0"/>
        <w:tabs>
          <w:tab w:leader="none" w:pos="132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expressly permitted by Section 7.9 may be structured as a merger, consolidation or amalgamation; and</w:t>
      </w:r>
    </w:p>
    <w:p>
      <w:pPr>
        <w:spacing w:after="0" w:line="215" w:lineRule="exact"/>
        <w:rPr>
          <w:rFonts w:ascii="Times New Roman" w:cs="Times New Roman" w:eastAsia="Times New Roman" w:hAnsi="Times New Roman"/>
          <w:sz w:val="20"/>
          <w:szCs w:val="20"/>
          <w:color w:val="auto"/>
        </w:rPr>
      </w:pPr>
    </w:p>
    <w:p>
      <w:pPr>
        <w:ind w:left="1340" w:hanging="437"/>
        <w:spacing w:after="0"/>
        <w:tabs>
          <w:tab w:leader="none" w:pos="134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restrictions contained in this Section 7.5 shall not apply to any transaction entered into in connection with the Spin-Off.</w:t>
      </w:r>
    </w:p>
    <w:p>
      <w:pPr>
        <w:sectPr>
          <w:pgSz w:w="11900" w:h="16838" w:orient="portrait"/>
          <w:cols w:equalWidth="0" w:num="1">
            <w:col w:w="11420"/>
          </w:cols>
          <w:pgMar w:left="240" w:top="409" w:right="2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85</w:t>
      </w:r>
    </w:p>
    <w:p>
      <w:pPr>
        <w:spacing w:after="0" w:line="238" w:lineRule="exact"/>
        <w:rPr>
          <w:sz w:val="20"/>
          <w:szCs w:val="20"/>
          <w:color w:val="auto"/>
        </w:rPr>
      </w:pPr>
    </w:p>
    <w:p>
      <w:pPr>
        <w:ind w:left="920"/>
        <w:spacing w:after="0"/>
        <w:tabs>
          <w:tab w:leader="none" w:pos="140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19"/>
          <w:szCs w:val="19"/>
          <w:u w:val="single" w:color="auto"/>
          <w:color w:val="auto"/>
        </w:rPr>
        <w:t>Disposition of Property</w:t>
      </w:r>
      <w:r>
        <w:rPr>
          <w:rFonts w:ascii="Times New Roman" w:cs="Times New Roman" w:eastAsia="Times New Roman" w:hAnsi="Times New Roman"/>
          <w:sz w:val="19"/>
          <w:szCs w:val="19"/>
          <w:color w:val="auto"/>
        </w:rPr>
        <w:t>. Dispose of any of its property, whether now owned or hereafter acquired, or, in the case of 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Subsidiary, issue or sell any shares of such Subsidiary’s Capital Stock to any Person, except:</w:t>
      </w:r>
    </w:p>
    <w:p>
      <w:pPr>
        <w:spacing w:after="0" w:line="194" w:lineRule="exact"/>
        <w:rPr>
          <w:sz w:val="20"/>
          <w:szCs w:val="20"/>
          <w:color w:val="auto"/>
        </w:rPr>
      </w:pPr>
    </w:p>
    <w:p>
      <w:pPr>
        <w:ind w:left="1360" w:hanging="457"/>
        <w:spacing w:after="0"/>
        <w:tabs>
          <w:tab w:leader="none" w:pos="13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of obsolete or worn out property in the ordinary course of business;</w:t>
      </w:r>
    </w:p>
    <w:p>
      <w:pPr>
        <w:spacing w:after="0" w:line="215" w:lineRule="exact"/>
        <w:rPr>
          <w:rFonts w:ascii="Times New Roman" w:cs="Times New Roman" w:eastAsia="Times New Roman" w:hAnsi="Times New Roman"/>
          <w:sz w:val="20"/>
          <w:szCs w:val="20"/>
          <w:color w:val="auto"/>
        </w:rPr>
      </w:pPr>
    </w:p>
    <w:p>
      <w:pPr>
        <w:ind w:left="1380" w:hanging="477"/>
        <w:spacing w:after="0"/>
        <w:tabs>
          <w:tab w:leader="none" w:pos="138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inventory (including Time Share Interests) in the ordinary course of business;</w:t>
      </w:r>
    </w:p>
    <w:p>
      <w:pPr>
        <w:spacing w:after="0" w:line="215" w:lineRule="exact"/>
        <w:rPr>
          <w:rFonts w:ascii="Times New Roman" w:cs="Times New Roman" w:eastAsia="Times New Roman" w:hAnsi="Times New Roman"/>
          <w:sz w:val="20"/>
          <w:szCs w:val="20"/>
          <w:color w:val="auto"/>
        </w:rPr>
      </w:pPr>
    </w:p>
    <w:p>
      <w:pPr>
        <w:ind w:left="1360" w:hanging="457"/>
        <w:spacing w:after="0"/>
        <w:tabs>
          <w:tab w:leader="none" w:pos="13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permitted by clause (i) (A) or (ii)(A) of Section 7.5(b);</w:t>
      </w:r>
    </w:p>
    <w:p>
      <w:pPr>
        <w:spacing w:after="0" w:line="215" w:lineRule="exact"/>
        <w:rPr>
          <w:rFonts w:ascii="Times New Roman" w:cs="Times New Roman" w:eastAsia="Times New Roman" w:hAnsi="Times New Roman"/>
          <w:sz w:val="20"/>
          <w:szCs w:val="20"/>
          <w:color w:val="auto"/>
        </w:rPr>
      </w:pPr>
    </w:p>
    <w:p>
      <w:pPr>
        <w:ind w:left="1380" w:hanging="477"/>
        <w:spacing w:after="0"/>
        <w:tabs>
          <w:tab w:leader="none" w:pos="138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issuance of any Subsidiary’s Capital Stock to MVWC or the Borrower or any Wholly Owned Subsidiary</w:t>
      </w:r>
    </w:p>
    <w:p>
      <w:pPr>
        <w:spacing w:after="0" w:line="21" w:lineRule="exact"/>
        <w:rPr>
          <w:rFonts w:ascii="Times New Roman" w:cs="Times New Roman" w:eastAsia="Times New Roman" w:hAnsi="Times New Roman"/>
          <w:sz w:val="20"/>
          <w:szCs w:val="20"/>
          <w:color w:val="auto"/>
        </w:rPr>
      </w:pPr>
    </w:p>
    <w:p>
      <w:pPr>
        <w:ind w:left="4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Guarantor;</w:t>
      </w:r>
    </w:p>
    <w:p>
      <w:pPr>
        <w:spacing w:after="0" w:line="193" w:lineRule="exact"/>
        <w:rPr>
          <w:rFonts w:ascii="Times New Roman" w:cs="Times New Roman" w:eastAsia="Times New Roman" w:hAnsi="Times New Roman"/>
          <w:sz w:val="20"/>
          <w:szCs w:val="20"/>
          <w:color w:val="auto"/>
        </w:rPr>
      </w:pPr>
    </w:p>
    <w:p>
      <w:pPr>
        <w:ind w:left="460" w:right="140" w:firstLine="443"/>
        <w:spacing w:after="0" w:line="263" w:lineRule="auto"/>
        <w:tabs>
          <w:tab w:leader="none" w:pos="1365"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the Disposition of Time Share Receivables in the ordinary course of business (which may include the Disposition of disputed or written down Time Share Receivables in a manner determined to be prudent by MVWC), (ii) Dispositions of Time Share Receivables and Related Assets or an interest therein of the type specified in the definition of “Qualified Securitization Transaction” to a Time Share SPV, in each case provided that, after giving </w:t>
      </w:r>
      <w:r>
        <w:rPr>
          <w:rFonts w:ascii="Times New Roman" w:cs="Times New Roman" w:eastAsia="Times New Roman" w:hAnsi="Times New Roman"/>
          <w:sz w:val="19"/>
          <w:szCs w:val="19"/>
          <w:u w:val="single" w:color="auto"/>
          <w:color w:val="auto"/>
        </w:rPr>
        <w:t>pro forma</w:t>
      </w:r>
      <w:r>
        <w:rPr>
          <w:rFonts w:ascii="Times New Roman" w:cs="Times New Roman" w:eastAsia="Times New Roman" w:hAnsi="Times New Roman"/>
          <w:sz w:val="19"/>
          <w:szCs w:val="19"/>
          <w:color w:val="auto"/>
        </w:rPr>
        <w:t xml:space="preserve"> effect to such Disposition and application of proceeds thereof, the Borrower is in compliance with Section 7.2 and (iii) the Disposition of Time Shares Receivables by Foreign Subsidiaries for fair value;</w:t>
      </w:r>
    </w:p>
    <w:p>
      <w:pPr>
        <w:spacing w:after="0" w:line="166" w:lineRule="exact"/>
        <w:rPr>
          <w:rFonts w:ascii="Times New Roman" w:cs="Times New Roman" w:eastAsia="Times New Roman" w:hAnsi="Times New Roman"/>
          <w:sz w:val="19"/>
          <w:szCs w:val="19"/>
          <w:color w:val="auto"/>
        </w:rPr>
      </w:pPr>
    </w:p>
    <w:p>
      <w:pPr>
        <w:ind w:left="460" w:right="420" w:firstLine="443"/>
        <w:spacing w:after="0" w:line="269" w:lineRule="auto"/>
        <w:tabs>
          <w:tab w:leader="none" w:pos="1393"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of Time Share Interests (other than in the ordinary course of business) not to exceed $50,000,000 in gross proceeds in any Fiscal Year;</w:t>
      </w:r>
    </w:p>
    <w:p>
      <w:pPr>
        <w:spacing w:after="0" w:line="159" w:lineRule="exact"/>
        <w:rPr>
          <w:rFonts w:ascii="Times New Roman" w:cs="Times New Roman" w:eastAsia="Times New Roman" w:hAnsi="Times New Roman"/>
          <w:sz w:val="20"/>
          <w:szCs w:val="20"/>
          <w:color w:val="auto"/>
        </w:rPr>
      </w:pPr>
    </w:p>
    <w:p>
      <w:pPr>
        <w:ind w:left="1380" w:hanging="477"/>
        <w:spacing w:after="0"/>
        <w:tabs>
          <w:tab w:leader="none" w:pos="138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of real property (other than Time Share Interests) not to exceed $150,000,000 in gross proceeds in any Fiscal</w:t>
      </w:r>
    </w:p>
    <w:p>
      <w:pPr>
        <w:spacing w:after="0" w:line="21" w:lineRule="exact"/>
        <w:rPr>
          <w:rFonts w:ascii="Times New Roman" w:cs="Times New Roman" w:eastAsia="Times New Roman" w:hAnsi="Times New Roman"/>
          <w:sz w:val="20"/>
          <w:szCs w:val="20"/>
          <w:color w:val="auto"/>
        </w:rPr>
      </w:pPr>
    </w:p>
    <w:p>
      <w:pPr>
        <w:ind w:left="4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w:t>
      </w:r>
    </w:p>
    <w:p>
      <w:pPr>
        <w:spacing w:after="0" w:line="193" w:lineRule="exact"/>
        <w:rPr>
          <w:rFonts w:ascii="Times New Roman" w:cs="Times New Roman" w:eastAsia="Times New Roman" w:hAnsi="Times New Roman"/>
          <w:sz w:val="20"/>
          <w:szCs w:val="20"/>
          <w:color w:val="auto"/>
        </w:rPr>
      </w:pPr>
    </w:p>
    <w:p>
      <w:pPr>
        <w:ind w:left="460" w:right="480" w:firstLine="443"/>
        <w:spacing w:after="0" w:line="269" w:lineRule="auto"/>
        <w:tabs>
          <w:tab w:leader="none" w:pos="1376"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resulting from any casualty or other insured damage to, or any taking under power of eminent domain or by condemnation or similar proceeding of, any property or asset of any Group Member;</w:t>
      </w:r>
    </w:p>
    <w:p>
      <w:pPr>
        <w:spacing w:after="0" w:line="159" w:lineRule="exact"/>
        <w:rPr>
          <w:rFonts w:ascii="Times New Roman" w:cs="Times New Roman" w:eastAsia="Times New Roman" w:hAnsi="Times New Roman"/>
          <w:sz w:val="20"/>
          <w:szCs w:val="20"/>
          <w:color w:val="auto"/>
        </w:rPr>
      </w:pPr>
    </w:p>
    <w:p>
      <w:pPr>
        <w:ind w:left="460" w:right="600" w:firstLine="443"/>
        <w:spacing w:after="0" w:line="269" w:lineRule="auto"/>
        <w:tabs>
          <w:tab w:leader="none" w:pos="1382"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in connection with and contemplated by the Separation and Distribution Agreement and the Intercompany Agreements;</w:t>
      </w:r>
    </w:p>
    <w:p>
      <w:pPr>
        <w:spacing w:after="0" w:line="159" w:lineRule="exact"/>
        <w:rPr>
          <w:rFonts w:ascii="Times New Roman" w:cs="Times New Roman" w:eastAsia="Times New Roman" w:hAnsi="Times New Roman"/>
          <w:sz w:val="20"/>
          <w:szCs w:val="20"/>
          <w:color w:val="auto"/>
        </w:rPr>
      </w:pPr>
    </w:p>
    <w:p>
      <w:pPr>
        <w:ind w:left="1380" w:hanging="477"/>
        <w:spacing w:after="0"/>
        <w:tabs>
          <w:tab w:leader="none" w:pos="138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of property having a fair market value not to exceed $5,000,000 in the aggregate for any Fiscal Year;</w:t>
      </w:r>
    </w:p>
    <w:p>
      <w:pPr>
        <w:spacing w:after="0" w:line="215" w:lineRule="exact"/>
        <w:rPr>
          <w:rFonts w:ascii="Times New Roman" w:cs="Times New Roman" w:eastAsia="Times New Roman" w:hAnsi="Times New Roman"/>
          <w:sz w:val="20"/>
          <w:szCs w:val="20"/>
          <w:color w:val="auto"/>
        </w:rPr>
      </w:pPr>
    </w:p>
    <w:p>
      <w:pPr>
        <w:ind w:left="1380" w:hanging="477"/>
        <w:spacing w:after="0"/>
        <w:tabs>
          <w:tab w:leader="none" w:pos="138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Preferred Stock;</w:t>
      </w:r>
    </w:p>
    <w:p>
      <w:pPr>
        <w:spacing w:after="0" w:line="215" w:lineRule="exact"/>
        <w:rPr>
          <w:rFonts w:ascii="Times New Roman" w:cs="Times New Roman" w:eastAsia="Times New Roman" w:hAnsi="Times New Roman"/>
          <w:sz w:val="20"/>
          <w:szCs w:val="20"/>
          <w:color w:val="auto"/>
        </w:rPr>
      </w:pPr>
    </w:p>
    <w:p>
      <w:pPr>
        <w:ind w:left="460" w:right="220" w:firstLine="443"/>
        <w:spacing w:after="0" w:line="254" w:lineRule="auto"/>
        <w:tabs>
          <w:tab w:leader="none" w:pos="1382"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in the ordinary course of business of interests in the entities which hold the interests in inventory used in the operation of the Marriott Vacation Club, Asia Pacific business to an independent trustee or administrative third parties subject to regulatory provisions of the laws of the jurisdictions governing such entities; and</w:t>
      </w:r>
    </w:p>
    <w:p>
      <w:pPr>
        <w:spacing w:after="0" w:line="174" w:lineRule="exact"/>
        <w:rPr>
          <w:rFonts w:ascii="Times New Roman" w:cs="Times New Roman" w:eastAsia="Times New Roman" w:hAnsi="Times New Roman"/>
          <w:sz w:val="20"/>
          <w:szCs w:val="20"/>
          <w:color w:val="auto"/>
        </w:rPr>
      </w:pPr>
    </w:p>
    <w:p>
      <w:pPr>
        <w:ind w:left="1380" w:hanging="477"/>
        <w:spacing w:after="0"/>
        <w:tabs>
          <w:tab w:leader="none" w:pos="138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operating or capital lease entered into by any Group Member (as lessor) in the ordinary course of business.</w:t>
      </w:r>
    </w:p>
    <w:p>
      <w:pPr>
        <w:sectPr>
          <w:pgSz w:w="11900" w:h="16838" w:orient="portrait"/>
          <w:cols w:equalWidth="0" w:num="1">
            <w:col w:w="11420"/>
          </w:cols>
          <w:pgMar w:left="240" w:top="409" w:right="2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86</w:t>
      </w:r>
    </w:p>
    <w:p>
      <w:pPr>
        <w:spacing w:after="0" w:line="238" w:lineRule="exact"/>
        <w:rPr>
          <w:sz w:val="20"/>
          <w:szCs w:val="20"/>
          <w:color w:val="auto"/>
        </w:rPr>
      </w:pPr>
    </w:p>
    <w:p>
      <w:pPr>
        <w:ind w:right="140" w:firstLine="913"/>
        <w:spacing w:after="0" w:line="247" w:lineRule="auto"/>
        <w:rPr>
          <w:sz w:val="20"/>
          <w:szCs w:val="20"/>
          <w:color w:val="auto"/>
        </w:rPr>
      </w:pPr>
      <w:r>
        <w:rPr>
          <w:rFonts w:ascii="Times New Roman" w:cs="Times New Roman" w:eastAsia="Times New Roman" w:hAnsi="Times New Roman"/>
          <w:sz w:val="20"/>
          <w:szCs w:val="20"/>
          <w:color w:val="auto"/>
        </w:rPr>
        <w:t xml:space="preserve">7.7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Declare or pay any dividend (other than dividends payable solely in common stock of the Person making such dividend) on, or make any payment on account of, or set apart assets for a sinking or other analogous fund for, the purchase, redemption, defeasance, retirement or other acquisition of, any Capital Stock of any Group Member, whether now or hereafter outstanding, or make any other distribution in respect thereof, either directly or indirectly, whether in cash or property or in obligations of any Group Member (collectively,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except that:</w:t>
      </w:r>
    </w:p>
    <w:p>
      <w:pPr>
        <w:spacing w:after="0" w:line="181" w:lineRule="exact"/>
        <w:rPr>
          <w:sz w:val="20"/>
          <w:szCs w:val="20"/>
          <w:color w:val="auto"/>
        </w:rPr>
      </w:pPr>
    </w:p>
    <w:p>
      <w:pPr>
        <w:ind w:left="1360" w:hanging="457"/>
        <w:spacing w:after="0"/>
        <w:tabs>
          <w:tab w:leader="none" w:pos="136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may make Restricted Payments to MVWC, the Borrower or any Wholly Owned Subsidiary Guarantor;</w:t>
      </w:r>
    </w:p>
    <w:p>
      <w:pPr>
        <w:spacing w:after="0" w:line="215" w:lineRule="exact"/>
        <w:rPr>
          <w:rFonts w:ascii="Times New Roman" w:cs="Times New Roman" w:eastAsia="Times New Roman" w:hAnsi="Times New Roman"/>
          <w:sz w:val="20"/>
          <w:szCs w:val="20"/>
          <w:color w:val="auto"/>
        </w:rPr>
      </w:pPr>
    </w:p>
    <w:p>
      <w:pPr>
        <w:ind w:left="460" w:right="220" w:firstLine="443"/>
        <w:spacing w:after="0" w:line="247" w:lineRule="auto"/>
        <w:tabs>
          <w:tab w:leader="none" w:pos="1376"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Default or Event of Default shall have occurred and be continuing, MVWC may purchase MVWC’s common stock or common stock options from present or former officers or employees of any Group Member upon the death, disability or termination of employment of such officer or employee,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aggregate amount of payments under this clause (b) after the Effective Date (net of any proceeds received by MVWC after the Effective Date in connection with resales of any common stock or common stock options so purchased) shall not exceed $5,000,000 in any Fiscal Year;</w:t>
      </w:r>
    </w:p>
    <w:p>
      <w:pPr>
        <w:spacing w:after="0" w:line="180" w:lineRule="exact"/>
        <w:rPr>
          <w:rFonts w:ascii="Times New Roman" w:cs="Times New Roman" w:eastAsia="Times New Roman" w:hAnsi="Times New Roman"/>
          <w:sz w:val="20"/>
          <w:szCs w:val="20"/>
          <w:color w:val="auto"/>
        </w:rPr>
      </w:pPr>
    </w:p>
    <w:p>
      <w:pPr>
        <w:ind w:left="1360" w:hanging="457"/>
        <w:spacing w:after="0"/>
        <w:tabs>
          <w:tab w:leader="none" w:pos="136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Subsidiary may make Restricted Payments to any Foreign Subsidiary that is a Wholly Owned Subsidiary;</w:t>
      </w:r>
    </w:p>
    <w:p>
      <w:pPr>
        <w:spacing w:after="0" w:line="215" w:lineRule="exact"/>
        <w:rPr>
          <w:rFonts w:ascii="Times New Roman" w:cs="Times New Roman" w:eastAsia="Times New Roman" w:hAnsi="Times New Roman"/>
          <w:sz w:val="20"/>
          <w:szCs w:val="20"/>
          <w:color w:val="auto"/>
        </w:rPr>
      </w:pPr>
    </w:p>
    <w:p>
      <w:pPr>
        <w:ind w:left="460" w:right="820" w:firstLine="443"/>
        <w:spacing w:after="0" w:line="269" w:lineRule="auto"/>
        <w:tabs>
          <w:tab w:leader="none" w:pos="1376"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Default or Event of Default shall have occurred and be continuing, the issuer thereof may pay ordinary dividends on the Preferred Stock; and</w:t>
      </w:r>
    </w:p>
    <w:p>
      <w:pPr>
        <w:spacing w:after="0" w:line="159" w:lineRule="exact"/>
        <w:rPr>
          <w:rFonts w:ascii="Times New Roman" w:cs="Times New Roman" w:eastAsia="Times New Roman" w:hAnsi="Times New Roman"/>
          <w:sz w:val="20"/>
          <w:szCs w:val="20"/>
          <w:color w:val="auto"/>
        </w:rPr>
      </w:pPr>
    </w:p>
    <w:p>
      <w:pPr>
        <w:ind w:left="460" w:right="160" w:firstLine="443"/>
        <w:spacing w:after="0" w:line="244" w:lineRule="auto"/>
        <w:tabs>
          <w:tab w:leader="none" w:pos="1365"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MVWC and the Borrower may make Restricted Payments so long as after giving effect to such Restricted Payment, (i) no Default or Event of Default has occurred and is continuing or would result therefrom, (ii) the Consolidated Leverage Ratio as of the last day of the most recent Reference Period (after giving effect to such Restricted Payment as if such Restricted Payment occurred on such date) is less than or equal to 5.00 to 1.00 on a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basis and (iii) MVWC and the Borrower are in compliance on a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basis with (x) the financial covenants contained in Section 7.1(b) and (c) of this Agreement as of the last day of the most recent Reference Period (after giving effect to such Restricted Payment as if such Restricted Payment occurred on such date) and (y) the Borrowing Base Coverage Ratio contained in Section 7.2 as of the date of such Restricted Payment.</w:t>
      </w:r>
    </w:p>
    <w:p>
      <w:pPr>
        <w:spacing w:after="0" w:line="187" w:lineRule="exact"/>
        <w:rPr>
          <w:sz w:val="20"/>
          <w:szCs w:val="20"/>
          <w:color w:val="auto"/>
        </w:rPr>
      </w:pPr>
    </w:p>
    <w:p>
      <w:pPr>
        <w:ind w:right="40" w:firstLine="913"/>
        <w:spacing w:after="0" w:line="245" w:lineRule="auto"/>
        <w:rPr>
          <w:sz w:val="20"/>
          <w:szCs w:val="20"/>
          <w:color w:val="auto"/>
        </w:rPr>
      </w:pPr>
      <w:r>
        <w:rPr>
          <w:rFonts w:ascii="Times New Roman" w:cs="Times New Roman" w:eastAsia="Times New Roman" w:hAnsi="Times New Roman"/>
          <w:sz w:val="20"/>
          <w:szCs w:val="20"/>
          <w:color w:val="auto"/>
        </w:rPr>
        <w:t xml:space="preserve">7.8 </w:t>
      </w:r>
      <w:r>
        <w:rPr>
          <w:rFonts w:ascii="Times New Roman" w:cs="Times New Roman" w:eastAsia="Times New Roman" w:hAnsi="Times New Roman"/>
          <w:sz w:val="20"/>
          <w:szCs w:val="20"/>
          <w:u w:val="single" w:color="auto"/>
          <w:color w:val="auto"/>
        </w:rPr>
        <w:t>Capital Expenditures</w:t>
      </w:r>
      <w:r>
        <w:rPr>
          <w:rFonts w:ascii="Times New Roman" w:cs="Times New Roman" w:eastAsia="Times New Roman" w:hAnsi="Times New Roman"/>
          <w:sz w:val="20"/>
          <w:szCs w:val="20"/>
          <w:color w:val="auto"/>
        </w:rPr>
        <w:t xml:space="preserve">. Make or commit to make any Capital Expenditure, except Capital Expenditures of MVWC and its Subsidiaries in the ordinary course of business not exceeding $350,000,000 in any Fiscal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up to $50,000,000 of any such amount referred to above, if not so expended in the Fiscal Year for which it is permitted, may be carried over for expenditure in the next succeeding Fiscal Year and (b) Capital Expenditures made pursuant to this Section 7.8 during any Fiscal Year shall be deemed made,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in respect of amounts permitted for such Fiscal Year as provided above and,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in respect of amounts carried over from the prior Fiscal Year pursuant to clause (a) above.</w:t>
      </w:r>
    </w:p>
    <w:p>
      <w:pPr>
        <w:spacing w:after="0" w:line="185" w:lineRule="exact"/>
        <w:rPr>
          <w:sz w:val="20"/>
          <w:szCs w:val="20"/>
          <w:color w:val="auto"/>
        </w:rPr>
      </w:pPr>
    </w:p>
    <w:p>
      <w:pPr>
        <w:ind w:right="80" w:firstLine="913"/>
        <w:spacing w:after="0" w:line="254" w:lineRule="auto"/>
        <w:rPr>
          <w:sz w:val="20"/>
          <w:szCs w:val="20"/>
          <w:color w:val="auto"/>
        </w:rPr>
      </w:pPr>
      <w:r>
        <w:rPr>
          <w:rFonts w:ascii="Times New Roman" w:cs="Times New Roman" w:eastAsia="Times New Roman" w:hAnsi="Times New Roman"/>
          <w:sz w:val="20"/>
          <w:szCs w:val="20"/>
          <w:color w:val="auto"/>
        </w:rPr>
        <w:t xml:space="preserve">7.9 </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Make any advance, loan, extension of credit (by way of guaranty or otherwise) or capital contribution to, or purchase any Capital Stock, bonds, notes, debentures or other debt securities of, or any assets constituting a business unit of, or make any other investment in, any Person (all of the foregoing, “</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except:</w:t>
      </w:r>
    </w:p>
    <w:p>
      <w:pPr>
        <w:spacing w:after="0" w:line="175" w:lineRule="exact"/>
        <w:rPr>
          <w:sz w:val="20"/>
          <w:szCs w:val="20"/>
          <w:color w:val="auto"/>
        </w:rPr>
      </w:pPr>
    </w:p>
    <w:p>
      <w:pPr>
        <w:ind w:left="1360" w:hanging="457"/>
        <w:spacing w:after="0"/>
        <w:tabs>
          <w:tab w:leader="none" w:pos="136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extensions of trade credit in the ordinary course of business;</w:t>
      </w:r>
    </w:p>
    <w:p>
      <w:pPr>
        <w:sectPr>
          <w:pgSz w:w="11900" w:h="16838" w:orient="portrait"/>
          <w:cols w:equalWidth="0" w:num="1">
            <w:col w:w="11420"/>
          </w:cols>
          <w:pgMar w:left="240" w:top="409" w:right="2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87</w:t>
      </w:r>
    </w:p>
    <w:p>
      <w:pPr>
        <w:spacing w:after="0" w:line="238" w:lineRule="exact"/>
        <w:rPr>
          <w:sz w:val="20"/>
          <w:szCs w:val="20"/>
          <w:color w:val="auto"/>
        </w:rPr>
      </w:pPr>
    </w:p>
    <w:p>
      <w:pPr>
        <w:ind w:left="920" w:hanging="477"/>
        <w:spacing w:after="0"/>
        <w:tabs>
          <w:tab w:leader="none" w:pos="92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Cash Equivalents;</w:t>
      </w:r>
    </w:p>
    <w:p>
      <w:pPr>
        <w:spacing w:after="0" w:line="215" w:lineRule="exact"/>
        <w:rPr>
          <w:rFonts w:ascii="Times New Roman" w:cs="Times New Roman" w:eastAsia="Times New Roman" w:hAnsi="Times New Roman"/>
          <w:sz w:val="20"/>
          <w:szCs w:val="20"/>
          <w:color w:val="auto"/>
        </w:rPr>
      </w:pPr>
    </w:p>
    <w:p>
      <w:pPr>
        <w:ind w:left="900" w:hanging="457"/>
        <w:spacing w:after="0"/>
        <w:tabs>
          <w:tab w:leader="none" w:pos="90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 Obligations permitted by Section 7.3;</w:t>
      </w:r>
    </w:p>
    <w:p>
      <w:pPr>
        <w:spacing w:after="0" w:line="215" w:lineRule="exact"/>
        <w:rPr>
          <w:rFonts w:ascii="Times New Roman" w:cs="Times New Roman" w:eastAsia="Times New Roman" w:hAnsi="Times New Roman"/>
          <w:sz w:val="20"/>
          <w:szCs w:val="20"/>
          <w:color w:val="auto"/>
        </w:rPr>
      </w:pPr>
    </w:p>
    <w:p>
      <w:pPr>
        <w:ind w:right="40" w:firstLine="443"/>
        <w:spacing w:after="0" w:line="296" w:lineRule="auto"/>
        <w:tabs>
          <w:tab w:leader="none" w:pos="916"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loans and advances to employees of any Group Member in the ordinary course of business (including for travel, entertainment and relocation expenses) in an aggregate amount for all Group Members not to exceed $5,000,000 at any one time outstanding;</w:t>
      </w:r>
    </w:p>
    <w:p>
      <w:pPr>
        <w:spacing w:after="0" w:line="136" w:lineRule="exact"/>
        <w:rPr>
          <w:rFonts w:ascii="Times New Roman" w:cs="Times New Roman" w:eastAsia="Times New Roman" w:hAnsi="Times New Roman"/>
          <w:sz w:val="19"/>
          <w:szCs w:val="19"/>
          <w:color w:val="auto"/>
        </w:rPr>
      </w:pPr>
    </w:p>
    <w:p>
      <w:pPr>
        <w:ind w:right="280" w:firstLine="443"/>
        <w:spacing w:after="0" w:line="269" w:lineRule="auto"/>
        <w:tabs>
          <w:tab w:leader="none" w:pos="905"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Investments by any Group Member in the Borrower or any Person that, prior to such investment, is a Wholly Owned Subsidiary Guarantor;</w:t>
      </w:r>
    </w:p>
    <w:p>
      <w:pPr>
        <w:spacing w:after="0" w:line="159" w:lineRule="exact"/>
        <w:rPr>
          <w:rFonts w:ascii="Times New Roman" w:cs="Times New Roman" w:eastAsia="Times New Roman" w:hAnsi="Times New Roman"/>
          <w:sz w:val="20"/>
          <w:szCs w:val="20"/>
          <w:color w:val="auto"/>
        </w:rPr>
      </w:pPr>
    </w:p>
    <w:p>
      <w:pPr>
        <w:ind w:right="280" w:firstLine="443"/>
        <w:spacing w:after="0" w:line="269" w:lineRule="auto"/>
        <w:tabs>
          <w:tab w:leader="none" w:pos="883"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Investments by any Foreign Subsidiary in any Foreign Subsidiary that is, or after giving effect to such Investment will become, a Wholly Owned Subsidiary; and;</w:t>
      </w:r>
    </w:p>
    <w:p>
      <w:pPr>
        <w:spacing w:after="0" w:line="160" w:lineRule="exact"/>
        <w:rPr>
          <w:sz w:val="20"/>
          <w:szCs w:val="20"/>
          <w:color w:val="auto"/>
        </w:rPr>
      </w:pPr>
    </w:p>
    <w:p>
      <w:pPr>
        <w:ind w:right="40" w:firstLine="443"/>
        <w:spacing w:after="0" w:line="254" w:lineRule="auto"/>
        <w:tabs>
          <w:tab w:leader="none" w:pos="927" w:val="left"/>
        </w:tabs>
        <w:numPr>
          <w:ilvl w:val="1"/>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(not otherwise permitted by subsection 7.9(f)(i)) by any Group Member in any Foreign Subsidiary (or in any Person that after giving effect to such Investment will become a Foreign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after giving effect to such Investment no Default or Event of Default will exist and the amount of any such Investment shall not exceed on the date such Investment is made, an amount equal to (1) $175,000,000 minus (2) the aggregate amount of Investments in Foreign Subsidiaries theretofore made in accordance with this subsection 7.9(f)(ii) after the Effective Date (including for such purpose the fair market value of any assets contributed to any Foreign Subsidiary (as determined in good faith by senior management of MVWC) pursuant to this Section 7.9(f)(ii), net of Indebtedness assigned to, and assumed by, the respective Foreign Subsidiary in connection therewith) it being understood and agreed that to the extent a Group Member (other than a Foreign Subsidiary) (after the respective Investment has been made) receives (A) a cash return from the respective Investment previously invested pursuant to this Section 7.9(f)(ii) (which cash return may be made by way of repayment of principal in the case of loans and cash equity returns (whether as a distribution, dividend or redemption or proceeds of a disposition) in the case of equity investments), (B) a reduction or termination of an Investment in the form of a guaranty made under this Section 7.9(f)</w:t>
      </w:r>
    </w:p>
    <w:p>
      <w:pPr>
        <w:spacing w:after="0" w:line="4" w:lineRule="exact"/>
        <w:rPr>
          <w:rFonts w:ascii="Times New Roman" w:cs="Times New Roman" w:eastAsia="Times New Roman" w:hAnsi="Times New Roman"/>
          <w:sz w:val="19"/>
          <w:szCs w:val="19"/>
          <w:color w:val="auto"/>
        </w:rPr>
      </w:pPr>
    </w:p>
    <w:p>
      <w:pPr>
        <w:ind w:left="300" w:hanging="296"/>
        <w:spacing w:after="0"/>
        <w:tabs>
          <w:tab w:leader="none" w:pos="30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(C) a return in the form of an asset distribution in respect of the respective Investment previously invested pursuant to this</w:t>
      </w:r>
    </w:p>
    <w:p>
      <w:pPr>
        <w:ind w:right="20"/>
        <w:spacing w:after="0" w:line="241" w:lineRule="auto"/>
        <w:rPr>
          <w:sz w:val="20"/>
          <w:szCs w:val="20"/>
          <w:color w:val="auto"/>
        </w:rPr>
      </w:pPr>
      <w:r>
        <w:rPr>
          <w:rFonts w:ascii="Times New Roman" w:cs="Times New Roman" w:eastAsia="Times New Roman" w:hAnsi="Times New Roman"/>
          <w:sz w:val="20"/>
          <w:szCs w:val="20"/>
          <w:color w:val="auto"/>
        </w:rPr>
        <w:t>Section 7.9(f)(ii), then the amount of such cash return of investment, such reduction or termination of a guaranty or the fair market value of such distributed asset (as determined in good faith by senior management of MVWC), as the case may be, shall be added back; provided that the aggregate amount of add-backs described above in respect of any Investment permitted by this subsection 7.9(f)(ii) shall not exceed the amount previously invested pursuant to this Section 7.9(f)(ii) in such Investment;</w:t>
      </w:r>
    </w:p>
    <w:p>
      <w:pPr>
        <w:spacing w:after="0" w:line="189" w:lineRule="exact"/>
        <w:rPr>
          <w:sz w:val="20"/>
          <w:szCs w:val="20"/>
          <w:color w:val="auto"/>
        </w:rPr>
      </w:pPr>
    </w:p>
    <w:p>
      <w:pPr>
        <w:ind w:left="920" w:hanging="477"/>
        <w:spacing w:after="0"/>
        <w:tabs>
          <w:tab w:leader="none" w:pos="92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Time Share Receivables in the ordinary course of business;</w:t>
      </w:r>
    </w:p>
    <w:p>
      <w:pPr>
        <w:spacing w:after="0" w:line="215" w:lineRule="exact"/>
        <w:rPr>
          <w:rFonts w:ascii="Times New Roman" w:cs="Times New Roman" w:eastAsia="Times New Roman" w:hAnsi="Times New Roman"/>
          <w:sz w:val="20"/>
          <w:szCs w:val="20"/>
          <w:color w:val="auto"/>
        </w:rPr>
      </w:pPr>
    </w:p>
    <w:p>
      <w:pPr>
        <w:ind w:right="20" w:firstLine="443"/>
        <w:spacing w:after="0" w:line="245" w:lineRule="auto"/>
        <w:tabs>
          <w:tab w:leader="none" w:pos="916"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 by a Group Member in a Time Share SPV or any Investment by a Time Share SPV in any other Person, in each case, in connection with a Qualified Securitization Transaction, provided, however, that any Investment in any such Person is in the form of a note or any equity interest or interests in Time Share Receivables and Related Assets generated by a Group Member and contributed or sold to such Time Share SPV in connection with a Qualified Securitization Transaction; or (ii) by a Group Member in any Time Share SPV in connection with its exercise of any rights under clean up call provisions of 15% or less in any Qualified Securitization Transaction;</w:t>
      </w:r>
    </w:p>
    <w:p>
      <w:pPr>
        <w:spacing w:after="0" w:line="185" w:lineRule="exact"/>
        <w:rPr>
          <w:rFonts w:ascii="Times New Roman" w:cs="Times New Roman" w:eastAsia="Times New Roman" w:hAnsi="Times New Roman"/>
          <w:sz w:val="20"/>
          <w:szCs w:val="20"/>
          <w:color w:val="auto"/>
        </w:rPr>
      </w:pPr>
    </w:p>
    <w:p>
      <w:pPr>
        <w:ind w:firstLine="443"/>
        <w:spacing w:after="0" w:line="254" w:lineRule="auto"/>
        <w:tabs>
          <w:tab w:leader="none" w:pos="872"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that after giving effect thereto no Default or Event of Default will exist, Investments by MVWC, the Borrower or a Wholly Owned Subsidiary Guarantor constituting either the acquisition of (x) all or substantially all of the assets, or all or substantially all of the assets constituting a</w:t>
      </w:r>
    </w:p>
    <w:p>
      <w:pPr>
        <w:sectPr>
          <w:pgSz w:w="11900" w:h="16838" w:orient="portrait"/>
          <w:cols w:equalWidth="0" w:num="1">
            <w:col w:w="10960"/>
          </w:cols>
          <w:pgMar w:left="700" w:top="409" w:right="239" w:bottom="1440" w:gutter="0" w:footer="0" w:header="0"/>
        </w:sectPr>
      </w:pPr>
    </w:p>
    <w:bookmarkStart w:id="183" w:name="page184"/>
    <w:bookmarkEnd w:id="183"/>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88</w:t>
      </w:r>
    </w:p>
    <w:p>
      <w:pPr>
        <w:spacing w:after="0" w:line="238" w:lineRule="exact"/>
        <w:rPr>
          <w:sz w:val="20"/>
          <w:szCs w:val="20"/>
          <w:color w:val="auto"/>
        </w:rPr>
      </w:pPr>
    </w:p>
    <w:p>
      <w:pPr>
        <w:ind w:left="460" w:right="40"/>
        <w:spacing w:after="0" w:line="247" w:lineRule="auto"/>
        <w:rPr>
          <w:sz w:val="20"/>
          <w:szCs w:val="20"/>
          <w:color w:val="auto"/>
        </w:rPr>
      </w:pPr>
      <w:r>
        <w:rPr>
          <w:rFonts w:ascii="Times New Roman" w:cs="Times New Roman" w:eastAsia="Times New Roman" w:hAnsi="Times New Roman"/>
          <w:sz w:val="20"/>
          <w:szCs w:val="20"/>
          <w:color w:val="auto"/>
        </w:rPr>
        <w:t>business, division or product line, of any Person not already a Subsidiary of MVWC or (y) 100% of the Capital Stock of any such Person, which Person shall, as a result of the acquisition of such Capital Stock, become a Wholly Owned Subsidiary Guarantor (or shall be merged with and into the Borrower or another Wholly Owned Subsidiary Guarantor, with the Borrower or such Wholly Owned Subsidiary Guarantor being the surviving or continuing Person) in an aggregate amount (valued at cost, including any Indebtedness assumed in connection with such acquisition) not to exceed $225,000,000 during the term of this Agreement;</w:t>
      </w:r>
    </w:p>
    <w:p>
      <w:pPr>
        <w:spacing w:after="0" w:line="181" w:lineRule="exact"/>
        <w:rPr>
          <w:sz w:val="20"/>
          <w:szCs w:val="20"/>
          <w:color w:val="auto"/>
        </w:rPr>
      </w:pPr>
    </w:p>
    <w:p>
      <w:pPr>
        <w:ind w:left="460" w:right="140" w:firstLine="542"/>
        <w:spacing w:after="0" w:line="296" w:lineRule="auto"/>
        <w:tabs>
          <w:tab w:leader="none" w:pos="1580"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Investments otherwise expressly permitted by this Section 7.9, Investments by MVWC, the Borrower or any of their respective Subsidiaries in an aggregate amount (valued at cost) not to exceed $5,000,000 during the term of this Agreement;</w:t>
      </w:r>
    </w:p>
    <w:p>
      <w:pPr>
        <w:spacing w:after="0" w:line="136" w:lineRule="exact"/>
        <w:rPr>
          <w:rFonts w:ascii="Times New Roman" w:cs="Times New Roman" w:eastAsia="Times New Roman" w:hAnsi="Times New Roman"/>
          <w:sz w:val="19"/>
          <w:szCs w:val="19"/>
          <w:color w:val="auto"/>
        </w:rPr>
      </w:pPr>
    </w:p>
    <w:p>
      <w:pPr>
        <w:ind w:left="1620" w:hanging="618"/>
        <w:spacing w:after="0"/>
        <w:tabs>
          <w:tab w:leader="none" w:pos="162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constituting Restricted Payments permitted by Section 7.7; and</w:t>
      </w:r>
    </w:p>
    <w:p>
      <w:pPr>
        <w:spacing w:after="0" w:line="215" w:lineRule="exact"/>
        <w:rPr>
          <w:rFonts w:ascii="Times New Roman" w:cs="Times New Roman" w:eastAsia="Times New Roman" w:hAnsi="Times New Roman"/>
          <w:sz w:val="20"/>
          <w:szCs w:val="20"/>
          <w:color w:val="auto"/>
        </w:rPr>
      </w:pPr>
    </w:p>
    <w:p>
      <w:pPr>
        <w:ind w:left="1580" w:hanging="578"/>
        <w:spacing w:after="0"/>
        <w:tabs>
          <w:tab w:leader="none" w:pos="158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an Investment, any Swap Agreement permitted by Section 7.12.</w:t>
      </w:r>
    </w:p>
    <w:p>
      <w:pPr>
        <w:spacing w:after="0" w:line="216" w:lineRule="exact"/>
        <w:rPr>
          <w:sz w:val="20"/>
          <w:szCs w:val="20"/>
          <w:color w:val="auto"/>
        </w:rPr>
      </w:pPr>
    </w:p>
    <w:p>
      <w:pPr>
        <w:ind w:firstLine="1027"/>
        <w:spacing w:after="0" w:line="254" w:lineRule="auto"/>
        <w:rPr>
          <w:sz w:val="20"/>
          <w:szCs w:val="20"/>
          <w:color w:val="auto"/>
        </w:rPr>
      </w:pPr>
      <w:r>
        <w:rPr>
          <w:rFonts w:ascii="Times New Roman" w:cs="Times New Roman" w:eastAsia="Times New Roman" w:hAnsi="Times New Roman"/>
          <w:sz w:val="19"/>
          <w:szCs w:val="19"/>
          <w:color w:val="auto"/>
        </w:rPr>
        <w:t xml:space="preserve">7.10 </w:t>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 Enter into any transaction, including any purchase, sale, lease or exchange of property, the rendering of any service or the payment of any management, advisory or similar fees, with any Affiliate (other than MVWC, the Borrower or any Wholly Owned Subsidiary Guarantor) unless such transaction is (a) otherwise permitted under this Agreement, (b) in the ordinary course of business of the relevant Group Member, and (c) upon fair and reasonable terms no less favorable to the relevant Group Member than it would obtain in a comparable arm’s length transaction with a Person that is not an Affiliate. The restrictions contained in this Section 7.10 shall not apply to (i) any transaction between or among Subsidiaries of the Borrower (other than MVWC, the Borrower or any Wholly Owned Subsidiary Guarantor) in the ordinary course of business, (ii) transactions between or among Group Members in the ordinary course of business not to exceed $10,000,000 in the aggregate, (iii) transactions in which the Borrower or any Subsidiary delivers to the Administrative Agent a letter from an Independent Financial Advisor stating that such transaction is fair to the Borrower or such Subsidiary from a financial point of view or stating that the terms are not materially less favorable, when taken as a whole, than those that might reasonably have been obtained by the Borrower or such Subsidiary in a comparable transaction at such time on an arms’ length basis from a Person that is not an Affiliate,</w:t>
      </w:r>
    </w:p>
    <w:p>
      <w:pPr>
        <w:spacing w:after="0" w:line="4" w:lineRule="exact"/>
        <w:rPr>
          <w:sz w:val="20"/>
          <w:szCs w:val="20"/>
          <w:color w:val="auto"/>
        </w:rPr>
      </w:pPr>
    </w:p>
    <w:p>
      <w:pPr>
        <w:ind w:right="20" w:firstLine="8"/>
        <w:spacing w:after="0" w:line="239" w:lineRule="auto"/>
        <w:tabs>
          <w:tab w:leader="none" w:pos="335"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(including any working capital true-up payment) entered into in connection with the Spin-Off, including the Separation and Distribution Agreement and the Intercompany Agreements, (v) to any sale or other transfer of Time Share Receivables and other Related Assets or other transactions customarily effected as part of (A) a Qualified Securitization Transaction (including, without limitation, servicing agreements and other similar arrangements customary in Qualified Securitization Transactions) or (B) the Receivables Warehouse Facility,</w:t>
      </w:r>
    </w:p>
    <w:p>
      <w:pPr>
        <w:spacing w:after="0" w:line="2"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timeshare and fractional sales commissioned services provided through operations in Mexico, Latin America or the Caribbean or</w:t>
      </w:r>
    </w:p>
    <w:p>
      <w:pPr>
        <w:ind w:left="400" w:hanging="392"/>
        <w:spacing w:after="0"/>
        <w:tabs>
          <w:tab w:leader="none" w:pos="40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owner services activities provided through Promociones Marriott, S.A. de C.V.</w:t>
      </w:r>
    </w:p>
    <w:p>
      <w:pPr>
        <w:spacing w:after="0" w:line="194" w:lineRule="exact"/>
        <w:rPr>
          <w:sz w:val="20"/>
          <w:szCs w:val="20"/>
          <w:color w:val="auto"/>
        </w:rPr>
      </w:pPr>
    </w:p>
    <w:p>
      <w:pPr>
        <w:ind w:right="80" w:firstLine="1027"/>
        <w:spacing w:after="0" w:line="254" w:lineRule="auto"/>
        <w:rPr>
          <w:sz w:val="20"/>
          <w:szCs w:val="20"/>
          <w:color w:val="auto"/>
        </w:rPr>
      </w:pPr>
      <w:r>
        <w:rPr>
          <w:rFonts w:ascii="Times New Roman" w:cs="Times New Roman" w:eastAsia="Times New Roman" w:hAnsi="Times New Roman"/>
          <w:sz w:val="20"/>
          <w:szCs w:val="20"/>
          <w:color w:val="auto"/>
        </w:rPr>
        <w:t xml:space="preserve">7.11 </w:t>
      </w:r>
      <w:r>
        <w:rPr>
          <w:rFonts w:ascii="Times New Roman" w:cs="Times New Roman" w:eastAsia="Times New Roman" w:hAnsi="Times New Roman"/>
          <w:sz w:val="20"/>
          <w:szCs w:val="20"/>
          <w:u w:val="single" w:color="auto"/>
          <w:color w:val="auto"/>
        </w:rPr>
        <w:t>Sales and Leasebacks</w:t>
      </w:r>
      <w:r>
        <w:rPr>
          <w:rFonts w:ascii="Times New Roman" w:cs="Times New Roman" w:eastAsia="Times New Roman" w:hAnsi="Times New Roman"/>
          <w:sz w:val="20"/>
          <w:szCs w:val="20"/>
          <w:color w:val="auto"/>
        </w:rPr>
        <w:t>. Enter into any arrangement with any Person providing for the leasing by any Group Member of real or personal property that has been or is to be sold or transferred by such Group Member to such Person or to any other Person to whom funds have been or are to be advanced by such Person on the security of such property or rental obligations of such Group Member.</w:t>
      </w:r>
    </w:p>
    <w:p>
      <w:pPr>
        <w:spacing w:after="0" w:line="175" w:lineRule="exact"/>
        <w:rPr>
          <w:sz w:val="20"/>
          <w:szCs w:val="20"/>
          <w:color w:val="auto"/>
        </w:rPr>
      </w:pPr>
    </w:p>
    <w:p>
      <w:pPr>
        <w:ind w:right="80" w:firstLine="1027"/>
        <w:spacing w:after="0" w:line="249" w:lineRule="auto"/>
        <w:rPr>
          <w:sz w:val="20"/>
          <w:szCs w:val="20"/>
          <w:color w:val="auto"/>
        </w:rPr>
      </w:pPr>
      <w:r>
        <w:rPr>
          <w:rFonts w:ascii="Times New Roman" w:cs="Times New Roman" w:eastAsia="Times New Roman" w:hAnsi="Times New Roman"/>
          <w:sz w:val="20"/>
          <w:szCs w:val="20"/>
          <w:color w:val="auto"/>
        </w:rPr>
        <w:t xml:space="preserve">7.12 </w:t>
      </w:r>
      <w:r>
        <w:rPr>
          <w:rFonts w:ascii="Times New Roman" w:cs="Times New Roman" w:eastAsia="Times New Roman" w:hAnsi="Times New Roman"/>
          <w:sz w:val="20"/>
          <w:szCs w:val="20"/>
          <w:u w:val="single" w:color="auto"/>
          <w:color w:val="auto"/>
        </w:rPr>
        <w:t>Swap Agreements</w:t>
      </w:r>
      <w:r>
        <w:rPr>
          <w:rFonts w:ascii="Times New Roman" w:cs="Times New Roman" w:eastAsia="Times New Roman" w:hAnsi="Times New Roman"/>
          <w:sz w:val="20"/>
          <w:szCs w:val="20"/>
          <w:color w:val="auto"/>
        </w:rPr>
        <w:t>. Enter into any Swap Agreement, except (a) Swap Agreements entered into to hedge or mitigate risks to which the Borrower or any Subsidiary has actual exposure (other than those in respect of Capital Stock), (b) Swap Agreements entered into in order to effectively cap, collar or exchange interest rates (from fixed to floating rates, from one floating rate to another floating rate or otherwise) with respect to any interest-bearing liability or investment of the</w:t>
      </w:r>
    </w:p>
    <w:p>
      <w:pPr>
        <w:sectPr>
          <w:pgSz w:w="11900" w:h="16838" w:orient="portrait"/>
          <w:cols w:equalWidth="0" w:num="1">
            <w:col w:w="11420"/>
          </w:cols>
          <w:pgMar w:left="240" w:top="409" w:right="2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89</w:t>
      </w:r>
    </w:p>
    <w:p>
      <w:pPr>
        <w:spacing w:after="0" w:line="238"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20"/>
          <w:szCs w:val="20"/>
          <w:color w:val="auto"/>
        </w:rPr>
        <w:t>Borrower or any Subsidiary, (c) back-to-back Swap Agreements between MVWC, the Borrower or any Subsidiary and a counterparty which constitutes, in all material respects, a mirror Swap Agreement to any swap transaction described in clauses (a) and (b) of this Section 7.12 in connection with the Receivables Warehouse Facility or any Qualified Securitization Transaction and (d) any accelerated share repurchase agreement, prepaid forward purchase agreement or similar contract and all other agreements related thereto with respect to the purchase by MVWC of its Capital Stock to the extent permitted by Section 7.7(e).</w:t>
      </w:r>
    </w:p>
    <w:p>
      <w:pPr>
        <w:spacing w:after="0" w:line="181" w:lineRule="exact"/>
        <w:rPr>
          <w:sz w:val="20"/>
          <w:szCs w:val="20"/>
          <w:color w:val="auto"/>
        </w:rPr>
      </w:pPr>
    </w:p>
    <w:p>
      <w:pPr>
        <w:ind w:left="1040"/>
        <w:spacing w:after="0"/>
        <w:tabs>
          <w:tab w:leader="none" w:pos="1600" w:val="left"/>
        </w:tabs>
        <w:rPr>
          <w:sz w:val="20"/>
          <w:szCs w:val="20"/>
          <w:color w:val="auto"/>
        </w:rPr>
      </w:pPr>
      <w:r>
        <w:rPr>
          <w:rFonts w:ascii="Times New Roman" w:cs="Times New Roman" w:eastAsia="Times New Roman" w:hAnsi="Times New Roman"/>
          <w:sz w:val="20"/>
          <w:szCs w:val="20"/>
          <w:color w:val="auto"/>
        </w:rPr>
        <w:t>7.13</w:t>
      </w:r>
      <w:r>
        <w:rPr>
          <w:sz w:val="20"/>
          <w:szCs w:val="20"/>
          <w:color w:val="auto"/>
        </w:rPr>
        <w:tab/>
      </w:r>
      <w:r>
        <w:rPr>
          <w:rFonts w:ascii="Times New Roman" w:cs="Times New Roman" w:eastAsia="Times New Roman" w:hAnsi="Times New Roman"/>
          <w:sz w:val="19"/>
          <w:szCs w:val="19"/>
          <w:u w:val="single" w:color="auto"/>
          <w:color w:val="auto"/>
        </w:rPr>
        <w:t>Changes in Fiscal Periods</w:t>
      </w:r>
      <w:r>
        <w:rPr>
          <w:rFonts w:ascii="Times New Roman" w:cs="Times New Roman" w:eastAsia="Times New Roman" w:hAnsi="Times New Roman"/>
          <w:sz w:val="19"/>
          <w:szCs w:val="19"/>
          <w:color w:val="auto"/>
        </w:rPr>
        <w:t>. Permit a Fiscal Year to end on a day other than as specified for such Fiscal Year in Schedule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1.1E or change the method for determining Fiscal Quarters or Fiscal Months.</w:t>
      </w:r>
    </w:p>
    <w:p>
      <w:pPr>
        <w:spacing w:after="0" w:line="194" w:lineRule="exact"/>
        <w:rPr>
          <w:sz w:val="20"/>
          <w:szCs w:val="20"/>
          <w:color w:val="auto"/>
        </w:rPr>
      </w:pPr>
    </w:p>
    <w:p>
      <w:pPr>
        <w:ind w:right="20" w:firstLine="1027"/>
        <w:spacing w:after="0" w:line="247" w:lineRule="auto"/>
        <w:rPr>
          <w:sz w:val="20"/>
          <w:szCs w:val="20"/>
          <w:color w:val="auto"/>
        </w:rPr>
      </w:pPr>
      <w:r>
        <w:rPr>
          <w:rFonts w:ascii="Times New Roman" w:cs="Times New Roman" w:eastAsia="Times New Roman" w:hAnsi="Times New Roman"/>
          <w:sz w:val="20"/>
          <w:szCs w:val="20"/>
          <w:color w:val="auto"/>
        </w:rPr>
        <w:t xml:space="preserve">7.14 </w:t>
      </w:r>
      <w:r>
        <w:rPr>
          <w:rFonts w:ascii="Times New Roman" w:cs="Times New Roman" w:eastAsia="Times New Roman" w:hAnsi="Times New Roman"/>
          <w:sz w:val="20"/>
          <w:szCs w:val="20"/>
          <w:u w:val="single" w:color="auto"/>
          <w:color w:val="auto"/>
        </w:rPr>
        <w:t>Negative Pledge Clauses</w:t>
      </w:r>
      <w:r>
        <w:rPr>
          <w:rFonts w:ascii="Times New Roman" w:cs="Times New Roman" w:eastAsia="Times New Roman" w:hAnsi="Times New Roman"/>
          <w:sz w:val="20"/>
          <w:szCs w:val="20"/>
          <w:color w:val="auto"/>
        </w:rPr>
        <w:t>. Enter into or suffer to exist or become effective any agreement that prohibits or limits the ability of any Group Member (other than a Special Purpose Subsidiary) to create, incur, assume or suffer to exist any Lien upon any of its property or revenues, whether now owned or hereafter acquired, to secure its obligations under the Loan Documents to which it is a party other than (a) this Agreement and the other Loan Documents and (b) any agreements governing any purchase money Liens or Capital Lease Obligations otherwise permitted hereby (in which case, any prohibition or limitation shall only be effective against the assets financed thereby).</w:t>
      </w:r>
    </w:p>
    <w:p>
      <w:pPr>
        <w:spacing w:after="0" w:line="181" w:lineRule="exact"/>
        <w:rPr>
          <w:sz w:val="20"/>
          <w:szCs w:val="20"/>
          <w:color w:val="auto"/>
        </w:rPr>
      </w:pPr>
    </w:p>
    <w:p>
      <w:pPr>
        <w:ind w:right="60" w:firstLine="1027"/>
        <w:spacing w:after="0" w:line="243" w:lineRule="auto"/>
        <w:rPr>
          <w:sz w:val="20"/>
          <w:szCs w:val="20"/>
          <w:color w:val="auto"/>
        </w:rPr>
      </w:pPr>
      <w:r>
        <w:rPr>
          <w:rFonts w:ascii="Times New Roman" w:cs="Times New Roman" w:eastAsia="Times New Roman" w:hAnsi="Times New Roman"/>
          <w:sz w:val="20"/>
          <w:szCs w:val="20"/>
          <w:color w:val="auto"/>
        </w:rPr>
        <w:t xml:space="preserve">7.15 </w:t>
      </w:r>
      <w:r>
        <w:rPr>
          <w:rFonts w:ascii="Times New Roman" w:cs="Times New Roman" w:eastAsia="Times New Roman" w:hAnsi="Times New Roman"/>
          <w:sz w:val="20"/>
          <w:szCs w:val="20"/>
          <w:u w:val="single" w:color="auto"/>
          <w:color w:val="auto"/>
        </w:rPr>
        <w:t>Clauses Restricting Subsidiary Distributions</w:t>
      </w:r>
      <w:r>
        <w:rPr>
          <w:rFonts w:ascii="Times New Roman" w:cs="Times New Roman" w:eastAsia="Times New Roman" w:hAnsi="Times New Roman"/>
          <w:sz w:val="20"/>
          <w:szCs w:val="20"/>
          <w:color w:val="auto"/>
        </w:rPr>
        <w:t>. Enter into or suffer to exist or become effective any consensual encumbrance or restriction on the ability of any Subsidiary of MVWC (other than a Special Purpose Subsidiary with respect to the Qualified Securitization Transaction to which such Special Purpose Subsidiary is a party) to (a) make Restricted Payments in respect of any Capital Stock of such Subsidiary held by, or pay any Indebtedness owed to, MVWC or any other Subsidiary, (b) make loans or advances to, or other Investments in, MVWC or any Subsidiary or (c) transfer any of its assets to MVWC, except for such encumbrances or restrictions existing under or by reason of (i) any restrictions existing under the Loan Documents and (ii) any restrictions with respect to a Subsidiary imposed pursuant to an agreement that has been entered into in connection with the Disposition of all or substantially all of the Capital Stock or assets of such Subsidiary.</w:t>
      </w:r>
    </w:p>
    <w:p>
      <w:pPr>
        <w:spacing w:after="0" w:line="190" w:lineRule="exact"/>
        <w:rPr>
          <w:sz w:val="20"/>
          <w:szCs w:val="20"/>
          <w:color w:val="auto"/>
        </w:rPr>
      </w:pPr>
    </w:p>
    <w:p>
      <w:pPr>
        <w:ind w:right="100" w:firstLine="1027"/>
        <w:spacing w:after="0" w:line="247" w:lineRule="auto"/>
        <w:rPr>
          <w:sz w:val="20"/>
          <w:szCs w:val="20"/>
          <w:color w:val="auto"/>
        </w:rPr>
      </w:pPr>
      <w:r>
        <w:rPr>
          <w:rFonts w:ascii="Times New Roman" w:cs="Times New Roman" w:eastAsia="Times New Roman" w:hAnsi="Times New Roman"/>
          <w:sz w:val="20"/>
          <w:szCs w:val="20"/>
          <w:color w:val="auto"/>
        </w:rPr>
        <w:t xml:space="preserve">7.16 </w:t>
      </w:r>
      <w:r>
        <w:rPr>
          <w:rFonts w:ascii="Times New Roman" w:cs="Times New Roman" w:eastAsia="Times New Roman" w:hAnsi="Times New Roman"/>
          <w:sz w:val="20"/>
          <w:szCs w:val="20"/>
          <w:u w:val="single" w:color="auto"/>
          <w:color w:val="auto"/>
        </w:rPr>
        <w:t>Lines of Business</w:t>
      </w:r>
      <w:r>
        <w:rPr>
          <w:rFonts w:ascii="Times New Roman" w:cs="Times New Roman" w:eastAsia="Times New Roman" w:hAnsi="Times New Roman"/>
          <w:sz w:val="20"/>
          <w:szCs w:val="20"/>
          <w:color w:val="auto"/>
        </w:rPr>
        <w:t xml:space="preserve">. Enter into any business, either directly or through any Subsidiary, except for those businesses in which the Borrower and its Subsidiaries are engaged on the date of this Agreement (after giving effect to the Spin-Off) or that are reasonably related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avoidance of doubt, the operation by any Loan Party of any Time Share Development Property prior to or during the conversion of such Time Share Development Property to Time Share Interests shall be deemed to be reasonably related to the businesses in which the Borrower and its Subsidiaries were engaged on or prior to the date of this Agreement.</w:t>
      </w:r>
    </w:p>
    <w:p>
      <w:pPr>
        <w:spacing w:after="0" w:line="181" w:lineRule="exact"/>
        <w:rPr>
          <w:sz w:val="20"/>
          <w:szCs w:val="20"/>
          <w:color w:val="auto"/>
        </w:rPr>
      </w:pPr>
    </w:p>
    <w:p>
      <w:pPr>
        <w:jc w:val="both"/>
        <w:ind w:right="200" w:firstLine="1027"/>
        <w:spacing w:after="0" w:line="260" w:lineRule="auto"/>
        <w:rPr>
          <w:sz w:val="20"/>
          <w:szCs w:val="20"/>
          <w:color w:val="auto"/>
        </w:rPr>
      </w:pPr>
      <w:r>
        <w:rPr>
          <w:rFonts w:ascii="Times New Roman" w:cs="Times New Roman" w:eastAsia="Times New Roman" w:hAnsi="Times New Roman"/>
          <w:sz w:val="19"/>
          <w:szCs w:val="19"/>
          <w:color w:val="auto"/>
        </w:rPr>
        <w:t xml:space="preserve">7.17 </w:t>
      </w:r>
      <w:r>
        <w:rPr>
          <w:rFonts w:ascii="Times New Roman" w:cs="Times New Roman" w:eastAsia="Times New Roman" w:hAnsi="Times New Roman"/>
          <w:sz w:val="19"/>
          <w:szCs w:val="19"/>
          <w:u w:val="single" w:color="auto"/>
          <w:color w:val="auto"/>
        </w:rPr>
        <w:t>Amendments to Intercompany Agreements</w:t>
      </w:r>
      <w:r>
        <w:rPr>
          <w:rFonts w:ascii="Times New Roman" w:cs="Times New Roman" w:eastAsia="Times New Roman" w:hAnsi="Times New Roman"/>
          <w:sz w:val="19"/>
          <w:szCs w:val="19"/>
          <w:color w:val="auto"/>
        </w:rPr>
        <w:t>. Amend, supplement or otherwise modify (pursuant to a waiver or otherwise) the terms and conditions of the Intercompany Agreements or the Separation and Distribution Agreement if the effect of any such amendment, supplement or modification (individually or when taken cumulatively with all prior such amendments, supplements and modifications)</w:t>
      </w:r>
    </w:p>
    <w:p>
      <w:pPr>
        <w:spacing w:after="0" w:line="1" w:lineRule="exact"/>
        <w:rPr>
          <w:sz w:val="20"/>
          <w:szCs w:val="20"/>
          <w:color w:val="auto"/>
        </w:rPr>
      </w:pPr>
    </w:p>
    <w:p>
      <w:pPr>
        <w:ind w:right="20" w:firstLine="8"/>
        <w:spacing w:after="0" w:line="242" w:lineRule="auto"/>
        <w:tabs>
          <w:tab w:leader="none" w:pos="269"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would make the terms of any such agreement (including any of the indemnities or licenses contained therein or any fees payable thereunder) taken as a whole, materially less favorable to the interests of the Borrower, the Borrower and its Subsidiaries taken as a whole, the Group Members taken as a whole or the Lenders with respect thereto or (b) could reasonably be expected to have a Material Adverse Effect.</w:t>
      </w:r>
    </w:p>
    <w:p>
      <w:pPr>
        <w:spacing w:after="0" w:line="187" w:lineRule="exact"/>
        <w:rPr>
          <w:sz w:val="20"/>
          <w:szCs w:val="20"/>
          <w:color w:val="auto"/>
        </w:rPr>
      </w:pPr>
    </w:p>
    <w:p>
      <w:pPr>
        <w:ind w:right="220" w:firstLine="1027"/>
        <w:spacing w:after="0" w:line="254" w:lineRule="auto"/>
        <w:rPr>
          <w:sz w:val="20"/>
          <w:szCs w:val="20"/>
          <w:color w:val="auto"/>
        </w:rPr>
      </w:pPr>
      <w:r>
        <w:rPr>
          <w:rFonts w:ascii="Times New Roman" w:cs="Times New Roman" w:eastAsia="Times New Roman" w:hAnsi="Times New Roman"/>
          <w:sz w:val="20"/>
          <w:szCs w:val="20"/>
          <w:color w:val="auto"/>
        </w:rPr>
        <w:t xml:space="preserve">7.18 </w:t>
      </w:r>
      <w:r>
        <w:rPr>
          <w:rFonts w:ascii="Times New Roman" w:cs="Times New Roman" w:eastAsia="Times New Roman" w:hAnsi="Times New Roman"/>
          <w:sz w:val="20"/>
          <w:szCs w:val="20"/>
          <w:u w:val="single" w:color="auto"/>
          <w:color w:val="auto"/>
        </w:rPr>
        <w:t>Optional Payments and Modifications of Subordinated Debt</w:t>
      </w:r>
      <w:r>
        <w:rPr>
          <w:rFonts w:ascii="Times New Roman" w:cs="Times New Roman" w:eastAsia="Times New Roman" w:hAnsi="Times New Roman"/>
          <w:sz w:val="20"/>
          <w:szCs w:val="20"/>
          <w:color w:val="auto"/>
        </w:rPr>
        <w:t>. (a) Permit any Group Member to make any optional or voluntary payment, prepayment, repurchase or redemption of, or otherwise voluntarily or optionally defease the principal of or interest on, or any other amount owing in respect of, any Subordinated Debt except pursuant to a Permitted Refinancing.</w:t>
      </w:r>
    </w:p>
    <w:p>
      <w:pPr>
        <w:sectPr>
          <w:pgSz w:w="11900" w:h="16838" w:orient="portrait"/>
          <w:cols w:equalWidth="0" w:num="1">
            <w:col w:w="11420"/>
          </w:cols>
          <w:pgMar w:left="240" w:top="409" w:right="2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90</w:t>
      </w:r>
    </w:p>
    <w:p>
      <w:pPr>
        <w:spacing w:after="0" w:line="238" w:lineRule="exact"/>
        <w:rPr>
          <w:sz w:val="20"/>
          <w:szCs w:val="20"/>
          <w:color w:val="auto"/>
        </w:rPr>
      </w:pPr>
    </w:p>
    <w:p>
      <w:pPr>
        <w:ind w:right="200" w:firstLine="921"/>
        <w:spacing w:after="0" w:line="249" w:lineRule="auto"/>
        <w:tabs>
          <w:tab w:leader="none" w:pos="1391"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any Group Member to amend, modify or otherwise change, or consent or agree to any amendment, modification, waiver or other change to, any of the terms of any agreement or instrument governing or evidencing Subordinated Debt in any manner that is, taken as a whole with all such changes, materially adverse to the Lenders without the prior consent of the Administrative Agent (with the approval of the Required Lenders).</w:t>
      </w:r>
    </w:p>
    <w:p>
      <w:pPr>
        <w:spacing w:after="0" w:line="180" w:lineRule="exact"/>
        <w:rPr>
          <w:sz w:val="20"/>
          <w:szCs w:val="20"/>
          <w:color w:val="auto"/>
        </w:rPr>
      </w:pPr>
    </w:p>
    <w:p>
      <w:pPr>
        <w:ind w:firstLine="913"/>
        <w:spacing w:after="0" w:line="245" w:lineRule="auto"/>
        <w:rPr>
          <w:sz w:val="20"/>
          <w:szCs w:val="20"/>
          <w:color w:val="auto"/>
        </w:rPr>
      </w:pPr>
      <w:r>
        <w:rPr>
          <w:rFonts w:ascii="Times New Roman" w:cs="Times New Roman" w:eastAsia="Times New Roman" w:hAnsi="Times New Roman"/>
          <w:sz w:val="20"/>
          <w:szCs w:val="20"/>
          <w:color w:val="auto"/>
        </w:rPr>
        <w:t xml:space="preserve">7.19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Borrower will not request any Loan or Letter of Credit, and the Borrower shall not use, and shall procure that its Subsidiaries and its or their respective directors, officers, employees and agents shall not use, the proceeds of any Loan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185" w:lineRule="exact"/>
        <w:rPr>
          <w:sz w:val="20"/>
          <w:szCs w:val="20"/>
          <w:color w:val="auto"/>
        </w:rPr>
      </w:pPr>
    </w:p>
    <w:p>
      <w:pPr>
        <w:ind w:left="4080"/>
        <w:spacing w:after="0"/>
        <w:tabs>
          <w:tab w:leader="none" w:pos="5340" w:val="left"/>
        </w:tabs>
        <w:rPr>
          <w:sz w:val="20"/>
          <w:szCs w:val="20"/>
          <w:color w:val="auto"/>
        </w:rPr>
      </w:pPr>
      <w:r>
        <w:rPr>
          <w:rFonts w:ascii="Times New Roman" w:cs="Times New Roman" w:eastAsia="Times New Roman" w:hAnsi="Times New Roman"/>
          <w:sz w:val="20"/>
          <w:szCs w:val="20"/>
          <w:color w:val="auto"/>
        </w:rPr>
        <w:t>SECTION 8.</w:t>
      </w:r>
      <w:r>
        <w:rPr>
          <w:sz w:val="20"/>
          <w:szCs w:val="20"/>
          <w:color w:val="auto"/>
        </w:rPr>
        <w:tab/>
      </w:r>
      <w:r>
        <w:rPr>
          <w:rFonts w:ascii="Times New Roman" w:cs="Times New Roman" w:eastAsia="Times New Roman" w:hAnsi="Times New Roman"/>
          <w:sz w:val="19"/>
          <w:szCs w:val="19"/>
          <w:color w:val="auto"/>
        </w:rPr>
        <w:t>EVENTS OF DEFAULT</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If any of the following events shall occur and be continuing:</w:t>
      </w:r>
    </w:p>
    <w:p>
      <w:pPr>
        <w:spacing w:after="0" w:line="216" w:lineRule="exact"/>
        <w:rPr>
          <w:sz w:val="20"/>
          <w:szCs w:val="20"/>
          <w:color w:val="auto"/>
        </w:rPr>
      </w:pPr>
    </w:p>
    <w:p>
      <w:pPr>
        <w:ind w:left="460" w:right="80" w:firstLine="443"/>
        <w:spacing w:after="0" w:line="249" w:lineRule="auto"/>
        <w:tabs>
          <w:tab w:leader="none" w:pos="1365"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fail to pay any principal of any Loan or Reimbursement Obligation when due in accordance with the terms hereof; or the Borrower shall fail to pay any interest on any Loan or Reimbursement Obligation, or any other amount payable hereunder or under any other Loan Document, within three Business Days after any such interest or other amount becomes due in accordance with the terms hereof; or</w:t>
      </w:r>
    </w:p>
    <w:p>
      <w:pPr>
        <w:spacing w:after="0" w:line="180" w:lineRule="exact"/>
        <w:rPr>
          <w:rFonts w:ascii="Times New Roman" w:cs="Times New Roman" w:eastAsia="Times New Roman" w:hAnsi="Times New Roman"/>
          <w:sz w:val="20"/>
          <w:szCs w:val="20"/>
          <w:color w:val="auto"/>
        </w:rPr>
      </w:pPr>
    </w:p>
    <w:p>
      <w:pPr>
        <w:ind w:left="460" w:right="400" w:firstLine="443"/>
        <w:spacing w:after="0" w:line="249" w:lineRule="auto"/>
        <w:tabs>
          <w:tab w:leader="none" w:pos="1376"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inaccurate in any material respect on or as of the date made or deemed made; or</w:t>
      </w:r>
    </w:p>
    <w:p>
      <w:pPr>
        <w:spacing w:after="0" w:line="180" w:lineRule="exact"/>
        <w:rPr>
          <w:rFonts w:ascii="Times New Roman" w:cs="Times New Roman" w:eastAsia="Times New Roman" w:hAnsi="Times New Roman"/>
          <w:sz w:val="20"/>
          <w:szCs w:val="20"/>
          <w:color w:val="auto"/>
        </w:rPr>
      </w:pPr>
    </w:p>
    <w:p>
      <w:pPr>
        <w:ind w:left="460" w:right="260" w:firstLine="443"/>
        <w:spacing w:after="0" w:line="254" w:lineRule="auto"/>
        <w:tabs>
          <w:tab w:leader="none" w:pos="1365"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shall default in the observance or performance of any agreement contained in Section 6.2(f), Section 6.3(b), clause (i) or (ii) of Section 6.5(a) (with respect to MVWC and the Borrower only), Section 6.8(a) or Section 7 of this Agreement or Sections 5.3 and 5.5(b) of the Guarantee and Collateral Agreement; or</w:t>
      </w:r>
    </w:p>
    <w:p>
      <w:pPr>
        <w:spacing w:after="0" w:line="174" w:lineRule="exact"/>
        <w:rPr>
          <w:rFonts w:ascii="Times New Roman" w:cs="Times New Roman" w:eastAsia="Times New Roman" w:hAnsi="Times New Roman"/>
          <w:sz w:val="20"/>
          <w:szCs w:val="20"/>
          <w:color w:val="auto"/>
        </w:rPr>
      </w:pPr>
    </w:p>
    <w:p>
      <w:pPr>
        <w:ind w:left="460" w:right="220" w:firstLine="443"/>
        <w:spacing w:after="0" w:line="249" w:lineRule="auto"/>
        <w:tabs>
          <w:tab w:leader="none" w:pos="1376"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shall default in the observance or performance of any other agreement contained in this Agreement or any other Loan Document (other than as provided in paragraphs (a) through (c) of this Section), and such default shall continue unremedied for a period of 30 days after the earlier of the date on which a Responsible Officer obtains knowledge thereof or notice to the Borrower from the Administrative Agent or the Required Lenders; or</w:t>
      </w:r>
    </w:p>
    <w:p>
      <w:pPr>
        <w:spacing w:after="0" w:line="180" w:lineRule="exact"/>
        <w:rPr>
          <w:rFonts w:ascii="Times New Roman" w:cs="Times New Roman" w:eastAsia="Times New Roman" w:hAnsi="Times New Roman"/>
          <w:sz w:val="20"/>
          <w:szCs w:val="20"/>
          <w:color w:val="auto"/>
        </w:rPr>
      </w:pPr>
    </w:p>
    <w:p>
      <w:pPr>
        <w:ind w:left="460" w:right="160" w:firstLine="443"/>
        <w:spacing w:after="0" w:line="247" w:lineRule="auto"/>
        <w:tabs>
          <w:tab w:leader="none" w:pos="1365"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Group Member shall (i) default in making any payment of any principal of any Indebtedness (including any Guarantee Obligation, but excluding the Loans) on the scheduled or original due date with respect thereto; or (ii) default in making any payment of any interest on any such Indebtedness beyond the period of grace, if any, provided in the instrument or agreement under which such Indebtedness was created; or (iii) default in the observance or performance of any other agreement or condition relating to any such Indebtedness or contained</w:t>
      </w:r>
    </w:p>
    <w:p>
      <w:pPr>
        <w:sectPr>
          <w:pgSz w:w="11900" w:h="16838" w:orient="portrait"/>
          <w:cols w:equalWidth="0" w:num="1">
            <w:col w:w="11420"/>
          </w:cols>
          <w:pgMar w:left="240" w:top="409" w:right="2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91</w:t>
      </w:r>
    </w:p>
    <w:p>
      <w:pPr>
        <w:spacing w:after="0" w:line="23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 xml:space="preserve">in any instrument or agreement evidencing, securing or relating thereto, or any other event shall occur or condition exist, the effect of which default or other event or condition is to cause, or to permit the holder or beneficiary of such Indebtedness (or a trustee or agent on behalf of such holder or beneficiary) to cause, with the giving of notice if required, such Indebtedness to become due, or to require prepayment, repurchase, redemption or defeasance thereof, prior to its stated maturity or (in the case of any such Indebtedness constituting a Guarantee Obligation) to become payable;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default, event or condition described in clause (i), (ii) or (iii) of this paragraph (e) shall not at any time constitute an Event of Default unless, at such time, one or more defaults, events or conditions of the type described in clauses (i), (ii) and (iii) of this paragraph (e) shall have occurred and be continuing with respect to Indebtedness the aggregate outstanding principal amount of which is, in the case of Indebtedness that is Non-Recourse Debt $75,000,000 or more, and with respect to any other Indebtedness, $20,000,000 or more; or</w:t>
      </w:r>
    </w:p>
    <w:p>
      <w:pPr>
        <w:spacing w:after="0" w:line="187" w:lineRule="exact"/>
        <w:rPr>
          <w:sz w:val="20"/>
          <w:szCs w:val="20"/>
          <w:color w:val="auto"/>
        </w:rPr>
      </w:pPr>
    </w:p>
    <w:p>
      <w:pPr>
        <w:ind w:right="180" w:firstLine="443"/>
        <w:spacing w:after="0" w:line="269" w:lineRule="auto"/>
        <w:tabs>
          <w:tab w:leader="none" w:pos="883"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be an event of default that has not been cured or waived under, or involuntary termination prior to maturity of, the Receivables Warehouse Facility; or</w:t>
      </w:r>
    </w:p>
    <w:p>
      <w:pPr>
        <w:spacing w:after="0" w:line="159" w:lineRule="exact"/>
        <w:rPr>
          <w:rFonts w:ascii="Times New Roman" w:cs="Times New Roman" w:eastAsia="Times New Roman" w:hAnsi="Times New Roman"/>
          <w:sz w:val="20"/>
          <w:szCs w:val="20"/>
          <w:color w:val="auto"/>
        </w:rPr>
      </w:pPr>
    </w:p>
    <w:p>
      <w:pPr>
        <w:ind w:right="40" w:firstLine="443"/>
        <w:spacing w:after="0" w:line="255" w:lineRule="auto"/>
        <w:tabs>
          <w:tab w:leader="none" w:pos="867" w:val="left"/>
        </w:tabs>
        <w:numPr>
          <w:ilvl w:val="1"/>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any Group Member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(ii) there shall be commenced against any Group Member any case, proceeding or other action of a nature referred to in clause (i) above that (A) results in the entry of an order for relief or any such adjudication or appointment or (B) remains undismissed or undischarged for a period of 60 days; or</w:t>
      </w:r>
    </w:p>
    <w:p>
      <w:pPr>
        <w:spacing w:after="0" w:line="4" w:lineRule="exact"/>
        <w:rPr>
          <w:rFonts w:ascii="Times New Roman" w:cs="Times New Roman" w:eastAsia="Times New Roman" w:hAnsi="Times New Roman"/>
          <w:sz w:val="19"/>
          <w:szCs w:val="19"/>
          <w:color w:val="auto"/>
        </w:rPr>
      </w:pPr>
    </w:p>
    <w:p>
      <w:pPr>
        <w:ind w:right="80" w:firstLine="4"/>
        <w:spacing w:after="0" w:line="252" w:lineRule="auto"/>
        <w:tabs>
          <w:tab w:leader="none" w:pos="346"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shall be commenced against any Group Member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w:t>
      </w:r>
    </w:p>
    <w:p>
      <w:pPr>
        <w:ind w:firstLine="4"/>
        <w:spacing w:after="0" w:line="241" w:lineRule="auto"/>
        <w:tabs>
          <w:tab w:leader="none" w:pos="335"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Group Member shall take any action in furtherance of, or indicating its consent to, approval of, or acquiescence in, any of the acts set forth in clause (i), (ii), or (iii) above; or (v) any Group Member shall generally not, or shall be unable to, or shall admit in writing its inability to, pay its debts as they become due; or (vi) or any Group Member shall make a general assignment for the benefit of its creditors; or</w:t>
      </w:r>
    </w:p>
    <w:p>
      <w:pPr>
        <w:spacing w:after="0" w:line="188" w:lineRule="exact"/>
        <w:rPr>
          <w:rFonts w:ascii="Times New Roman" w:cs="Times New Roman" w:eastAsia="Times New Roman" w:hAnsi="Times New Roman"/>
          <w:sz w:val="20"/>
          <w:szCs w:val="20"/>
          <w:color w:val="auto"/>
        </w:rPr>
      </w:pPr>
    </w:p>
    <w:p>
      <w:pPr>
        <w:ind w:right="180" w:firstLine="443"/>
        <w:spacing w:after="0" w:line="256" w:lineRule="auto"/>
        <w:tabs>
          <w:tab w:leader="none" w:pos="867" w:val="left"/>
        </w:tabs>
        <w:numPr>
          <w:ilvl w:val="1"/>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an ERISA Event and /or a Foreign Plan Event shall have occurred; (ii) a trustee shall be appointed by a United States district court to administer any Pension Plan; (iii) the PBGC shall institute proceedings to terminate any Pension Plan; (iv) any Group Member or any of their respective ERISA Affiliates shall have been notified by the sponsor of a Multiemployer Plan that it has incurred or will be assessed Withdrawal Liability to such Multiemployer Plan and such entity does not have reasonable grounds for contesting such Withdrawal Liability or is not contesting such Withdrawal Liability in a timely and appropriate manner; or (v) any other event or condition shall occur or exist with respect to a Plan, a Foreign Benefit Arrangement, or a Foreign Plan; and in each case in clauses</w:t>
      </w:r>
    </w:p>
    <w:p>
      <w:pPr>
        <w:spacing w:after="0" w:line="1" w:lineRule="exact"/>
        <w:rPr>
          <w:rFonts w:ascii="Times New Roman" w:cs="Times New Roman" w:eastAsia="Times New Roman" w:hAnsi="Times New Roman"/>
          <w:sz w:val="19"/>
          <w:szCs w:val="19"/>
          <w:color w:val="auto"/>
        </w:rPr>
      </w:pPr>
    </w:p>
    <w:p>
      <w:pPr>
        <w:ind w:right="140" w:firstLine="4"/>
        <w:spacing w:after="0" w:line="246" w:lineRule="auto"/>
        <w:tabs>
          <w:tab w:leader="none" w:pos="23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(v) above, such event or condition, together with all other such events or conditions, if any, could, in the sole judgment of the Required Lenders, reasonably be expected to result in a Material Adverse Effect; or</w:t>
      </w:r>
    </w:p>
    <w:p>
      <w:pPr>
        <w:spacing w:after="0" w:line="181" w:lineRule="exact"/>
        <w:rPr>
          <w:rFonts w:ascii="Times New Roman" w:cs="Times New Roman" w:eastAsia="Times New Roman" w:hAnsi="Times New Roman"/>
          <w:sz w:val="20"/>
          <w:szCs w:val="20"/>
          <w:color w:val="auto"/>
        </w:rPr>
      </w:pPr>
    </w:p>
    <w:p>
      <w:pPr>
        <w:jc w:val="both"/>
        <w:ind w:right="200" w:firstLine="443"/>
        <w:spacing w:after="0" w:line="249" w:lineRule="auto"/>
        <w:tabs>
          <w:tab w:leader="none" w:pos="872"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judgments or decrees shall be entered against any Group Member involving in the aggregate a liability (not paid or fully covered by insurance as to which the relevant insurance company has acknowledged coverage) of $10,000,000 or more, and all such judgments or decrees shall not have been vacated, discharged, stayed or bonded pending appeal within 30 days from the entry thereof; or</w:t>
      </w:r>
    </w:p>
    <w:p>
      <w:pPr>
        <w:sectPr>
          <w:pgSz w:w="11900" w:h="16838" w:orient="portrait"/>
          <w:cols w:equalWidth="0" w:num="1">
            <w:col w:w="10960"/>
          </w:cols>
          <w:pgMar w:left="700" w:top="409" w:right="2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92</w:t>
      </w:r>
    </w:p>
    <w:p>
      <w:pPr>
        <w:spacing w:after="0" w:line="238" w:lineRule="exact"/>
        <w:rPr>
          <w:sz w:val="20"/>
          <w:szCs w:val="20"/>
          <w:color w:val="auto"/>
        </w:rPr>
      </w:pPr>
    </w:p>
    <w:p>
      <w:pPr>
        <w:jc w:val="both"/>
        <w:ind w:left="460" w:right="100" w:firstLine="443"/>
        <w:spacing w:after="0" w:line="254" w:lineRule="auto"/>
        <w:tabs>
          <w:tab w:leader="none" w:pos="1382"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Security Documents shall cease, for any reason, to be in full force and effect, or any Loan Party or any Affiliate of any Loan Party shall so assert, or any Lien created by any of the Security Documents shall cease to be enforceable and of the same effect and priority purported to be created thereby; or</w:t>
      </w:r>
    </w:p>
    <w:p>
      <w:pPr>
        <w:spacing w:after="0" w:line="174" w:lineRule="exact"/>
        <w:rPr>
          <w:rFonts w:ascii="Times New Roman" w:cs="Times New Roman" w:eastAsia="Times New Roman" w:hAnsi="Times New Roman"/>
          <w:sz w:val="20"/>
          <w:szCs w:val="20"/>
          <w:color w:val="auto"/>
        </w:rPr>
      </w:pPr>
    </w:p>
    <w:p>
      <w:pPr>
        <w:ind w:left="460" w:right="100" w:firstLine="443"/>
        <w:spacing w:after="0" w:line="269" w:lineRule="auto"/>
        <w:tabs>
          <w:tab w:leader="none" w:pos="137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contained in Section 2 of the Guarantee and Collateral Agreement shall cease, for any reason, to be in full force and effect or any Loan Party or any Affiliate of any Loan Party shall so assert; or</w:t>
      </w:r>
    </w:p>
    <w:p>
      <w:pPr>
        <w:spacing w:after="0" w:line="159" w:lineRule="exact"/>
        <w:rPr>
          <w:rFonts w:ascii="Times New Roman" w:cs="Times New Roman" w:eastAsia="Times New Roman" w:hAnsi="Times New Roman"/>
          <w:sz w:val="20"/>
          <w:szCs w:val="20"/>
          <w:color w:val="auto"/>
        </w:rPr>
      </w:pPr>
    </w:p>
    <w:p>
      <w:pPr>
        <w:ind w:left="460" w:right="40" w:firstLine="443"/>
        <w:spacing w:after="0" w:line="243" w:lineRule="auto"/>
        <w:tabs>
          <w:tab w:leader="none" w:pos="1382"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prior to the consummation of the Spin-Off, Marriott shall cease to own and control, of record and beneficially, directly or indirectly, 100% of the outstanding common stock of MVWC, (ii) after consummation of the Spin-Off, any “person” or “group” (as such terms are used in Sections 13(d) and 14(d) of the Securities Exchange Act of 1934, as amended (the “Exchange Act”)) shall become, or obtain rights (whether by means or warrants, options or otherwise) to become, the “beneficial owner” (as defined in Rules 13(d)-3 and 13(d)-5 under the Exchange Act), directly or indirectly, of more than 30% of the outstanding common stock of MVWC; (iii) the board of directors of MVWC shall cease to consist of a majority of Continuing Directors; or (iv) MVWC shall cease to own and control, of record and beneficially, directly or indirectly, 100% of each class of outstanding Capital Stock of the Borrower free and clear of all Liens (except Liens created by the Guarantee and Collateral Agreement); or</w:t>
      </w:r>
    </w:p>
    <w:p>
      <w:pPr>
        <w:spacing w:after="0" w:line="189" w:lineRule="exact"/>
        <w:rPr>
          <w:rFonts w:ascii="Times New Roman" w:cs="Times New Roman" w:eastAsia="Times New Roman" w:hAnsi="Times New Roman"/>
          <w:sz w:val="20"/>
          <w:szCs w:val="20"/>
          <w:color w:val="auto"/>
        </w:rPr>
      </w:pPr>
    </w:p>
    <w:p>
      <w:pPr>
        <w:ind w:left="460" w:right="200" w:firstLine="443"/>
        <w:spacing w:after="0" w:line="269" w:lineRule="auto"/>
        <w:tabs>
          <w:tab w:leader="none" w:pos="1382"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Intercompany Agreement shall cease, for any reason, to be in full force and effect (other than pursuant to or as provided by the terms hereof or any other Loan Document);</w:t>
      </w:r>
    </w:p>
    <w:p>
      <w:pPr>
        <w:spacing w:after="0" w:line="16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9"/>
          <w:szCs w:val="19"/>
          <w:color w:val="auto"/>
        </w:rPr>
        <w:t>then, and in any such event, (A) if such event is an Event of Default specified in clause (i) or (ii) of paragraph (g) above with respect to the Borrower, automatically the Commitments shall immediately terminate and the Loans (with accrued interest thereon) and all other amounts owing under this Agreement and the other Loan Documents (including all amounts of L/C Obligations, whether or not the beneficiaries of the then outstanding Letters of Credit shall have presented the documents required thereunder) shall immediately become due and payable, and</w:t>
      </w:r>
    </w:p>
    <w:p>
      <w:pPr>
        <w:spacing w:after="0" w:line="1" w:lineRule="exact"/>
        <w:rPr>
          <w:sz w:val="20"/>
          <w:szCs w:val="20"/>
          <w:color w:val="auto"/>
        </w:rPr>
      </w:pPr>
    </w:p>
    <w:p>
      <w:pPr>
        <w:ind w:right="20" w:firstLine="8"/>
        <w:spacing w:after="0"/>
        <w:tabs>
          <w:tab w:leader="none" w:pos="313"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event is any other Event of Default, either or both of the following actions may be taken: (i) with the consent of the Required Lenders, the Administrative Agent may, or upon the request of the Required Lenders, the Administrative Agent shall, by notice to the Borrower declare the Commitments to be terminated forthwith, whereupon the Commitments shall immediately terminate; and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(including all amounts of L/C Obligations, whether or not the beneficiaries of the then outstanding Letters of Credit shall have presented the documents required thereunder) to be due and payable forthwith, whereupon the same shall immediately become due and payable. With respect to all Letters of Credit with respect to which presentment for honor shall not have occurred at the time of an acceleration pursuant to this paragraph, the Borrower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other Loan Documents. After all such Letters of Credit shall have expired or been fully drawn upon, all Reimbursement Obligations shall have been satisfied and all other obligations of the Borrower hereunder</w:t>
      </w:r>
    </w:p>
    <w:p>
      <w:pPr>
        <w:sectPr>
          <w:pgSz w:w="11900" w:h="16838" w:orient="portrait"/>
          <w:cols w:equalWidth="0" w:num="1">
            <w:col w:w="11420"/>
          </w:cols>
          <w:pgMar w:left="240" w:top="409" w:right="2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93</w:t>
      </w:r>
    </w:p>
    <w:p>
      <w:pPr>
        <w:spacing w:after="0" w:line="23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and under the other Loan Documents shall have been paid in full, the balance, if any, in such cash collateral account shall be returned to the Borrower (or such other Person as may be lawfully entitled thereto). Except as expressly provided above in this Section, presentment, demand, protest and all other notices of any kind are hereby expressly waived by the Borrower.</w:t>
      </w:r>
    </w:p>
    <w:p>
      <w:pPr>
        <w:spacing w:after="0" w:line="175"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20"/>
          <w:szCs w:val="20"/>
          <w:color w:val="auto"/>
        </w:rPr>
        <w:t>SECTION 9.</w:t>
      </w:r>
      <w:r>
        <w:rPr>
          <w:sz w:val="20"/>
          <w:szCs w:val="20"/>
          <w:color w:val="auto"/>
        </w:rPr>
        <w:tab/>
      </w:r>
      <w:r>
        <w:rPr>
          <w:rFonts w:ascii="Times New Roman" w:cs="Times New Roman" w:eastAsia="Times New Roman" w:hAnsi="Times New Roman"/>
          <w:sz w:val="19"/>
          <w:szCs w:val="19"/>
          <w:color w:val="auto"/>
        </w:rPr>
        <w:t>THE AGENTS</w:t>
      </w:r>
    </w:p>
    <w:p>
      <w:pPr>
        <w:spacing w:after="0" w:line="216" w:lineRule="exact"/>
        <w:rPr>
          <w:sz w:val="20"/>
          <w:szCs w:val="20"/>
          <w:color w:val="auto"/>
        </w:rPr>
      </w:pPr>
    </w:p>
    <w:p>
      <w:pPr>
        <w:ind w:right="80" w:firstLine="1027"/>
        <w:spacing w:after="0" w:line="243"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Appointment</w:t>
      </w:r>
      <w:r>
        <w:rPr>
          <w:rFonts w:ascii="Times New Roman" w:cs="Times New Roman" w:eastAsia="Times New Roman" w:hAnsi="Times New Roman"/>
          <w:sz w:val="20"/>
          <w:szCs w:val="20"/>
          <w:color w:val="auto"/>
        </w:rPr>
        <w:t>. Each Lender hereby irrevocably designates and appoints the Administrative Agent as the agent of such Lender under this Agreement and the other Loan Documents, and each such Lender irrevocably authorizes the Administrative Agent</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in such capacity</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90" w:lineRule="exact"/>
        <w:rPr>
          <w:sz w:val="20"/>
          <w:szCs w:val="20"/>
          <w:color w:val="auto"/>
        </w:rPr>
      </w:pPr>
    </w:p>
    <w:p>
      <w:pPr>
        <w:ind w:right="140" w:firstLine="1027"/>
        <w:spacing w:after="0" w:line="249"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Delegation of Duties</w:t>
      </w:r>
      <w:r>
        <w:rPr>
          <w:rFonts w:ascii="Times New Roman" w:cs="Times New Roman" w:eastAsia="Times New Roman" w:hAnsi="Times New Roman"/>
          <w:sz w:val="20"/>
          <w:szCs w:val="20"/>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 in-fact selected by it with reasonable care.</w:t>
      </w:r>
    </w:p>
    <w:p>
      <w:pPr>
        <w:spacing w:after="0" w:line="180" w:lineRule="exact"/>
        <w:rPr>
          <w:sz w:val="20"/>
          <w:szCs w:val="20"/>
          <w:color w:val="auto"/>
        </w:rPr>
      </w:pPr>
    </w:p>
    <w:p>
      <w:pPr>
        <w:ind w:right="180" w:firstLine="1027"/>
        <w:spacing w:after="0" w:line="258" w:lineRule="auto"/>
        <w:rPr>
          <w:sz w:val="20"/>
          <w:szCs w:val="20"/>
          <w:color w:val="auto"/>
        </w:rPr>
      </w:pPr>
      <w:r>
        <w:rPr>
          <w:rFonts w:ascii="Times New Roman" w:cs="Times New Roman" w:eastAsia="Times New Roman" w:hAnsi="Times New Roman"/>
          <w:sz w:val="19"/>
          <w:szCs w:val="19"/>
          <w:color w:val="auto"/>
        </w:rPr>
        <w:t xml:space="preserve">9.3 </w:t>
      </w:r>
      <w:r>
        <w:rPr>
          <w:rFonts w:ascii="Times New Roman" w:cs="Times New Roman" w:eastAsia="Times New Roman" w:hAnsi="Times New Roman"/>
          <w:sz w:val="19"/>
          <w:szCs w:val="19"/>
          <w:u w:val="single" w:color="auto"/>
          <w:color w:val="auto"/>
        </w:rPr>
        <w:t>Exculpatory Provisions</w:t>
      </w:r>
      <w:r>
        <w:rPr>
          <w:rFonts w:ascii="Times New Roman" w:cs="Times New Roman" w:eastAsia="Times New Roman" w:hAnsi="Times New Roman"/>
          <w:sz w:val="19"/>
          <w:szCs w:val="19"/>
          <w:color w:val="auto"/>
        </w:rPr>
        <w:t>. Neither any Agent nor any of their respective officers, directors, employees, agents, advisors,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w:t>
      </w:r>
    </w:p>
    <w:p>
      <w:pPr>
        <w:spacing w:after="0" w:line="1" w:lineRule="exact"/>
        <w:rPr>
          <w:sz w:val="20"/>
          <w:szCs w:val="20"/>
          <w:color w:val="auto"/>
        </w:rPr>
      </w:pPr>
    </w:p>
    <w:p>
      <w:pPr>
        <w:ind w:right="40" w:firstLine="8"/>
        <w:spacing w:after="0"/>
        <w:tabs>
          <w:tab w:leader="none" w:pos="291"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91" w:lineRule="exact"/>
        <w:rPr>
          <w:sz w:val="20"/>
          <w:szCs w:val="20"/>
          <w:color w:val="auto"/>
        </w:rPr>
      </w:pPr>
    </w:p>
    <w:p>
      <w:pPr>
        <w:ind w:right="80" w:firstLine="1027"/>
        <w:spacing w:after="0" w:line="243"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u w:val="single" w:color="auto"/>
          <w:color w:val="auto"/>
        </w:rPr>
        <w:t>Reliance by Administrative Agent</w:t>
      </w:r>
      <w:r>
        <w:rPr>
          <w:rFonts w:ascii="Times New Roman" w:cs="Times New Roman" w:eastAsia="Times New Roman" w:hAnsi="Times New Roman"/>
          <w:sz w:val="20"/>
          <w:szCs w:val="20"/>
          <w:color w:val="auto"/>
        </w:rPr>
        <w:t>. The Administrative Agent shall be entitled to rely, and shall be fully protected in relying, upon any instrument, writing, resolution, notice, consent, certificate, affidavit, letter, telecopy or email message, statement, order or other document or conversation believed by it to be genuine and correct and to have been signed, sent or made by the proper Person or Persons and upon advice and statements of legal counsel (including counsel to MVWC or the Borrower),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w:t>
      </w:r>
    </w:p>
    <w:p>
      <w:pPr>
        <w:sectPr>
          <w:pgSz w:w="11900" w:h="16838" w:orient="portrait"/>
          <w:cols w:equalWidth="0" w:num="1">
            <w:col w:w="11420"/>
          </w:cols>
          <w:pgMar w:left="240" w:top="409" w:right="239" w:bottom="1440" w:gutter="0" w:footer="0" w:header="0"/>
        </w:sectPr>
      </w:pPr>
    </w:p>
    <w:bookmarkStart w:id="189" w:name="page190"/>
    <w:bookmarkEnd w:id="189"/>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94</w:t>
      </w:r>
    </w:p>
    <w:p>
      <w:pPr>
        <w:spacing w:after="0" w:line="23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Required Lenders (or, if so specified by this Agreement, all Lenders)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the Lenders and all future holders of the Loans.</w:t>
      </w:r>
    </w:p>
    <w:p>
      <w:pPr>
        <w:spacing w:after="0" w:line="181" w:lineRule="exact"/>
        <w:rPr>
          <w:sz w:val="20"/>
          <w:szCs w:val="20"/>
          <w:color w:val="auto"/>
        </w:rPr>
      </w:pPr>
    </w:p>
    <w:p>
      <w:pPr>
        <w:ind w:right="20" w:firstLine="1027"/>
        <w:spacing w:after="0" w:line="243"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Notice of Default</w:t>
      </w:r>
      <w:r>
        <w:rPr>
          <w:rFonts w:ascii="Times New Roman" w:cs="Times New Roman" w:eastAsia="Times New Roman" w:hAnsi="Times New Roman"/>
          <w:sz w:val="20"/>
          <w:szCs w:val="20"/>
          <w:color w:val="auto"/>
        </w:rPr>
        <w:t xml:space="preserve">. The Administrative Agent shall not be deemed to have knowledge or notice of the occurrence of any Default or Event of Default unless the Administrative Agent has received notice from a Lender, MVWC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90" w:lineRule="exact"/>
        <w:rPr>
          <w:sz w:val="20"/>
          <w:szCs w:val="20"/>
          <w:color w:val="auto"/>
        </w:rPr>
      </w:pPr>
    </w:p>
    <w:p>
      <w:pPr>
        <w:ind w:right="20" w:firstLine="1027"/>
        <w:spacing w:after="0" w:line="241" w:lineRule="auto"/>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u w:val="single" w:color="auto"/>
          <w:color w:val="auto"/>
        </w:rPr>
        <w:t>Non-Reliance on Agents and Other Lenders</w:t>
      </w:r>
      <w:r>
        <w:rPr>
          <w:rFonts w:ascii="Times New Roman" w:cs="Times New Roman" w:eastAsia="Times New Roman" w:hAnsi="Times New Roman"/>
          <w:sz w:val="20"/>
          <w:szCs w:val="20"/>
          <w:color w:val="auto"/>
        </w:rPr>
        <w:t>. Each Lender expressly acknowledges that neither the Agents nor any of their respective officers, directors, employees, agents, advisors,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advisors, attorneys-in-fact or affiliates.</w:t>
      </w:r>
    </w:p>
    <w:p>
      <w:pPr>
        <w:spacing w:after="0" w:line="196" w:lineRule="exact"/>
        <w:rPr>
          <w:sz w:val="20"/>
          <w:szCs w:val="20"/>
          <w:color w:val="auto"/>
        </w:rPr>
      </w:pPr>
    </w:p>
    <w:p>
      <w:pPr>
        <w:ind w:right="280" w:firstLine="1027"/>
        <w:spacing w:after="0" w:line="244" w:lineRule="auto"/>
        <w:rPr>
          <w:sz w:val="20"/>
          <w:szCs w:val="20"/>
          <w:color w:val="auto"/>
        </w:rPr>
      </w:pPr>
      <w:r>
        <w:rPr>
          <w:rFonts w:ascii="Times New Roman" w:cs="Times New Roman" w:eastAsia="Times New Roman" w:hAnsi="Times New Roman"/>
          <w:sz w:val="20"/>
          <w:szCs w:val="20"/>
          <w:color w:val="auto"/>
        </w:rPr>
        <w:t xml:space="preserve">9.7 </w:t>
      </w: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The Lenders agree to indemnify each Agent and its officers, directors, employees, affiliates, agents, advisors and controlling persons (each, an “</w:t>
      </w:r>
      <w:r>
        <w:rPr>
          <w:rFonts w:ascii="Times New Roman" w:cs="Times New Roman" w:eastAsia="Times New Roman" w:hAnsi="Times New Roman"/>
          <w:sz w:val="20"/>
          <w:szCs w:val="20"/>
          <w:u w:val="single" w:color="auto"/>
          <w:color w:val="auto"/>
        </w:rPr>
        <w:t>Agent Indemnitee</w:t>
      </w:r>
      <w:r>
        <w:rPr>
          <w:rFonts w:ascii="Times New Roman" w:cs="Times New Roman" w:eastAsia="Times New Roman" w:hAnsi="Times New Roman"/>
          <w:sz w:val="20"/>
          <w:szCs w:val="20"/>
          <w:color w:val="auto"/>
        </w:rPr>
        <w:t>”) (to the extent not reimbursed by the Borrower and without limiting the obligation of the Borrower to do so), ratably according to their respective Aggregate Exposure Percentages in effect on the date on which indemnification is sought under this Section 9.7 (or, if indemnification is sought after the date upon which the Commitments shall have terminated and the Loans shall have been paid in full, ratably in accordance with such Aggregate Exposure Percentages immediately prior to such date), from and against any and all liabilities, obligations, losses, damages, penalties, actions, judgments, suits, costs, expenses or disbursements of any kind whatsoever that may at any time (whether before or after the payment of the</w:t>
      </w:r>
    </w:p>
    <w:p>
      <w:pPr>
        <w:sectPr>
          <w:pgSz w:w="11900" w:h="16838" w:orient="portrait"/>
          <w:cols w:equalWidth="0" w:num="1">
            <w:col w:w="11420"/>
          </w:cols>
          <w:pgMar w:left="240" w:top="409" w:right="2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95</w:t>
      </w:r>
    </w:p>
    <w:p>
      <w:pPr>
        <w:spacing w:after="0" w:line="238"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0"/>
          <w:szCs w:val="20"/>
          <w:color w:val="auto"/>
        </w:rPr>
        <w:t xml:space="preserve">Loans)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or willful misconduct. The agreements in this Section shall survive the termination of this Agreement and the payment of the Loans and all other amounts payable hereunder.</w:t>
      </w:r>
    </w:p>
    <w:p>
      <w:pPr>
        <w:spacing w:after="0" w:line="187" w:lineRule="exact"/>
        <w:rPr>
          <w:sz w:val="20"/>
          <w:szCs w:val="20"/>
          <w:color w:val="auto"/>
        </w:rPr>
      </w:pPr>
    </w:p>
    <w:p>
      <w:pPr>
        <w:ind w:right="60" w:firstLine="1027"/>
        <w:spacing w:after="0" w:line="247" w:lineRule="auto"/>
        <w:rPr>
          <w:sz w:val="20"/>
          <w:szCs w:val="20"/>
          <w:color w:val="auto"/>
        </w:rPr>
      </w:pPr>
      <w:r>
        <w:rPr>
          <w:rFonts w:ascii="Times New Roman" w:cs="Times New Roman" w:eastAsia="Times New Roman" w:hAnsi="Times New Roman"/>
          <w:sz w:val="20"/>
          <w:szCs w:val="20"/>
          <w:color w:val="auto"/>
        </w:rPr>
        <w:t xml:space="preserve">9.8 </w:t>
      </w:r>
      <w:r>
        <w:rPr>
          <w:rFonts w:ascii="Times New Roman" w:cs="Times New Roman" w:eastAsia="Times New Roman" w:hAnsi="Times New Roman"/>
          <w:sz w:val="20"/>
          <w:szCs w:val="20"/>
          <w:u w:val="single" w:color="auto"/>
          <w:color w:val="auto"/>
        </w:rPr>
        <w:t>Agent in Its Individual Capacity</w:t>
      </w:r>
      <w:r>
        <w:rPr>
          <w:rFonts w:ascii="Times New Roman" w:cs="Times New Roman" w:eastAsia="Times New Roman" w:hAnsi="Times New Roman"/>
          <w:sz w:val="20"/>
          <w:szCs w:val="20"/>
          <w:color w:val="auto"/>
        </w:rPr>
        <w:t>. Each Agent and its affiliates may make loans to, accept deposits from and generally engage in any kind of business with any Loan Party and its affiliates as though such Agent were not an Agent. With respect to its Loans made or renewed by it and with respect to any Letter of Credit issued or participated in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81" w:lineRule="exact"/>
        <w:rPr>
          <w:sz w:val="20"/>
          <w:szCs w:val="20"/>
          <w:color w:val="auto"/>
        </w:rPr>
      </w:pPr>
    </w:p>
    <w:p>
      <w:pPr>
        <w:ind w:firstLine="1027"/>
        <w:spacing w:after="0" w:line="242" w:lineRule="auto"/>
        <w:rPr>
          <w:sz w:val="20"/>
          <w:szCs w:val="20"/>
          <w:color w:val="auto"/>
        </w:rPr>
      </w:pPr>
      <w:r>
        <w:rPr>
          <w:rFonts w:ascii="Times New Roman" w:cs="Times New Roman" w:eastAsia="Times New Roman" w:hAnsi="Times New Roman"/>
          <w:sz w:val="20"/>
          <w:szCs w:val="20"/>
          <w:color w:val="auto"/>
        </w:rPr>
        <w:t xml:space="preserve">9.9 </w:t>
      </w:r>
      <w:r>
        <w:rPr>
          <w:rFonts w:ascii="Times New Roman" w:cs="Times New Roman" w:eastAsia="Times New Roman" w:hAnsi="Times New Roman"/>
          <w:sz w:val="20"/>
          <w:szCs w:val="20"/>
          <w:u w:val="single" w:color="auto"/>
          <w:color w:val="auto"/>
        </w:rPr>
        <w:t>Successor Administrative Agent</w:t>
      </w:r>
      <w:r>
        <w:rPr>
          <w:rFonts w:ascii="Times New Roman" w:cs="Times New Roman" w:eastAsia="Times New Roman" w:hAnsi="Times New Roman"/>
          <w:sz w:val="20"/>
          <w:szCs w:val="20"/>
          <w:color w:val="auto"/>
        </w:rPr>
        <w:t>. The Administrative Agent may resign as Administrative Agent upon 10 days’ notice to the Lenders and the Borrower.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8(g) with respect to the Borrower shall have occurred and be continuing) be subject to approval by the Borrower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10 days following a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a successor agent as provided for above. After any retiring Administrative Agent’s resignation as Administrative Agent, the provisions of this Section 9 and of Section 10.5 shall continue to inure to its benefit.</w:t>
      </w:r>
    </w:p>
    <w:p>
      <w:pPr>
        <w:spacing w:after="0" w:line="186" w:lineRule="exact"/>
        <w:rPr>
          <w:sz w:val="20"/>
          <w:szCs w:val="20"/>
          <w:color w:val="auto"/>
        </w:rPr>
      </w:pPr>
    </w:p>
    <w:p>
      <w:pPr>
        <w:ind w:right="120" w:firstLine="1027"/>
        <w:spacing w:after="0" w:line="269" w:lineRule="auto"/>
        <w:rPr>
          <w:sz w:val="20"/>
          <w:szCs w:val="20"/>
          <w:color w:val="auto"/>
        </w:rPr>
      </w:pPr>
      <w:r>
        <w:rPr>
          <w:rFonts w:ascii="Times New Roman" w:cs="Times New Roman" w:eastAsia="Times New Roman" w:hAnsi="Times New Roman"/>
          <w:sz w:val="20"/>
          <w:szCs w:val="20"/>
          <w:color w:val="auto"/>
        </w:rPr>
        <w:t xml:space="preserve">9.10 </w:t>
      </w:r>
      <w:r>
        <w:rPr>
          <w:rFonts w:ascii="Times New Roman" w:cs="Times New Roman" w:eastAsia="Times New Roman" w:hAnsi="Times New Roman"/>
          <w:sz w:val="20"/>
          <w:szCs w:val="20"/>
          <w:u w:val="single" w:color="auto"/>
          <w:color w:val="auto"/>
        </w:rPr>
        <w:t>Documentation Agents and Syndication Agents</w:t>
      </w:r>
      <w:r>
        <w:rPr>
          <w:rFonts w:ascii="Times New Roman" w:cs="Times New Roman" w:eastAsia="Times New Roman" w:hAnsi="Times New Roman"/>
          <w:sz w:val="20"/>
          <w:szCs w:val="20"/>
          <w:color w:val="auto"/>
        </w:rPr>
        <w:t>. Neither the Documentation Agents nor the Syndication Agents shall have any duties or responsibilities hereunder in its capacity as such.</w:t>
      </w:r>
    </w:p>
    <w:p>
      <w:pPr>
        <w:spacing w:after="0" w:line="160"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20"/>
          <w:szCs w:val="20"/>
          <w:color w:val="auto"/>
        </w:rPr>
        <w:t>SECTION 10.</w:t>
      </w:r>
      <w:r>
        <w:rPr>
          <w:sz w:val="20"/>
          <w:szCs w:val="20"/>
          <w:color w:val="auto"/>
        </w:rPr>
        <w:tab/>
      </w:r>
      <w:r>
        <w:rPr>
          <w:rFonts w:ascii="Times New Roman" w:cs="Times New Roman" w:eastAsia="Times New Roman" w:hAnsi="Times New Roman"/>
          <w:sz w:val="19"/>
          <w:szCs w:val="19"/>
          <w:color w:val="auto"/>
        </w:rPr>
        <w:t>MISCELLANEOUS</w:t>
      </w:r>
    </w:p>
    <w:p>
      <w:pPr>
        <w:spacing w:after="0" w:line="216" w:lineRule="exact"/>
        <w:rPr>
          <w:sz w:val="20"/>
          <w:szCs w:val="20"/>
          <w:color w:val="auto"/>
        </w:rPr>
      </w:pPr>
    </w:p>
    <w:p>
      <w:pPr>
        <w:ind w:right="40" w:firstLine="1027"/>
        <w:spacing w:after="0" w:line="245"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Amendments and Waivers</w:t>
      </w:r>
      <w:r>
        <w:rPr>
          <w:rFonts w:ascii="Times New Roman" w:cs="Times New Roman" w:eastAsia="Times New Roman" w:hAnsi="Times New Roman"/>
          <w:sz w:val="20"/>
          <w:szCs w:val="20"/>
          <w:color w:val="auto"/>
        </w:rPr>
        <w:t>. Neither this Agreement, any other Loan Document, nor any terms hereof or thereof may be amended, supplemented or modified except in accordance with the provisions of this Section 10.1. The Required Lenders and each Loan Party party to the relevant Loan Document may, or, with the written consent of the Required Lenders, the Administrative Agent and each Loan Party party to the relevant Loan Document may, from time to time, (a)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(b) waive, on such terms and</w:t>
      </w:r>
    </w:p>
    <w:p>
      <w:pPr>
        <w:sectPr>
          <w:pgSz w:w="11900" w:h="16838" w:orient="portrait"/>
          <w:cols w:equalWidth="0" w:num="1">
            <w:col w:w="11420"/>
          </w:cols>
          <w:pgMar w:left="240" w:top="409" w:right="239" w:bottom="1440" w:gutter="0" w:footer="0" w:header="0"/>
        </w:sectPr>
      </w:pPr>
    </w:p>
    <w:bookmarkStart w:id="191" w:name="page192"/>
    <w:bookmarkEnd w:id="191"/>
    <w:p>
      <w:pPr>
        <w:ind w:left="1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96</w:t>
      </w:r>
    </w:p>
    <w:p>
      <w:pPr>
        <w:spacing w:after="0" w:line="238"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 xml:space="preserve">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 such waiver and no such amendment, supplement or modification shall (i) decrease or forgive the principal amount or extend the final scheduled date of maturity of any Loan, L/C Obligation or Reimbursement Obligation, reduce the stated rate of any interest or fee payable hereunder (except in connection with the waiver of applicability of any post-default increase in interest rates (which waiver shall be effective with the consent of the Required Lenders)) or extend the scheduled date of any payment thereof, or increase the amount or extend the expiration date of any Lender’s Commitment </w:t>
      </w:r>
      <w:r>
        <w:rPr>
          <w:rFonts w:ascii="Times New Roman" w:cs="Times New Roman" w:eastAsia="Times New Roman" w:hAnsi="Times New Roman"/>
          <w:sz w:val="20"/>
          <w:szCs w:val="20"/>
          <w:u w:val="single" w:color="auto"/>
          <w:color w:val="0000FF"/>
        </w:rPr>
        <w:t>(including any related Foreign Currency Commitment)</w:t>
      </w:r>
      <w:r>
        <w:rPr>
          <w:rFonts w:ascii="Times New Roman" w:cs="Times New Roman" w:eastAsia="Times New Roman" w:hAnsi="Times New Roman"/>
          <w:sz w:val="20"/>
          <w:szCs w:val="20"/>
          <w:color w:val="auto"/>
        </w:rPr>
        <w:t>, in each case without the written consent of each Lender directly and adversely affected thereby; (ii) amend this Section 10.1 without the written consent of each Lender; (iii) reduce any percentage specified in the definition of Required Lenders, consent to the assignment or transfer by the Borrower of any of its rights and obligations under this Agreement and the other Loan Documents, release all or substantially all of the Collateral or release MVWC from its obligations under the Guarantee and Collateral Agreement or release Subsidiary Guarantors comprising all or substantially all of the value of the Subsidiary Guarantors (taken as a whole) from their obligations under the Guarantee and Collateral Agreement (it being understood that no such waiver, consent, or amendment shall be required in connection with the release of collateral as described in Section 8.15 of the Guarantee and Collateral Agreement), in each case without the written consent of all Lenders; (iv) amend, modify or waive any provision of Section 2.12, Section 10.7(a) or the definitions of “Percentage”</w:t>
      </w:r>
      <w:r>
        <w:rPr>
          <w:rFonts w:ascii="Times New Roman" w:cs="Times New Roman" w:eastAsia="Times New Roman" w:hAnsi="Times New Roman"/>
          <w:sz w:val="20"/>
          <w:szCs w:val="20"/>
          <w:u w:val="single" w:color="auto"/>
          <w:color w:val="0000FF"/>
        </w:rPr>
        <w:t>, “Pro Rata Share”, “Outstanding Percentage”</w:t>
      </w:r>
      <w:r>
        <w:rPr>
          <w:rFonts w:ascii="Times New Roman" w:cs="Times New Roman" w:eastAsia="Times New Roman" w:hAnsi="Times New Roman"/>
          <w:sz w:val="20"/>
          <w:szCs w:val="20"/>
          <w:color w:val="auto"/>
        </w:rPr>
        <w:t xml:space="preserve"> or “Aggregate Exposure Percentage” without the written consent of each Lender directly and adversely affected thereby; (v</w:t>
      </w:r>
      <w:r>
        <w:rPr>
          <w:rFonts w:ascii="Times New Roman" w:cs="Times New Roman" w:eastAsia="Times New Roman" w:hAnsi="Times New Roman"/>
          <w:sz w:val="20"/>
          <w:szCs w:val="20"/>
          <w:u w:val="single" w:color="auto"/>
          <w:color w:val="0000FF"/>
        </w:rPr>
        <w:t>) amend, modify or waive the definitions of “Foreign Currency” or “Foreign Currency Commitment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Percentage” without the written consent of each Foreign Currency Lender directly and adversely affected thereby, (vi</w:t>
      </w:r>
      <w:r>
        <w:rPr>
          <w:rFonts w:ascii="Times New Roman" w:cs="Times New Roman" w:eastAsia="Times New Roman" w:hAnsi="Times New Roman"/>
          <w:sz w:val="20"/>
          <w:szCs w:val="20"/>
          <w:color w:val="000000"/>
        </w:rPr>
        <w:t>) amend, modify or waive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any provision of Section 9 or any other provision of any Loan Document that affects the Administrative Agent without the written consent of the Administrative Agent; or (vi</w:t>
      </w:r>
      <w:r>
        <w:rPr>
          <w:rFonts w:ascii="Times New Roman" w:cs="Times New Roman" w:eastAsia="Times New Roman" w:hAnsi="Times New Roman"/>
          <w:sz w:val="20"/>
          <w:szCs w:val="20"/>
          <w:u w:val="single" w:color="auto"/>
          <w:color w:val="0000FF"/>
        </w:rPr>
        <w:t>i</w:t>
      </w:r>
      <w:r>
        <w:rPr>
          <w:rFonts w:ascii="Times New Roman" w:cs="Times New Roman" w:eastAsia="Times New Roman" w:hAnsi="Times New Roman"/>
          <w:sz w:val="20"/>
          <w:szCs w:val="20"/>
          <w:color w:val="000000"/>
        </w:rPr>
        <w:t>) amend, modify or waive any provision of Section 3 without the written consent of each Issuing Lender.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 Furthermore, notwithstanding the foregoing, the Administrative Agent, with the consent of the Borrower, may amend, modify or supplement any Loan Document without the consent of any Lender or the Required Lenders in order to correct, amend or cure any ambiguity, inconsistency or defect or correct any typographical error or other manifest error in any Loan Document.</w:t>
      </w:r>
    </w:p>
    <w:p>
      <w:pPr>
        <w:spacing w:after="0" w:line="206" w:lineRule="exact"/>
        <w:rPr>
          <w:sz w:val="20"/>
          <w:szCs w:val="20"/>
          <w:color w:val="auto"/>
        </w:rPr>
      </w:pPr>
    </w:p>
    <w:p>
      <w:pPr>
        <w:ind w:right="20" w:firstLine="913"/>
        <w:spacing w:after="0" w:line="247" w:lineRule="auto"/>
        <w:rPr>
          <w:sz w:val="20"/>
          <w:szCs w:val="20"/>
          <w:color w:val="auto"/>
        </w:rPr>
      </w:pPr>
      <w:r>
        <w:rPr>
          <w:rFonts w:ascii="Times New Roman" w:cs="Times New Roman" w:eastAsia="Times New Roman" w:hAnsi="Times New Roman"/>
          <w:sz w:val="20"/>
          <w:szCs w:val="20"/>
          <w:color w:val="auto"/>
        </w:rPr>
        <w:t>Notwithstanding the foregoing, this Agreement may be amended (or amended and restated) with the written consent of the Required Lenders, the Administrative Agent and the Borrower (a) to add one or more additional credit facilities to this Agreement and to permit the extensions of credit from time to time outstanding thereunder and the accrued interest and fees in respect thereof to share in the benefits of this Agreement and the other Loan Documents with the Extensions of Credit and the accrued interest and fees in respect thereof and (b) to include appropriately the Lenders holding such credit facility in any determination of the Required Lenders.</w:t>
      </w:r>
    </w:p>
    <w:p>
      <w:pPr>
        <w:spacing w:after="0" w:line="181" w:lineRule="exact"/>
        <w:rPr>
          <w:sz w:val="20"/>
          <w:szCs w:val="20"/>
          <w:color w:val="auto"/>
        </w:rPr>
      </w:pPr>
    </w:p>
    <w:p>
      <w:pPr>
        <w:ind w:firstLine="913"/>
        <w:spacing w:after="0" w:line="247"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requests and demands to or upon the respective parties hereto to be effective shall be in writing (including by telecopy), and, unless otherwise expressly provided herein, shall be deemed to have been duly given or made when delivered, or three Business Days after being deposited in the mail, postage prepaid, or, in the case of telecopy notice, when received, addressed as follows in the case of MVWC, the Borrower and the Administrative Agent, and as set forth in an administrative questionnaire delivered to the Administrative Agent in the case of the Lenders, or to such other address as may be hereafter notified by the respective parties hereto:</w:t>
      </w:r>
    </w:p>
    <w:p>
      <w:pPr>
        <w:sectPr>
          <w:pgSz w:w="11900" w:h="16838" w:orient="portrait"/>
          <w:cols w:equalWidth="0" w:num="1">
            <w:col w:w="11420"/>
          </w:cols>
          <w:pgMar w:left="240" w:top="409" w:right="2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97</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To MVWC:</w:t>
            </w: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Marriott Vacations Worldwide Corporation</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6649 Westwood Boulevard</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Orlando, Florida 32821</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Attention: General Counsel</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Facsimile Number: (407) 513-6680</w:t>
            </w:r>
          </w:p>
        </w:tc>
        <w:tc>
          <w:tcPr>
            <w:tcW w:w="0" w:type="dxa"/>
            <w:vAlign w:val="bottom"/>
          </w:tcPr>
          <w:p>
            <w:pPr>
              <w:spacing w:after="0"/>
              <w:rPr>
                <w:sz w:val="1"/>
                <w:szCs w:val="1"/>
                <w:color w:val="auto"/>
              </w:rPr>
            </w:pPr>
          </w:p>
        </w:tc>
      </w:tr>
      <w:tr>
        <w:trPr>
          <w:trHeight w:val="258"/>
        </w:trPr>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Telephone Number: (407) 206-6000</w:t>
            </w:r>
          </w:p>
        </w:tc>
        <w:tc>
          <w:tcPr>
            <w:tcW w:w="0" w:type="dxa"/>
            <w:vAlign w:val="bottom"/>
          </w:tcPr>
          <w:p>
            <w:pPr>
              <w:spacing w:after="0"/>
              <w:rPr>
                <w:sz w:val="1"/>
                <w:szCs w:val="1"/>
                <w:color w:val="auto"/>
              </w:rPr>
            </w:pPr>
          </w:p>
        </w:tc>
      </w:tr>
      <w:tr>
        <w:trPr>
          <w:trHeight w:val="430"/>
        </w:trPr>
        <w:tc>
          <w:tcPr>
            <w:tcW w:w="3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To Borrower:</w:t>
            </w: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Marriott Ownership Resorts, Inc.</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6649 Westwood Boulevard</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Orlando, Florida 32821</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Attention: General Counsel</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Facsimile Number: (407) 513-6680</w:t>
            </w:r>
          </w:p>
        </w:tc>
        <w:tc>
          <w:tcPr>
            <w:tcW w:w="0" w:type="dxa"/>
            <w:vAlign w:val="bottom"/>
          </w:tcPr>
          <w:p>
            <w:pPr>
              <w:spacing w:after="0"/>
              <w:rPr>
                <w:sz w:val="1"/>
                <w:szCs w:val="1"/>
                <w:color w:val="auto"/>
              </w:rPr>
            </w:pPr>
          </w:p>
        </w:tc>
      </w:tr>
      <w:tr>
        <w:trPr>
          <w:trHeight w:val="258"/>
        </w:trPr>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Telephone Number: (407) 206-6000</w:t>
            </w:r>
          </w:p>
        </w:tc>
        <w:tc>
          <w:tcPr>
            <w:tcW w:w="0" w:type="dxa"/>
            <w:vAlign w:val="bottom"/>
          </w:tcPr>
          <w:p>
            <w:pPr>
              <w:spacing w:after="0"/>
              <w:rPr>
                <w:sz w:val="1"/>
                <w:szCs w:val="1"/>
                <w:color w:val="auto"/>
              </w:rPr>
            </w:pPr>
          </w:p>
        </w:tc>
      </w:tr>
      <w:tr>
        <w:trPr>
          <w:trHeight w:val="459"/>
        </w:trPr>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with a copy to:</w:t>
            </w:r>
          </w:p>
        </w:tc>
        <w:tc>
          <w:tcPr>
            <w:tcW w:w="0" w:type="dxa"/>
            <w:vAlign w:val="bottom"/>
          </w:tcPr>
          <w:p>
            <w:pPr>
              <w:spacing w:after="0"/>
              <w:rPr>
                <w:sz w:val="1"/>
                <w:szCs w:val="1"/>
                <w:color w:val="auto"/>
              </w:rPr>
            </w:pPr>
          </w:p>
        </w:tc>
      </w:tr>
      <w:tr>
        <w:trPr>
          <w:trHeight w:val="417"/>
        </w:trPr>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Marriott Ownership Resorts, Inc.</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6649 Westwood Boulevard, Ste 500</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Orlando, Florida 32821</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Attention: Joseph Bramuchi, Vice President</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Facsimile Number: (407) 206-6005</w:t>
            </w:r>
          </w:p>
        </w:tc>
        <w:tc>
          <w:tcPr>
            <w:tcW w:w="0" w:type="dxa"/>
            <w:vAlign w:val="bottom"/>
          </w:tcPr>
          <w:p>
            <w:pPr>
              <w:spacing w:after="0"/>
              <w:rPr>
                <w:sz w:val="1"/>
                <w:szCs w:val="1"/>
                <w:color w:val="auto"/>
              </w:rPr>
            </w:pPr>
          </w:p>
        </w:tc>
      </w:tr>
      <w:tr>
        <w:trPr>
          <w:trHeight w:val="258"/>
        </w:trPr>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Telephone Number: (407) 513-6954</w:t>
            </w:r>
          </w:p>
        </w:tc>
        <w:tc>
          <w:tcPr>
            <w:tcW w:w="0" w:type="dxa"/>
            <w:vAlign w:val="bottom"/>
          </w:tcPr>
          <w:p>
            <w:pPr>
              <w:spacing w:after="0"/>
              <w:rPr>
                <w:sz w:val="1"/>
                <w:szCs w:val="1"/>
                <w:color w:val="auto"/>
              </w:rPr>
            </w:pPr>
          </w:p>
        </w:tc>
      </w:tr>
      <w:tr>
        <w:trPr>
          <w:trHeight w:val="567"/>
        </w:trPr>
        <w:tc>
          <w:tcPr>
            <w:tcW w:w="3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If to the Administrative Agent:</w:t>
            </w: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JPMorgan Chase Bank, N.A.</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Loan and Agency Services Group</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w w:val="98"/>
              </w:rPr>
              <w:t>500 Stanton Christiana Road, OPS 2, Floor 03</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Newark, DE 19713-2107</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Attn: Aisha O. Lawani</w:t>
            </w:r>
          </w:p>
        </w:tc>
        <w:tc>
          <w:tcPr>
            <w:tcW w:w="0" w:type="dxa"/>
            <w:vAlign w:val="bottom"/>
          </w:tcPr>
          <w:p>
            <w:pPr>
              <w:spacing w:after="0"/>
              <w:rPr>
                <w:sz w:val="1"/>
                <w:szCs w:val="1"/>
                <w:color w:val="auto"/>
              </w:rPr>
            </w:pPr>
          </w:p>
        </w:tc>
      </w:tr>
      <w:tr>
        <w:trPr>
          <w:trHeight w:val="258"/>
        </w:trPr>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Telephone: 302-634-1300</w:t>
            </w:r>
          </w:p>
        </w:tc>
        <w:tc>
          <w:tcPr>
            <w:tcW w:w="0" w:type="dxa"/>
            <w:vAlign w:val="bottom"/>
          </w:tcPr>
          <w:p>
            <w:pPr>
              <w:spacing w:after="0"/>
              <w:rPr>
                <w:sz w:val="1"/>
                <w:szCs w:val="1"/>
                <w:color w:val="auto"/>
              </w:rPr>
            </w:pPr>
          </w:p>
        </w:tc>
      </w:tr>
      <w:tr>
        <w:trPr>
          <w:trHeight w:val="41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FF0000"/>
                <w:strike w:val="1"/>
                <w:w w:val="94"/>
              </w:rPr>
              <w:t>With</w:t>
            </w:r>
          </w:p>
        </w:tc>
        <w:tc>
          <w:tcPr>
            <w:tcW w:w="35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 xml:space="preserve">with </w:t>
            </w:r>
            <w:r>
              <w:rPr>
                <w:rFonts w:ascii="Times New Roman" w:cs="Times New Roman" w:eastAsia="Times New Roman" w:hAnsi="Times New Roman"/>
                <w:sz w:val="20"/>
                <w:szCs w:val="20"/>
                <w:color w:val="000000"/>
              </w:rPr>
              <w:t>copies to:</w:t>
            </w:r>
          </w:p>
        </w:tc>
        <w:tc>
          <w:tcPr>
            <w:tcW w:w="5160" w:type="dxa"/>
            <w:vAlign w:val="bottom"/>
            <w:vMerge w:val="restart"/>
          </w:tcPr>
          <w:p>
            <w:pPr>
              <w:ind w:left="1480"/>
              <w:spacing w:after="0"/>
              <w:rPr>
                <w:sz w:val="20"/>
                <w:szCs w:val="20"/>
                <w:color w:val="auto"/>
              </w:rPr>
            </w:pPr>
            <w:r>
              <w:rPr>
                <w:rFonts w:ascii="Times New Roman" w:cs="Times New Roman" w:eastAsia="Times New Roman" w:hAnsi="Times New Roman"/>
                <w:sz w:val="20"/>
                <w:szCs w:val="20"/>
                <w:color w:val="auto"/>
              </w:rPr>
              <w:t>JPMorgan Chase Bank, N.A.</w:t>
            </w:r>
          </w:p>
        </w:tc>
        <w:tc>
          <w:tcPr>
            <w:tcW w:w="0" w:type="dxa"/>
            <w:vAlign w:val="bottom"/>
          </w:tcPr>
          <w:p>
            <w:pPr>
              <w:spacing w:after="0"/>
              <w:rPr>
                <w:sz w:val="1"/>
                <w:szCs w:val="1"/>
                <w:color w:val="auto"/>
              </w:rPr>
            </w:pPr>
          </w:p>
        </w:tc>
      </w:tr>
      <w:tr>
        <w:trPr>
          <w:trHeight w:val="34"/>
        </w:trPr>
        <w:tc>
          <w:tcPr>
            <w:tcW w:w="400" w:type="dxa"/>
            <w:vAlign w:val="bottom"/>
          </w:tcPr>
          <w:p>
            <w:pPr>
              <w:spacing w:after="0"/>
              <w:rPr>
                <w:sz w:val="2"/>
                <w:szCs w:val="2"/>
                <w:color w:val="auto"/>
              </w:rPr>
            </w:pPr>
          </w:p>
        </w:tc>
        <w:tc>
          <w:tcPr>
            <w:tcW w:w="340" w:type="dxa"/>
            <w:vAlign w:val="bottom"/>
            <w:tcBorders>
              <w:top w:val="single" w:sz="8" w:color="0000FF"/>
              <w:bottom w:val="single" w:sz="8" w:color="0000FF"/>
            </w:tcBorders>
          </w:tcPr>
          <w:p>
            <w:pPr>
              <w:spacing w:after="0"/>
              <w:rPr>
                <w:sz w:val="2"/>
                <w:szCs w:val="2"/>
                <w:color w:val="auto"/>
              </w:rPr>
            </w:pPr>
          </w:p>
        </w:tc>
        <w:tc>
          <w:tcPr>
            <w:tcW w:w="3200" w:type="dxa"/>
            <w:vAlign w:val="bottom"/>
          </w:tcPr>
          <w:p>
            <w:pPr>
              <w:spacing w:after="0"/>
              <w:rPr>
                <w:sz w:val="2"/>
                <w:szCs w:val="2"/>
                <w:color w:val="auto"/>
              </w:rPr>
            </w:pPr>
          </w:p>
        </w:tc>
        <w:tc>
          <w:tcPr>
            <w:tcW w:w="5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9"/>
        </w:trPr>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383 Madison Ave, Floor 24</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New York, NY 10179</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Attention: Nadeige Dang</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Telecopy: 646-861-6193</w:t>
            </w:r>
          </w:p>
        </w:tc>
        <w:tc>
          <w:tcPr>
            <w:tcW w:w="0" w:type="dxa"/>
            <w:vAlign w:val="bottom"/>
          </w:tcPr>
          <w:p>
            <w:pPr>
              <w:spacing w:after="0"/>
              <w:rPr>
                <w:sz w:val="1"/>
                <w:szCs w:val="1"/>
                <w:color w:val="auto"/>
              </w:rPr>
            </w:pPr>
          </w:p>
        </w:tc>
      </w:tr>
      <w:tr>
        <w:trPr>
          <w:trHeight w:val="258"/>
        </w:trPr>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51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Telephone: 212-622-4522</w:t>
            </w:r>
          </w:p>
        </w:tc>
        <w:tc>
          <w:tcPr>
            <w:tcW w:w="0" w:type="dxa"/>
            <w:vAlign w:val="bottom"/>
          </w:tcPr>
          <w:p>
            <w:pPr>
              <w:spacing w:after="0"/>
              <w:rPr>
                <w:sz w:val="1"/>
                <w:szCs w:val="1"/>
                <w:color w:val="auto"/>
              </w:rPr>
            </w:pPr>
          </w:p>
        </w:tc>
      </w:tr>
    </w:tbl>
    <w:p>
      <w:pPr>
        <w:sectPr>
          <w:pgSz w:w="11900" w:h="16838" w:orient="portrait"/>
          <w:cols w:equalWidth="0" w:num="1">
            <w:col w:w="11020"/>
          </w:cols>
          <w:pgMar w:left="640" w:top="409" w:right="2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98</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u w:val="single" w:color="auto"/>
          <w:color w:val="0000FF"/>
        </w:rPr>
        <w:t>and, in the case of notices,</w:t>
      </w:r>
    </w:p>
    <w:p>
      <w:pPr>
        <w:spacing w:after="0" w:line="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u w:val="single" w:color="auto"/>
          <w:color w:val="0000FF"/>
        </w:rPr>
        <w:t>requests or demands with</w:t>
      </w:r>
    </w:p>
    <w:p>
      <w:pPr>
        <w:ind w:left="400"/>
        <w:spacing w:after="0"/>
        <w:rPr>
          <w:sz w:val="20"/>
          <w:szCs w:val="20"/>
          <w:color w:val="auto"/>
        </w:rPr>
      </w:pPr>
      <w:r>
        <w:rPr>
          <w:rFonts w:ascii="Times New Roman" w:cs="Times New Roman" w:eastAsia="Times New Roman" w:hAnsi="Times New Roman"/>
          <w:sz w:val="20"/>
          <w:szCs w:val="20"/>
          <w:u w:val="single" w:color="auto"/>
          <w:color w:val="0000FF"/>
        </w:rPr>
        <w:t>respect to any Foreign</w:t>
      </w:r>
    </w:p>
    <w:p>
      <w:pPr>
        <w:ind w:left="400"/>
        <w:spacing w:after="0"/>
        <w:rPr>
          <w:sz w:val="20"/>
          <w:szCs w:val="20"/>
          <w:color w:val="auto"/>
        </w:rPr>
      </w:pPr>
      <w:r>
        <w:rPr>
          <w:rFonts w:ascii="Times New Roman" w:cs="Times New Roman" w:eastAsia="Times New Roman" w:hAnsi="Times New Roman"/>
          <w:sz w:val="20"/>
          <w:szCs w:val="20"/>
          <w:u w:val="single" w:color="auto"/>
          <w:color w:val="0000FF"/>
        </w:rPr>
        <w:t>Currency Loan, copies to:</w:t>
      </w:r>
    </w:p>
    <w:p>
      <w:pPr>
        <w:spacing w:after="0" w:line="20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u w:val="single" w:color="auto"/>
          <w:color w:val="0000FF"/>
        </w:rPr>
        <w:t>J.P. Morgan Europe Limited</w:t>
      </w:r>
    </w:p>
    <w:p>
      <w:pPr>
        <w:spacing w:after="0" w:line="2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u w:val="single" w:color="auto"/>
          <w:color w:val="0000FF"/>
        </w:rPr>
        <w:t>Loans Agency, 6</w:t>
      </w:r>
      <w:r>
        <w:rPr>
          <w:rFonts w:ascii="Times New Roman" w:cs="Times New Roman" w:eastAsia="Times New Roman" w:hAnsi="Times New Roman"/>
          <w:sz w:val="16"/>
          <w:szCs w:val="16"/>
          <w:u w:val="single" w:color="auto"/>
          <w:color w:val="0000FF"/>
        </w:rPr>
        <w:t>th</w:t>
      </w:r>
      <w:r>
        <w:rPr>
          <w:rFonts w:ascii="Times New Roman" w:cs="Times New Roman" w:eastAsia="Times New Roman" w:hAnsi="Times New Roman"/>
          <w:sz w:val="20"/>
          <w:szCs w:val="20"/>
          <w:u w:val="single" w:color="auto"/>
          <w:color w:val="0000FF"/>
        </w:rPr>
        <w:t xml:space="preserve"> Floor</w:t>
      </w:r>
    </w:p>
    <w:p>
      <w:pPr>
        <w:ind w:left="5820"/>
        <w:spacing w:after="0"/>
        <w:rPr>
          <w:sz w:val="20"/>
          <w:szCs w:val="20"/>
          <w:color w:val="auto"/>
        </w:rPr>
      </w:pPr>
      <w:r>
        <w:rPr>
          <w:rFonts w:ascii="Times New Roman" w:cs="Times New Roman" w:eastAsia="Times New Roman" w:hAnsi="Times New Roman"/>
          <w:sz w:val="20"/>
          <w:szCs w:val="20"/>
          <w:u w:val="single" w:color="auto"/>
          <w:color w:val="0000FF"/>
        </w:rPr>
        <w:t>25 Bank Street, Canary Wharf</w:t>
      </w:r>
    </w:p>
    <w:p>
      <w:pPr>
        <w:ind w:left="5820"/>
        <w:spacing w:after="0"/>
        <w:rPr>
          <w:sz w:val="20"/>
          <w:szCs w:val="20"/>
          <w:color w:val="auto"/>
        </w:rPr>
      </w:pPr>
      <w:r>
        <w:rPr>
          <w:rFonts w:ascii="Times New Roman" w:cs="Times New Roman" w:eastAsia="Times New Roman" w:hAnsi="Times New Roman"/>
          <w:sz w:val="20"/>
          <w:szCs w:val="20"/>
          <w:u w:val="single" w:color="auto"/>
          <w:color w:val="0000FF"/>
        </w:rPr>
        <w:t>London E145JP</w:t>
      </w:r>
    </w:p>
    <w:p>
      <w:pPr>
        <w:ind w:left="5820"/>
        <w:spacing w:after="0"/>
        <w:rPr>
          <w:sz w:val="20"/>
          <w:szCs w:val="20"/>
          <w:color w:val="auto"/>
        </w:rPr>
      </w:pPr>
      <w:r>
        <w:rPr>
          <w:rFonts w:ascii="Times New Roman" w:cs="Times New Roman" w:eastAsia="Times New Roman" w:hAnsi="Times New Roman"/>
          <w:sz w:val="20"/>
          <w:szCs w:val="20"/>
          <w:u w:val="single" w:color="auto"/>
          <w:color w:val="0000FF"/>
        </w:rPr>
        <w:t>United Kingdom</w:t>
      </w:r>
    </w:p>
    <w:p>
      <w:pPr>
        <w:ind w:left="5820"/>
        <w:spacing w:after="0"/>
        <w:rPr>
          <w:sz w:val="20"/>
          <w:szCs w:val="20"/>
          <w:color w:val="auto"/>
        </w:rPr>
      </w:pPr>
      <w:r>
        <w:rPr>
          <w:rFonts w:ascii="Times New Roman" w:cs="Times New Roman" w:eastAsia="Times New Roman" w:hAnsi="Times New Roman"/>
          <w:sz w:val="20"/>
          <w:szCs w:val="20"/>
          <w:u w:val="single" w:color="auto"/>
          <w:color w:val="0000FF"/>
        </w:rPr>
        <w:t>Attention: Loans Agency</w:t>
      </w:r>
    </w:p>
    <w:p>
      <w:pPr>
        <w:ind w:left="5820"/>
        <w:spacing w:after="0"/>
        <w:rPr>
          <w:sz w:val="20"/>
          <w:szCs w:val="20"/>
          <w:color w:val="auto"/>
        </w:rPr>
      </w:pPr>
      <w:r>
        <w:rPr>
          <w:rFonts w:ascii="Times New Roman" w:cs="Times New Roman" w:eastAsia="Times New Roman" w:hAnsi="Times New Roman"/>
          <w:sz w:val="20"/>
          <w:szCs w:val="20"/>
          <w:u w:val="single" w:color="auto"/>
          <w:color w:val="0000FF"/>
        </w:rPr>
        <w:t>Telecopy: +44-20-7777-2360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notice, request or demand to or upon the Administrative Agent or the Lenders shall not be effective until received.</w:t>
      </w:r>
    </w:p>
    <w:p>
      <w:pPr>
        <w:spacing w:after="0" w:line="216" w:lineRule="exact"/>
        <w:rPr>
          <w:sz w:val="20"/>
          <w:szCs w:val="20"/>
          <w:color w:val="auto"/>
        </w:rPr>
      </w:pPr>
    </w:p>
    <w:p>
      <w:pPr>
        <w:ind w:right="20" w:firstLine="1027"/>
        <w:spacing w:after="0" w:line="247" w:lineRule="auto"/>
        <w:rPr>
          <w:sz w:val="20"/>
          <w:szCs w:val="20"/>
          <w:color w:val="auto"/>
        </w:rPr>
      </w:pPr>
      <w:r>
        <w:rPr>
          <w:rFonts w:ascii="Times New Roman" w:cs="Times New Roman" w:eastAsia="Times New Roman" w:hAnsi="Times New Roman"/>
          <w:sz w:val="20"/>
          <w:szCs w:val="20"/>
          <w:color w:val="auto"/>
        </w:rPr>
        <w:t xml:space="preserve">Notices and other communications to the Lenders hereunder may be delivered or furnished by electronic communications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pursuant to Section 2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81" w:lineRule="exact"/>
        <w:rPr>
          <w:sz w:val="20"/>
          <w:szCs w:val="20"/>
          <w:color w:val="auto"/>
        </w:rPr>
      </w:pPr>
    </w:p>
    <w:p>
      <w:pPr>
        <w:ind w:right="40" w:firstLine="1027"/>
        <w:spacing w:after="0" w:line="247"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u w:val="single" w:color="auto"/>
          <w:color w:val="auto"/>
        </w:rPr>
        <w:t>No Waiver; Cumulative Remedies</w:t>
      </w:r>
      <w:r>
        <w:rPr>
          <w:rFonts w:ascii="Times New Roman" w:cs="Times New Roman" w:eastAsia="Times New Roman" w:hAnsi="Times New Roman"/>
          <w:sz w:val="20"/>
          <w:szCs w:val="20"/>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1" w:lineRule="exact"/>
        <w:rPr>
          <w:sz w:val="20"/>
          <w:szCs w:val="20"/>
          <w:color w:val="auto"/>
        </w:rPr>
      </w:pPr>
    </w:p>
    <w:p>
      <w:pPr>
        <w:ind w:right="260" w:firstLine="1027"/>
        <w:spacing w:after="0" w:line="254" w:lineRule="auto"/>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u w:val="single" w:color="auto"/>
          <w:color w:val="auto"/>
        </w:rPr>
        <w:t>Survival of Representations and Warranties</w:t>
      </w:r>
      <w:r>
        <w:rPr>
          <w:rFonts w:ascii="Times New Roman" w:cs="Times New Roman" w:eastAsia="Times New Roman" w:hAnsi="Times New Roman"/>
          <w:sz w:val="20"/>
          <w:szCs w:val="20"/>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75" w:lineRule="exact"/>
        <w:rPr>
          <w:sz w:val="20"/>
          <w:szCs w:val="20"/>
          <w:color w:val="auto"/>
        </w:rPr>
      </w:pPr>
    </w:p>
    <w:p>
      <w:pPr>
        <w:ind w:firstLine="1027"/>
        <w:spacing w:after="0" w:line="253" w:lineRule="auto"/>
        <w:rPr>
          <w:sz w:val="20"/>
          <w:szCs w:val="20"/>
          <w:color w:val="auto"/>
        </w:rPr>
      </w:pPr>
      <w:r>
        <w:rPr>
          <w:rFonts w:ascii="Times New Roman" w:cs="Times New Roman" w:eastAsia="Times New Roman" w:hAnsi="Times New Roman"/>
          <w:sz w:val="19"/>
          <w:szCs w:val="19"/>
          <w:color w:val="auto"/>
        </w:rPr>
        <w:t xml:space="preserve">10.5 </w:t>
      </w:r>
      <w:r>
        <w:rPr>
          <w:rFonts w:ascii="Times New Roman" w:cs="Times New Roman" w:eastAsia="Times New Roman" w:hAnsi="Times New Roman"/>
          <w:sz w:val="19"/>
          <w:szCs w:val="19"/>
          <w:u w:val="single" w:color="auto"/>
          <w:color w:val="auto"/>
        </w:rPr>
        <w:t>Payment of Expenses and Taxes</w:t>
      </w:r>
      <w:r>
        <w:rPr>
          <w:rFonts w:ascii="Times New Roman" w:cs="Times New Roman" w:eastAsia="Times New Roman" w:hAnsi="Times New Roman"/>
          <w:sz w:val="19"/>
          <w:szCs w:val="19"/>
          <w:color w:val="auto"/>
        </w:rPr>
        <w:t>. The Borrower agrees (a) to pay or reimburse the Administrative Agent for all its costs and expenses incurred in connection with the development,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including the reasonable fees and disbursements of counsel to the Administrative Agent and filing and recording fees and expenses, with statements with respect to the foregoing to be submitted to the Borrower prior to the Closing Date (in the case of amounts to be paid on the Closing Date) and from time to time thereafter on a quarterly basis or such other periodic basis as the Administrative Agent shall deem appropriate, (b) to pay or reimburse each Lender and the Administrative Agent for all its costs and expenses incurred in connection with the enforcement or preservation of any rights under this Agreement, the other Loan Documents and any such other documents, including the reasonable fees and disbursements of counsel (including the allocated fees and expenses of in-house counsel) to each Lender and of counsel to the Administrative Agent, (c) to pay, indemnify, and hold each Lender, Issuing Lender and the Administrative Agent harmless from, any and all recording and filing fees and any and all liabilities with respect to, or resulting from any delay in paying, stamp, excise and other Taxes,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to pay, indemnify, and hold each Lender, Issuing</w:t>
      </w:r>
    </w:p>
    <w:p>
      <w:pPr>
        <w:sectPr>
          <w:pgSz w:w="11900" w:h="16838" w:orient="portrait"/>
          <w:cols w:equalWidth="0" w:num="1">
            <w:col w:w="11420"/>
          </w:cols>
          <w:pgMar w:left="240" w:top="409" w:right="2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99</w:t>
      </w:r>
    </w:p>
    <w:p>
      <w:pPr>
        <w:spacing w:after="0" w:line="23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Lender and the Administrative Agent and their respective officers, directors, employees, affiliates, agents, advisors and controlling persons (each,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harmless from and against any and all other liabilities, obligations, losses, damages, penalties, actions, judgments, suits, costs, expenses or disbursements of any kind or nature whatsoever with respect to the execution, delivery, enforcement, performance and administration of this Agreement, the other Loan Documents and any such other documents, including any claim, litigation, investigation or proceeding regardless of whether any Indemnitee is a party thereto and whether or not the same are brought by the Borrower, its equity holders, affiliates or creditors or any other Person, including any of the foregoing relating to the use of proceeds of the Loans or the violation of, noncompliance with or liability under, any Environmental Law applicable to the operations of any Group Member or any of the Properties and the reasonable fees and expenses of legal counsel in connection with claims, actions or proceedings by any Indemnitee against any Loan Party under any Loan Document (all the foregoing in this clause (d), collectively, the “</w:t>
      </w:r>
      <w:r>
        <w:rPr>
          <w:rFonts w:ascii="Times New Roman" w:cs="Times New Roman" w:eastAsia="Times New Roman" w:hAnsi="Times New Roman"/>
          <w:sz w:val="20"/>
          <w:szCs w:val="20"/>
          <w:u w:val="single" w:color="auto"/>
          <w:color w:val="auto"/>
        </w:rPr>
        <w:t>Indemnified Liabilities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have no obligation hereunder to any Indemnitee with respect to Indemnified Liabilities to the extent such Indemnified Liabilities are found by a final and nonappealable decision of a court of competent jurisdiction to have resulted from the gross negligence or willful misconduct of such Indemnitee,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this Section 10.5(d) shall not apply with respect to Taxes other than any Taxes that represent losses or damages arising from any non-Tax claim. Without limiting the foregoing, 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All amounts due under this Section 10.5 shall be payable not later than 10 days after written demand therefor. Statements payable by the Borrower pursuant to this Section 10.5 shall be submitted to Joseph Bramuchi, VP Capital Markets &amp; Treasury (Telephone No. (407) 513-6954) (Telecopy No. (407) 206-6005), at the address of the Borrower set forth in Section 10.2, or to such other Person or address as may be hereafter designated by the Borrower in a written notice to the Administrative Agent. The agreements in this Section 10.5 shall survive the termination of this Agreement and the repayment of the Loans and all other amounts payable hereunder.</w:t>
      </w:r>
    </w:p>
    <w:p>
      <w:pPr>
        <w:spacing w:after="0" w:line="188" w:lineRule="exact"/>
        <w:rPr>
          <w:sz w:val="20"/>
          <w:szCs w:val="20"/>
          <w:color w:val="auto"/>
        </w:rPr>
      </w:pPr>
    </w:p>
    <w:p>
      <w:pPr>
        <w:ind w:right="40" w:firstLine="1027"/>
        <w:spacing w:after="0" w:line="245" w:lineRule="auto"/>
        <w:rPr>
          <w:sz w:val="20"/>
          <w:szCs w:val="20"/>
          <w:color w:val="auto"/>
        </w:rPr>
      </w:pPr>
      <w:r>
        <w:rPr>
          <w:rFonts w:ascii="Times New Roman" w:cs="Times New Roman" w:eastAsia="Times New Roman" w:hAnsi="Times New Roman"/>
          <w:sz w:val="20"/>
          <w:szCs w:val="20"/>
          <w:color w:val="auto"/>
        </w:rPr>
        <w:t xml:space="preserve">10.6 </w:t>
      </w:r>
      <w:r>
        <w:rPr>
          <w:rFonts w:ascii="Times New Roman" w:cs="Times New Roman" w:eastAsia="Times New Roman" w:hAnsi="Times New Roman"/>
          <w:sz w:val="20"/>
          <w:szCs w:val="20"/>
          <w:u w:val="single" w:color="auto"/>
          <w:color w:val="auto"/>
        </w:rPr>
        <w:t>Successors and Assigns; Participations and Assignments</w:t>
      </w:r>
      <w:r>
        <w:rPr>
          <w:rFonts w:ascii="Times New Roman" w:cs="Times New Roman" w:eastAsia="Times New Roman" w:hAnsi="Times New Roman"/>
          <w:sz w:val="20"/>
          <w:szCs w:val="20"/>
          <w:color w:val="auto"/>
        </w:rPr>
        <w:t>. (a) The provisions of this Agreement shall be binding upon and inure to the benefit of the parties hereto and their respective successors and assigns permitted hereby (including any affiliate of the Issuing Lender that issues any Letter of Credit), except that (i) the Borrower may not assign or otherwise transfer any of its rights or obligations hereunder without the prior written consent of each Lender and each Issuing Lender (and any attempted assignment or transfer by the Borrower without such consent shall be null and void) and (ii) no Lender may assign or otherwise transfer its rights or obligations hereunder except in accordance with this Section.</w:t>
      </w:r>
    </w:p>
    <w:p>
      <w:pPr>
        <w:spacing w:after="0" w:line="185" w:lineRule="exact"/>
        <w:rPr>
          <w:sz w:val="20"/>
          <w:szCs w:val="20"/>
          <w:color w:val="auto"/>
        </w:rPr>
      </w:pPr>
    </w:p>
    <w:p>
      <w:pPr>
        <w:ind w:right="20" w:firstLine="1035"/>
        <w:spacing w:after="0" w:line="247" w:lineRule="auto"/>
        <w:tabs>
          <w:tab w:leader="none" w:pos="1555"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Subject to the conditions set forth in paragraph (b)(ii) below, any Lender may assign to one or more assignees (each, an “</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xml:space="preserve">”), other than a natural person, a Loan Party or an Affiliate of a Loan Party, all or a portion of its rights and obligations under this Agreement (including all or a portion of its Commitments and the Loans at the time owing to it </w:t>
      </w:r>
      <w:r>
        <w:rPr>
          <w:rFonts w:ascii="Times New Roman" w:cs="Times New Roman" w:eastAsia="Times New Roman" w:hAnsi="Times New Roman"/>
          <w:sz w:val="20"/>
          <w:szCs w:val="20"/>
          <w:u w:val="single" w:color="auto"/>
          <w:color w:val="0000FF"/>
        </w:rPr>
        <w:t>(provided that, for avoidance of doubt, any such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assignment by a Lender that is a Foreign Currency Lender shall include a pro rata assignment of any Foreign Currency Commitments of, and Foreign Currency Loans held by, such Lender</w:t>
      </w:r>
      <w:r>
        <w:rPr>
          <w:rFonts w:ascii="Times New Roman" w:cs="Times New Roman" w:eastAsia="Times New Roman" w:hAnsi="Times New Roman"/>
          <w:sz w:val="20"/>
          <w:szCs w:val="20"/>
          <w:color w:val="000000"/>
        </w:rPr>
        <w:t>) with the prior written consent of:</w:t>
      </w:r>
    </w:p>
    <w:p>
      <w:pPr>
        <w:spacing w:after="0" w:line="180" w:lineRule="exact"/>
        <w:rPr>
          <w:rFonts w:ascii="Times New Roman" w:cs="Times New Roman" w:eastAsia="Times New Roman" w:hAnsi="Times New Roman"/>
          <w:sz w:val="20"/>
          <w:szCs w:val="20"/>
          <w:color w:val="auto"/>
        </w:rPr>
      </w:pPr>
    </w:p>
    <w:p>
      <w:pPr>
        <w:ind w:left="460" w:right="80" w:firstLine="1040"/>
        <w:spacing w:after="0" w:line="247" w:lineRule="auto"/>
        <w:tabs>
          <w:tab w:leader="none" w:pos="2018"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(such consent not to be unreasonably withheld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Borrower shall be required for an assignment to a Lender, an affiliate of a Lender, an Approved Fund (as defined below) or, if an Event of Default has occurred and is continuing, any other Person;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Borrower shall be deemed to have consented to any such assignment unless the Borrower shall object thereto by written notice to the Administrative Agent within ten Business Days after having received notice thereof; and</w:t>
      </w:r>
    </w:p>
    <w:p>
      <w:pPr>
        <w:sectPr>
          <w:pgSz w:w="11900" w:h="16838" w:orient="portrait"/>
          <w:cols w:equalWidth="0" w:num="1">
            <w:col w:w="11420"/>
          </w:cols>
          <w:pgMar w:left="240" w:top="409" w:right="2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100</w:t>
      </w:r>
    </w:p>
    <w:p>
      <w:pPr>
        <w:spacing w:after="0" w:line="238" w:lineRule="exact"/>
        <w:rPr>
          <w:sz w:val="20"/>
          <w:szCs w:val="20"/>
          <w:color w:val="auto"/>
        </w:rPr>
      </w:pPr>
    </w:p>
    <w:p>
      <w:pPr>
        <w:ind w:left="1960" w:hanging="510"/>
        <w:spacing w:after="0"/>
        <w:tabs>
          <w:tab w:leader="none" w:pos="1960"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(such consent not to be unreasonably withheld or delayed); and</w:t>
      </w:r>
    </w:p>
    <w:p>
      <w:pPr>
        <w:spacing w:after="0" w:line="215" w:lineRule="exact"/>
        <w:rPr>
          <w:rFonts w:ascii="Times New Roman" w:cs="Times New Roman" w:eastAsia="Times New Roman" w:hAnsi="Times New Roman"/>
          <w:sz w:val="20"/>
          <w:szCs w:val="20"/>
          <w:color w:val="auto"/>
        </w:rPr>
      </w:pPr>
    </w:p>
    <w:p>
      <w:pPr>
        <w:ind w:left="1960" w:hanging="510"/>
        <w:spacing w:after="0"/>
        <w:tabs>
          <w:tab w:leader="none" w:pos="1960"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Issuing Lender (such consent not to be unreasonably withheld or delayed).</w:t>
      </w:r>
    </w:p>
    <w:p>
      <w:pPr>
        <w:spacing w:after="0" w:line="215" w:lineRule="exact"/>
        <w:rPr>
          <w:rFonts w:ascii="Times New Roman" w:cs="Times New Roman" w:eastAsia="Times New Roman" w:hAnsi="Times New Roman"/>
          <w:sz w:val="20"/>
          <w:szCs w:val="20"/>
          <w:color w:val="auto"/>
        </w:rPr>
      </w:pPr>
    </w:p>
    <w:p>
      <w:pPr>
        <w:ind w:left="1400" w:hanging="497"/>
        <w:spacing w:after="0"/>
        <w:tabs>
          <w:tab w:leader="none" w:pos="140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Assignments shall be subject to the following additional conditions:</w:t>
      </w:r>
    </w:p>
    <w:p>
      <w:pPr>
        <w:spacing w:after="0" w:line="215" w:lineRule="exact"/>
        <w:rPr>
          <w:rFonts w:ascii="Times New Roman" w:cs="Times New Roman" w:eastAsia="Times New Roman" w:hAnsi="Times New Roman"/>
          <w:sz w:val="20"/>
          <w:szCs w:val="20"/>
          <w:color w:val="auto"/>
        </w:rPr>
      </w:pPr>
    </w:p>
    <w:p>
      <w:pPr>
        <w:ind w:left="460" w:right="160" w:firstLine="990"/>
        <w:spacing w:after="0" w:line="244" w:lineRule="auto"/>
        <w:tabs>
          <w:tab w:leader="none" w:pos="1968"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the case of an assignment to a Lender, an affiliate of a Lender or an Approved Fund or an assignment of the entire remaining amount of the assigning Lender’s Commitments or Loans, the </w:t>
      </w:r>
      <w:r>
        <w:rPr>
          <w:rFonts w:ascii="Times New Roman" w:cs="Times New Roman" w:eastAsia="Times New Roman" w:hAnsi="Times New Roman"/>
          <w:sz w:val="20"/>
          <w:szCs w:val="20"/>
          <w:u w:val="single" w:color="auto"/>
          <w:color w:val="0000FF"/>
        </w:rPr>
        <w:t>Dollar Equivalent</w:t>
      </w:r>
      <w:r>
        <w:rPr>
          <w:rFonts w:ascii="Times New Roman" w:cs="Times New Roman" w:eastAsia="Times New Roman" w:hAnsi="Times New Roman"/>
          <w:sz w:val="20"/>
          <w:szCs w:val="20"/>
          <w:color w:val="auto"/>
        </w:rPr>
        <w:t xml:space="preserve"> amount of the Commitments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no such consent of the Borrower shall be required if an Event of Default has occurred and is continuing and (2) such amounts shall be aggregated in respect of each Lender and its affiliates or Approved Funds, if any;</w:t>
      </w:r>
    </w:p>
    <w:p>
      <w:pPr>
        <w:spacing w:after="0" w:line="186" w:lineRule="exact"/>
        <w:rPr>
          <w:rFonts w:ascii="Times New Roman" w:cs="Times New Roman" w:eastAsia="Times New Roman" w:hAnsi="Times New Roman"/>
          <w:sz w:val="20"/>
          <w:szCs w:val="20"/>
          <w:color w:val="auto"/>
        </w:rPr>
      </w:pPr>
    </w:p>
    <w:p>
      <w:pPr>
        <w:ind w:left="460" w:right="300" w:firstLine="990"/>
        <w:spacing w:after="0" w:line="254" w:lineRule="auto"/>
        <w:tabs>
          <w:tab w:leader="none" w:pos="1957"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the parties to each assignment shall execute and deliver to the Administrative Agent an Assignment and Assumption, together with a processing and recordation fee of $3,500 and (2) the assigning Lender shall have paid in full any amounts owing by it to the Administrative Agent; and</w:t>
      </w:r>
    </w:p>
    <w:p>
      <w:pPr>
        <w:spacing w:after="0" w:line="174" w:lineRule="exact"/>
        <w:rPr>
          <w:rFonts w:ascii="Times New Roman" w:cs="Times New Roman" w:eastAsia="Times New Roman" w:hAnsi="Times New Roman"/>
          <w:sz w:val="20"/>
          <w:szCs w:val="20"/>
          <w:color w:val="auto"/>
        </w:rPr>
      </w:pPr>
    </w:p>
    <w:p>
      <w:pPr>
        <w:ind w:left="460" w:right="100" w:firstLine="990"/>
        <w:spacing w:after="0" w:line="247" w:lineRule="auto"/>
        <w:tabs>
          <w:tab w:leader="none" w:pos="2007"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81" w:lineRule="exact"/>
        <w:rPr>
          <w:sz w:val="20"/>
          <w:szCs w:val="20"/>
          <w:color w:val="auto"/>
        </w:rPr>
      </w:pPr>
    </w:p>
    <w:p>
      <w:pPr>
        <w:ind w:left="460" w:right="300" w:firstLine="4"/>
        <w:spacing w:after="0" w:line="269" w:lineRule="auto"/>
        <w:tabs>
          <w:tab w:leader="none" w:pos="565"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may an assignment be made to a Direct Competitor of the Borrower without the prior written consent of the Borrower.</w:t>
      </w:r>
    </w:p>
    <w:p>
      <w:pPr>
        <w:spacing w:after="0" w:line="160" w:lineRule="exact"/>
        <w:rPr>
          <w:sz w:val="20"/>
          <w:szCs w:val="20"/>
          <w:color w:val="auto"/>
        </w:rPr>
      </w:pPr>
    </w:p>
    <w:p>
      <w:pPr>
        <w:jc w:val="both"/>
        <w:ind w:right="100" w:firstLine="913"/>
        <w:spacing w:after="0" w:line="274" w:lineRule="auto"/>
        <w:rPr>
          <w:sz w:val="20"/>
          <w:szCs w:val="20"/>
          <w:color w:val="auto"/>
        </w:rPr>
      </w:pPr>
      <w:r>
        <w:rPr>
          <w:rFonts w:ascii="Times New Roman" w:cs="Times New Roman" w:eastAsia="Times New Roman" w:hAnsi="Times New Roman"/>
          <w:sz w:val="19"/>
          <w:szCs w:val="19"/>
          <w:color w:val="auto"/>
        </w:rPr>
        <w:t>For the purposes of this Section 10.6, “</w:t>
      </w:r>
      <w:r>
        <w:rPr>
          <w:rFonts w:ascii="Times New Roman" w:cs="Times New Roman" w:eastAsia="Times New Roman" w:hAnsi="Times New Roman"/>
          <w:sz w:val="19"/>
          <w:szCs w:val="19"/>
          <w:u w:val="single" w:color="auto"/>
          <w:color w:val="auto"/>
        </w:rPr>
        <w:t>Approved Fund</w:t>
      </w:r>
      <w:r>
        <w:rPr>
          <w:rFonts w:ascii="Times New Roman" w:cs="Times New Roman" w:eastAsia="Times New Roman" w:hAnsi="Times New Roman"/>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57" w:lineRule="exact"/>
        <w:rPr>
          <w:sz w:val="20"/>
          <w:szCs w:val="20"/>
          <w:color w:val="auto"/>
        </w:rPr>
      </w:pPr>
    </w:p>
    <w:p>
      <w:pPr>
        <w:ind w:left="460" w:right="40" w:firstLine="443"/>
        <w:spacing w:after="0" w:line="247" w:lineRule="auto"/>
        <w:tabs>
          <w:tab w:leader="none" w:pos="1442"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w:t>
      </w:r>
    </w:p>
    <w:p>
      <w:pPr>
        <w:sectPr>
          <w:pgSz w:w="11900" w:h="16838" w:orient="portrait"/>
          <w:cols w:equalWidth="0" w:num="1">
            <w:col w:w="11420"/>
          </w:cols>
          <w:pgMar w:left="240" w:top="409" w:right="239" w:bottom="1440" w:gutter="0" w:footer="0" w:header="0"/>
        </w:sectPr>
      </w:pPr>
    </w:p>
    <w:bookmarkStart w:id="196" w:name="page197"/>
    <w:bookmarkEnd w:id="196"/>
    <w:p>
      <w:pPr>
        <w:ind w:left="10640"/>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101</w:t>
      </w:r>
    </w:p>
    <w:p>
      <w:pPr>
        <w:spacing w:after="0" w:line="249"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this Agreement, such Lender shall cease to be a party hereto but shall continue to be entitled to the benefits of Sections 2.13, 2.14, 2.15 and 10.5).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w:t>
      </w:r>
    </w:p>
    <w:p>
      <w:pPr>
        <w:spacing w:after="0" w:line="180" w:lineRule="exact"/>
        <w:rPr>
          <w:sz w:val="20"/>
          <w:szCs w:val="20"/>
          <w:color w:val="auto"/>
        </w:rPr>
      </w:pPr>
    </w:p>
    <w:p>
      <w:pPr>
        <w:ind w:right="120" w:firstLine="443"/>
        <w:spacing w:after="0" w:line="260" w:lineRule="auto"/>
        <w:tabs>
          <w:tab w:leader="none" w:pos="918"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acting for this purpose as an agent of the Borrower, shall maintain at one of its offices a copy of each Assignment and Assumption delivered to it and a register for the recordation of the names and addresses of the Lenders, and the Commitments </w:t>
      </w:r>
      <w:r>
        <w:rPr>
          <w:rFonts w:ascii="Times New Roman" w:cs="Times New Roman" w:eastAsia="Times New Roman" w:hAnsi="Times New Roman"/>
          <w:sz w:val="19"/>
          <w:szCs w:val="19"/>
          <w:u w:val="single" w:color="auto"/>
          <w:color w:val="0000FF"/>
        </w:rPr>
        <w:t>(including any related Foreign Currency Commitments)</w:t>
      </w:r>
      <w:r>
        <w:rPr>
          <w:rFonts w:ascii="Times New Roman" w:cs="Times New Roman" w:eastAsia="Times New Roman" w:hAnsi="Times New Roman"/>
          <w:sz w:val="19"/>
          <w:szCs w:val="19"/>
          <w:color w:val="auto"/>
        </w:rPr>
        <w:t xml:space="preserve"> of, and principal amount of the Loans and L/C Obligations owing to, each Lender pursuant to the terms hereof from time to time (the “</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The entries in the Register shall be conclusive, and the Borrower, the Administrative Agent, the Issuing Lenders and the Lenders shall treat each Person whose name is recorded in the Register pursuant to the terms hereof as a Lender hereunder for all purposes of this Agreement, notwithstanding notice to the contrary.</w:t>
      </w:r>
    </w:p>
    <w:p>
      <w:pPr>
        <w:spacing w:after="0" w:line="173" w:lineRule="exact"/>
        <w:rPr>
          <w:rFonts w:ascii="Times New Roman" w:cs="Times New Roman" w:eastAsia="Times New Roman" w:hAnsi="Times New Roman"/>
          <w:sz w:val="19"/>
          <w:szCs w:val="19"/>
          <w:color w:val="auto"/>
        </w:rPr>
      </w:pPr>
    </w:p>
    <w:p>
      <w:pPr>
        <w:ind w:right="240" w:firstLine="443"/>
        <w:spacing w:after="0" w:line="245" w:lineRule="auto"/>
        <w:tabs>
          <w:tab w:leader="none" w:pos="916"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5" w:lineRule="exact"/>
        <w:rPr>
          <w:rFonts w:ascii="Times New Roman" w:cs="Times New Roman" w:eastAsia="Times New Roman" w:hAnsi="Times New Roman"/>
          <w:sz w:val="20"/>
          <w:szCs w:val="20"/>
          <w:color w:val="auto"/>
        </w:rPr>
      </w:pPr>
    </w:p>
    <w:p>
      <w:pPr>
        <w:ind w:left="-460" w:right="20" w:firstLine="921"/>
        <w:spacing w:after="0" w:line="241" w:lineRule="auto"/>
        <w:tabs>
          <w:tab w:leader="none" w:pos="920"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without the consent of the Borrower, the Administrative Agent or any Issuing Lender, sell participations to one or more banks or other entities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 obligations under this Agreement (including all or a portion of its Commitments </w:t>
      </w:r>
      <w:r>
        <w:rPr>
          <w:rFonts w:ascii="Times New Roman" w:cs="Times New Roman" w:eastAsia="Times New Roman" w:hAnsi="Times New Roman"/>
          <w:sz w:val="20"/>
          <w:szCs w:val="20"/>
          <w:u w:val="single" w:color="auto"/>
          <w:color w:val="0000FF"/>
        </w:rPr>
        <w:t>(including any related Foreign Currency Commitments)</w:t>
      </w:r>
      <w:r>
        <w:rPr>
          <w:rFonts w:ascii="Times New Roman" w:cs="Times New Roman" w:eastAsia="Times New Roman" w:hAnsi="Times New Roman"/>
          <w:sz w:val="20"/>
          <w:szCs w:val="20"/>
          <w:color w:val="auto"/>
        </w:rPr>
        <w:t xml:space="preserve"> and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Issuing Lenders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may provide that such Lender will not, without the consent of the Participant, agree to any amendment, modification or waiver that (i) requires the consent of each Lender directly affected thereby pursuant to the proviso to the second sentence of Section 10.1 and (ii) directly affects such Participant. The Borrower agrees that each Participant shall be entitled to the benefits of Sections 2.13, 2.14 and 2.15 (subject to the requirements and limitations therein, including the requirements under Section 2.14(f) (it being understood that the documentation required under Section 2.14(f)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(i) agrees to be subject to the provisions of Sections 2.13 and 2.14 as if it were an assignee under paragraph (b) of this Section and (ii) shall not be entitled to receive any greater payment under Sections 2.13 and 2.14, with respect to any participation, than its participating Lender would have been entitled to receive, except to the extent such entitlement to receive a greater payment results from an adoption of or any change in any Requirement of Law or in the interpretation or application thereof or compliance by any Lender with any request or directive (whether or not having the force of law) from any central bank or other Governmental Authority made subsequent to the Effective Date that occurs after the Participant acquired the applicable participation. To the extent permitted by</w:t>
      </w:r>
    </w:p>
    <w:p>
      <w:pPr>
        <w:sectPr>
          <w:pgSz w:w="11900" w:h="16838" w:orient="portrait"/>
          <w:cols w:equalWidth="0" w:num="1">
            <w:col w:w="10960"/>
          </w:cols>
          <w:pgMar w:left="700" w:top="409" w:right="2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102</w:t>
      </w:r>
    </w:p>
    <w:p>
      <w:pPr>
        <w:spacing w:after="0" w:line="238"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auto"/>
        </w:rPr>
        <w:t>law, each Participant also shall be entitled to the benefits of Section 10.7(b) as though it were a Lender, provided such Participant shall be subject to Section 10.7(a)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to any Person (including the identity of any Participant or any information relating to a Participant’s interest in any Commitments </w:t>
      </w:r>
      <w:r>
        <w:rPr>
          <w:rFonts w:ascii="Times New Roman" w:cs="Times New Roman" w:eastAsia="Times New Roman" w:hAnsi="Times New Roman"/>
          <w:sz w:val="20"/>
          <w:szCs w:val="20"/>
          <w:u w:val="single" w:color="auto"/>
          <w:color w:val="0000FF"/>
        </w:rPr>
        <w:t>(including any related Foreign Currency Commitments)</w:t>
      </w:r>
      <w:r>
        <w:rPr>
          <w:rFonts w:ascii="Times New Roman" w:cs="Times New Roman" w:eastAsia="Times New Roman" w:hAnsi="Times New Roman"/>
          <w:sz w:val="20"/>
          <w:szCs w:val="20"/>
          <w:color w:val="auto"/>
        </w:rPr>
        <w:t xml:space="preserve">, Loans, Letters of Credit or its other obligations under any Loan Document) except to the extent that such disclosure is necessary to establish that such Commitment </w:t>
      </w:r>
      <w:r>
        <w:rPr>
          <w:rFonts w:ascii="Times New Roman" w:cs="Times New Roman" w:eastAsia="Times New Roman" w:hAnsi="Times New Roman"/>
          <w:sz w:val="20"/>
          <w:szCs w:val="20"/>
          <w:u w:val="single" w:color="auto"/>
          <w:color w:val="0000FF"/>
        </w:rPr>
        <w:t>(including any related Foreign Currency Commitment)</w:t>
      </w:r>
      <w:r>
        <w:rPr>
          <w:rFonts w:ascii="Times New Roman" w:cs="Times New Roman" w:eastAsia="Times New Roman" w:hAnsi="Times New Roman"/>
          <w:sz w:val="20"/>
          <w:szCs w:val="20"/>
          <w:color w:val="auto"/>
        </w:rPr>
        <w: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91" w:lineRule="exact"/>
        <w:rPr>
          <w:sz w:val="20"/>
          <w:szCs w:val="20"/>
          <w:color w:val="auto"/>
        </w:rPr>
      </w:pPr>
    </w:p>
    <w:p>
      <w:pPr>
        <w:ind w:right="20" w:firstLine="1035"/>
        <w:spacing w:after="0" w:line="247" w:lineRule="auto"/>
        <w:tabs>
          <w:tab w:leader="none" w:pos="160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or other central banking authority, and this Section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80" w:lineRule="exact"/>
        <w:rPr>
          <w:rFonts w:ascii="Times New Roman" w:cs="Times New Roman" w:eastAsia="Times New Roman" w:hAnsi="Times New Roman"/>
          <w:sz w:val="20"/>
          <w:szCs w:val="20"/>
          <w:color w:val="auto"/>
        </w:rPr>
      </w:pPr>
    </w:p>
    <w:p>
      <w:pPr>
        <w:ind w:right="60" w:firstLine="1035"/>
        <w:spacing w:after="0" w:line="269" w:lineRule="auto"/>
        <w:tabs>
          <w:tab w:leader="none" w:pos="1593"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upon receipt of written notice from the relevant Lender, agrees to issue Notes to any Lender requiring Notes to facilitate transactions of the type described in paragraph (d) above.</w:t>
      </w:r>
    </w:p>
    <w:p>
      <w:pPr>
        <w:spacing w:after="0" w:line="160" w:lineRule="exact"/>
        <w:rPr>
          <w:sz w:val="20"/>
          <w:szCs w:val="20"/>
          <w:color w:val="auto"/>
        </w:rPr>
      </w:pPr>
    </w:p>
    <w:p>
      <w:pPr>
        <w:ind w:right="100" w:firstLine="1027"/>
        <w:spacing w:after="0" w:line="242" w:lineRule="auto"/>
        <w:rPr>
          <w:sz w:val="20"/>
          <w:szCs w:val="20"/>
          <w:color w:val="auto"/>
        </w:rPr>
      </w:pPr>
      <w:r>
        <w:rPr>
          <w:rFonts w:ascii="Times New Roman" w:cs="Times New Roman" w:eastAsia="Times New Roman" w:hAnsi="Times New Roman"/>
          <w:sz w:val="20"/>
          <w:szCs w:val="20"/>
          <w:color w:val="auto"/>
        </w:rPr>
        <w:t xml:space="preserve">10.7 </w:t>
      </w:r>
      <w:r>
        <w:rPr>
          <w:rFonts w:ascii="Times New Roman" w:cs="Times New Roman" w:eastAsia="Times New Roman" w:hAnsi="Times New Roman"/>
          <w:sz w:val="20"/>
          <w:szCs w:val="20"/>
          <w:u w:val="single" w:color="auto"/>
          <w:color w:val="auto"/>
        </w:rPr>
        <w:t>Adjustments; Set-off</w:t>
      </w:r>
      <w:r>
        <w:rPr>
          <w:rFonts w:ascii="Times New Roman" w:cs="Times New Roman" w:eastAsia="Times New Roman" w:hAnsi="Times New Roman"/>
          <w:sz w:val="20"/>
          <w:szCs w:val="20"/>
          <w:color w:val="auto"/>
        </w:rPr>
        <w:t>. (a) Except to the extent that this Agreement or a court order expressly provides for payments to be allocated to a particular Lender or to the Lenders, if any Lender (a “</w:t>
      </w:r>
      <w:r>
        <w:rPr>
          <w:rFonts w:ascii="Times New Roman" w:cs="Times New Roman" w:eastAsia="Times New Roman" w:hAnsi="Times New Roman"/>
          <w:sz w:val="20"/>
          <w:szCs w:val="20"/>
          <w:u w:val="single" w:color="auto"/>
          <w:color w:val="auto"/>
        </w:rPr>
        <w:t>Benefitted Lender</w:t>
      </w:r>
      <w:r>
        <w:rPr>
          <w:rFonts w:ascii="Times New Roman" w:cs="Times New Roman" w:eastAsia="Times New Roman" w:hAnsi="Times New Roman"/>
          <w:sz w:val="20"/>
          <w:szCs w:val="20"/>
          <w:color w:val="auto"/>
        </w:rPr>
        <w:t>”) shall receive any payment of all or part of the Obligations owing to it (</w:t>
      </w:r>
      <w:r>
        <w:rPr>
          <w:rFonts w:ascii="Times New Roman" w:cs="Times New Roman" w:eastAsia="Times New Roman" w:hAnsi="Times New Roman"/>
          <w:sz w:val="20"/>
          <w:szCs w:val="20"/>
          <w:u w:val="single" w:color="auto"/>
          <w:color w:val="0000FF"/>
        </w:rPr>
        <w:t>or any participation therein arising pursuant to Section 2.21) (</w:t>
      </w:r>
      <w:r>
        <w:rPr>
          <w:rFonts w:ascii="Times New Roman" w:cs="Times New Roman" w:eastAsia="Times New Roman" w:hAnsi="Times New Roman"/>
          <w:sz w:val="20"/>
          <w:szCs w:val="20"/>
          <w:color w:val="auto"/>
        </w:rPr>
        <w:t>other than in connection with an assignment made pursuant to Section 10.6), or receive any collateral in respect thereof (whether voluntarily or involuntarily, by set-off, pursuant to events or proceedings of the nature referred to in Section 8(</w:t>
      </w:r>
      <w:r>
        <w:rPr>
          <w:rFonts w:ascii="Times New Roman" w:cs="Times New Roman" w:eastAsia="Times New Roman" w:hAnsi="Times New Roman"/>
          <w:sz w:val="20"/>
          <w:szCs w:val="20"/>
          <w:color w:val="FF0000"/>
          <w:strike w:val="1"/>
        </w:rPr>
        <w:t>f</w:t>
      </w:r>
      <w:r>
        <w:rPr>
          <w:rFonts w:ascii="Times New Roman" w:cs="Times New Roman" w:eastAsia="Times New Roman" w:hAnsi="Times New Roman"/>
          <w:sz w:val="20"/>
          <w:szCs w:val="20"/>
          <w:u w:val="single" w:color="auto"/>
          <w:color w:val="0000FF"/>
        </w:rPr>
        <w:t>g</w:t>
      </w:r>
      <w:r>
        <w:rPr>
          <w:rFonts w:ascii="Times New Roman" w:cs="Times New Roman" w:eastAsia="Times New Roman" w:hAnsi="Times New Roman"/>
          <w:sz w:val="20"/>
          <w:szCs w:val="20"/>
          <w:color w:val="auto"/>
        </w:rPr>
        <w:t xml:space="preserve">), or otherwise), in a greater proportion than any such payment to or collateral received by any other Lender, if any, in respect of the Obligations </w:t>
      </w:r>
      <w:r>
        <w:rPr>
          <w:rFonts w:ascii="Times New Roman" w:cs="Times New Roman" w:eastAsia="Times New Roman" w:hAnsi="Times New Roman"/>
          <w:sz w:val="20"/>
          <w:szCs w:val="20"/>
          <w:u w:val="single" w:color="auto"/>
          <w:color w:val="0000FF"/>
        </w:rPr>
        <w:t>(or any participations therein arising pursuant to Section 2.21)</w:t>
      </w:r>
      <w:r>
        <w:rPr>
          <w:rFonts w:ascii="Times New Roman" w:cs="Times New Roman" w:eastAsia="Times New Roman" w:hAnsi="Times New Roman"/>
          <w:sz w:val="20"/>
          <w:szCs w:val="20"/>
          <w:color w:val="auto"/>
        </w:rPr>
        <w:t xml:space="preserve">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all or any portion of such excess payment or benefits is thereafter recovered from such Benefitted Lender, such purchase shall be rescinded, and the purchase price and benefits returned, to the extent of such recovery, but without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to the extent prohibited by applicable law as described in the definition of “Excluded Swap Obligation”, no amounts received from, or set off with respect to, any Guarantor shall be applied to any Excluded Swap Obligations of such Guarantor.</w:t>
      </w:r>
    </w:p>
    <w:p>
      <w:pPr>
        <w:spacing w:after="0" w:line="186" w:lineRule="exact"/>
        <w:rPr>
          <w:sz w:val="20"/>
          <w:szCs w:val="20"/>
          <w:color w:val="auto"/>
        </w:rPr>
      </w:pPr>
    </w:p>
    <w:p>
      <w:pPr>
        <w:ind w:right="220" w:firstLine="1035"/>
        <w:spacing w:after="0" w:line="247" w:lineRule="auto"/>
        <w:tabs>
          <w:tab w:leader="none" w:pos="160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any rights and remedies of the Lenders provided by law, each Lender shall have the right, without notice to the Borrower, any such notice being expressly waived by the Borrower to the extent permitted by applicable law, upon any Obligations becoming due and payable by the Borrower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w:t>
      </w:r>
    </w:p>
    <w:p>
      <w:pPr>
        <w:sectPr>
          <w:pgSz w:w="11900" w:h="16838" w:orient="portrait"/>
          <w:cols w:equalWidth="0" w:num="1">
            <w:col w:w="11420"/>
          </w:cols>
          <w:pgMar w:left="240" w:top="409" w:right="2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103</w:t>
      </w:r>
    </w:p>
    <w:p>
      <w:pPr>
        <w:spacing w:after="0" w:line="23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 xml:space="preserve">each case whether direct or indirect, absolute or contingent, matured or unmatured, at any time held or owing by such Lender, any affiliate thereof or any of their respective branches or agencies to or for the credit or the account of the Borrower. Each Lender agrees promptly to notify the Borrower and the Administrative Agent after any such application made by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application.</w:t>
      </w:r>
    </w:p>
    <w:p>
      <w:pPr>
        <w:spacing w:after="0" w:line="180" w:lineRule="exact"/>
        <w:rPr>
          <w:sz w:val="20"/>
          <w:szCs w:val="20"/>
          <w:color w:val="auto"/>
        </w:rPr>
      </w:pPr>
    </w:p>
    <w:p>
      <w:pPr>
        <w:ind w:right="60" w:firstLine="1027"/>
        <w:spacing w:after="0" w:line="249" w:lineRule="auto"/>
        <w:rPr>
          <w:sz w:val="20"/>
          <w:szCs w:val="20"/>
          <w:color w:val="auto"/>
        </w:rPr>
      </w:pPr>
      <w:r>
        <w:rPr>
          <w:rFonts w:ascii="Times New Roman" w:cs="Times New Roman" w:eastAsia="Times New Roman" w:hAnsi="Times New Roman"/>
          <w:sz w:val="20"/>
          <w:szCs w:val="20"/>
          <w:color w:val="auto"/>
        </w:rPr>
        <w:t xml:space="preserve">10.8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email or facsimile transmission shall be effective as delivery of a manually executed counterpart hereof. A set of the copies of this Agreement signed by all the parties shall be lodged with the Borrower and the Administrative Agent.</w:t>
      </w:r>
    </w:p>
    <w:p>
      <w:pPr>
        <w:spacing w:after="0" w:line="180" w:lineRule="exact"/>
        <w:rPr>
          <w:sz w:val="20"/>
          <w:szCs w:val="20"/>
          <w:color w:val="auto"/>
        </w:rPr>
      </w:pPr>
    </w:p>
    <w:p>
      <w:pPr>
        <w:ind w:right="240" w:firstLine="1027"/>
        <w:spacing w:after="0" w:line="274" w:lineRule="auto"/>
        <w:rPr>
          <w:sz w:val="20"/>
          <w:szCs w:val="20"/>
          <w:color w:val="auto"/>
        </w:rPr>
      </w:pPr>
      <w:r>
        <w:rPr>
          <w:rFonts w:ascii="Times New Roman" w:cs="Times New Roman" w:eastAsia="Times New Roman" w:hAnsi="Times New Roman"/>
          <w:sz w:val="19"/>
          <w:szCs w:val="19"/>
          <w:color w:val="auto"/>
        </w:rPr>
        <w:t xml:space="preserve">10.9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7" w:lineRule="exact"/>
        <w:rPr>
          <w:sz w:val="20"/>
          <w:szCs w:val="20"/>
          <w:color w:val="auto"/>
        </w:rPr>
      </w:pPr>
    </w:p>
    <w:p>
      <w:pPr>
        <w:ind w:right="120" w:firstLine="1027"/>
        <w:spacing w:after="0" w:line="249" w:lineRule="auto"/>
        <w:rPr>
          <w:sz w:val="20"/>
          <w:szCs w:val="20"/>
          <w:color w:val="auto"/>
        </w:rPr>
      </w:pPr>
      <w:r>
        <w:rPr>
          <w:rFonts w:ascii="Times New Roman" w:cs="Times New Roman" w:eastAsia="Times New Roman" w:hAnsi="Times New Roman"/>
          <w:sz w:val="20"/>
          <w:szCs w:val="20"/>
          <w:color w:val="auto"/>
        </w:rPr>
        <w:t xml:space="preserve">10.10 </w:t>
      </w: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This Agreement and the other Loan Documents represent the entire agreement of MVWC, the Borrower,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76" w:lineRule="exact"/>
        <w:rPr>
          <w:sz w:val="20"/>
          <w:szCs w:val="20"/>
          <w:color w:val="auto"/>
        </w:rPr>
      </w:pPr>
    </w:p>
    <w:p>
      <w:pPr>
        <w:ind w:right="160" w:firstLine="1027"/>
        <w:spacing w:after="0" w:line="256" w:lineRule="auto"/>
        <w:rPr>
          <w:sz w:val="20"/>
          <w:szCs w:val="20"/>
          <w:color w:val="auto"/>
        </w:rPr>
      </w:pPr>
      <w:r>
        <w:rPr>
          <w:rFonts w:ascii="Times New Roman" w:cs="Times New Roman" w:eastAsia="Times New Roman" w:hAnsi="Times New Roman"/>
          <w:sz w:val="20"/>
          <w:szCs w:val="20"/>
          <w:color w:val="auto"/>
        </w:rPr>
        <w:t xml:space="preserve">10.11 </w:t>
      </w: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THIS AGREEMENT AND THE RIGHTS AND OBLIGATIONS OF THE PARTIES UNDER THIS AGREEMENT SHALL BE GOVERNED BY, AND CONSTRUED AND INTERPRETED IN ACCORDANCE WITH, THE LAW OF THE STATE OF NEW YORK.</w:t>
      </w:r>
    </w:p>
    <w:p>
      <w:pPr>
        <w:spacing w:after="0" w:line="173" w:lineRule="exact"/>
        <w:rPr>
          <w:sz w:val="20"/>
          <w:szCs w:val="20"/>
          <w:color w:val="auto"/>
        </w:rPr>
      </w:pPr>
    </w:p>
    <w:p>
      <w:pPr>
        <w:ind w:right="260" w:firstLine="1027"/>
        <w:spacing w:after="0" w:line="269" w:lineRule="auto"/>
        <w:rPr>
          <w:sz w:val="20"/>
          <w:szCs w:val="20"/>
          <w:color w:val="auto"/>
        </w:rPr>
      </w:pPr>
      <w:r>
        <w:rPr>
          <w:rFonts w:ascii="Times New Roman" w:cs="Times New Roman" w:eastAsia="Times New Roman" w:hAnsi="Times New Roman"/>
          <w:sz w:val="20"/>
          <w:szCs w:val="20"/>
          <w:color w:val="auto"/>
        </w:rPr>
        <w:t xml:space="preserve">10.12 </w:t>
      </w:r>
      <w:r>
        <w:rPr>
          <w:rFonts w:ascii="Times New Roman" w:cs="Times New Roman" w:eastAsia="Times New Roman" w:hAnsi="Times New Roman"/>
          <w:sz w:val="20"/>
          <w:szCs w:val="20"/>
          <w:u w:val="single" w:color="auto"/>
          <w:color w:val="auto"/>
        </w:rPr>
        <w:t>Submission To Jurisdiction; Waivers</w:t>
      </w:r>
      <w:r>
        <w:rPr>
          <w:rFonts w:ascii="Times New Roman" w:cs="Times New Roman" w:eastAsia="Times New Roman" w:hAnsi="Times New Roman"/>
          <w:sz w:val="20"/>
          <w:szCs w:val="20"/>
          <w:color w:val="auto"/>
        </w:rPr>
        <w:t>. Each of MVWC, the Borrower, the Administrative Agent and each Lender hereby irrevocably and unconditionally:</w:t>
      </w:r>
    </w:p>
    <w:p>
      <w:pPr>
        <w:spacing w:after="0" w:line="160" w:lineRule="exact"/>
        <w:rPr>
          <w:sz w:val="20"/>
          <w:szCs w:val="20"/>
          <w:color w:val="auto"/>
        </w:rPr>
      </w:pPr>
    </w:p>
    <w:p>
      <w:pPr>
        <w:ind w:left="460" w:right="80" w:firstLine="542"/>
        <w:spacing w:after="0" w:line="249" w:lineRule="auto"/>
        <w:tabs>
          <w:tab w:leader="none" w:pos="1563"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submits for itself and its property in any legal action or proceeding relating to this Agreement and the other Loan Documents to which it is a party, or for recognition and enforcement of any judgment in respect thereof, to the exclusive jurisdiction (or, in the case of matters relating to the Security Documents, non-exclusive jurisdiction) of the courts of the State of New York, the courts of the United States for the Southern District of New York, and appellate courts from any thereof;</w:t>
      </w:r>
    </w:p>
    <w:p>
      <w:pPr>
        <w:spacing w:after="0" w:line="180" w:lineRule="exact"/>
        <w:rPr>
          <w:rFonts w:ascii="Times New Roman" w:cs="Times New Roman" w:eastAsia="Times New Roman" w:hAnsi="Times New Roman"/>
          <w:sz w:val="20"/>
          <w:szCs w:val="20"/>
          <w:color w:val="auto"/>
        </w:rPr>
      </w:pPr>
    </w:p>
    <w:p>
      <w:pPr>
        <w:ind w:left="460" w:right="400" w:firstLine="542"/>
        <w:spacing w:after="0" w:line="254" w:lineRule="auto"/>
        <w:tabs>
          <w:tab w:leader="none" w:pos="1574"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4" w:lineRule="exact"/>
        <w:rPr>
          <w:rFonts w:ascii="Times New Roman" w:cs="Times New Roman" w:eastAsia="Times New Roman" w:hAnsi="Times New Roman"/>
          <w:sz w:val="20"/>
          <w:szCs w:val="20"/>
          <w:color w:val="auto"/>
        </w:rPr>
      </w:pPr>
    </w:p>
    <w:p>
      <w:pPr>
        <w:ind w:left="460" w:firstLine="542"/>
        <w:spacing w:after="0" w:line="254" w:lineRule="auto"/>
        <w:tabs>
          <w:tab w:leader="none" w:pos="1563"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service of process in any such action or proceeding may be effected by mailing a copy thereof by registered or certified mail (or any substantially similar form of mail), postage prepaid, to MVWC or the Borrower, as the case may be at its address set forth in Section 10.2 or at such other address of which the Administrative Agent shall have been notified pursuant thereto;</w:t>
      </w:r>
    </w:p>
    <w:p>
      <w:pPr>
        <w:sectPr>
          <w:pgSz w:w="11900" w:h="16838" w:orient="portrait"/>
          <w:cols w:equalWidth="0" w:num="1">
            <w:col w:w="11420"/>
          </w:cols>
          <w:pgMar w:left="240" w:top="409" w:right="2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104</w:t>
      </w:r>
    </w:p>
    <w:p>
      <w:pPr>
        <w:spacing w:after="0" w:line="238" w:lineRule="exact"/>
        <w:rPr>
          <w:sz w:val="20"/>
          <w:szCs w:val="20"/>
          <w:color w:val="auto"/>
        </w:rPr>
      </w:pPr>
    </w:p>
    <w:p>
      <w:pPr>
        <w:ind w:left="460" w:right="420" w:firstLine="443"/>
        <w:spacing w:after="0" w:line="269" w:lineRule="auto"/>
        <w:tabs>
          <w:tab w:leader="none" w:pos="1475"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nothing herein shall affect the right to effect service of process in any other manner permitted by law or shall limit the right to sue in any other jurisdiction; and</w:t>
      </w:r>
    </w:p>
    <w:p>
      <w:pPr>
        <w:spacing w:after="0" w:line="159" w:lineRule="exact"/>
        <w:rPr>
          <w:rFonts w:ascii="Times New Roman" w:cs="Times New Roman" w:eastAsia="Times New Roman" w:hAnsi="Times New Roman"/>
          <w:sz w:val="20"/>
          <w:szCs w:val="20"/>
          <w:color w:val="auto"/>
        </w:rPr>
      </w:pPr>
    </w:p>
    <w:p>
      <w:pPr>
        <w:ind w:left="460" w:right="680" w:firstLine="443"/>
        <w:spacing w:after="0" w:line="269" w:lineRule="auto"/>
        <w:tabs>
          <w:tab w:leader="none" w:pos="146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waives, to the maximum extent not prohibited by law, any right it may have to claim or recover in any legal action or proceeding referred to in this Section any special, exemplary, punitive or consequential damages.</w:t>
      </w:r>
    </w:p>
    <w:p>
      <w:pPr>
        <w:spacing w:after="0" w:line="160"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19"/>
          <w:szCs w:val="19"/>
          <w:u w:val="single" w:color="auto"/>
          <w:color w:val="auto"/>
        </w:rPr>
        <w:t>Acknowledgements</w:t>
      </w:r>
      <w:r>
        <w:rPr>
          <w:rFonts w:ascii="Times New Roman" w:cs="Times New Roman" w:eastAsia="Times New Roman" w:hAnsi="Times New Roman"/>
          <w:sz w:val="19"/>
          <w:szCs w:val="19"/>
          <w:color w:val="auto"/>
        </w:rPr>
        <w:t>. Each of MVWC and the Borrower hereby acknowledges that:</w:t>
      </w:r>
    </w:p>
    <w:p>
      <w:pPr>
        <w:spacing w:after="0" w:line="216" w:lineRule="exact"/>
        <w:rPr>
          <w:sz w:val="20"/>
          <w:szCs w:val="20"/>
          <w:color w:val="auto"/>
        </w:rPr>
      </w:pPr>
    </w:p>
    <w:p>
      <w:pPr>
        <w:ind w:left="1460" w:hanging="557"/>
        <w:spacing w:after="0"/>
        <w:tabs>
          <w:tab w:leader="none" w:pos="146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been advised by counsel in the negotiation, execution and delivery of this Agreement and the other Loan Documents;</w:t>
      </w:r>
    </w:p>
    <w:p>
      <w:pPr>
        <w:spacing w:after="0" w:line="215" w:lineRule="exact"/>
        <w:rPr>
          <w:rFonts w:ascii="Times New Roman" w:cs="Times New Roman" w:eastAsia="Times New Roman" w:hAnsi="Times New Roman"/>
          <w:sz w:val="20"/>
          <w:szCs w:val="20"/>
          <w:color w:val="auto"/>
        </w:rPr>
      </w:pPr>
    </w:p>
    <w:p>
      <w:pPr>
        <w:ind w:left="460" w:right="220" w:firstLine="443"/>
        <w:spacing w:after="0" w:line="249" w:lineRule="auto"/>
        <w:tabs>
          <w:tab w:leader="none" w:pos="1475"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Administrative Agent nor any Lender has any fiduciary relationship with or duty to MVWC or the Borrower arising out of or in connection with this Agreement or any of the other Loan Documents, and the relationship between Administrative Agent and Lenders, on one hand, and MVWC and the Borrower, on the other hand, in connection herewith or therewith is solely that of debtor and creditor; and</w:t>
      </w:r>
    </w:p>
    <w:p>
      <w:pPr>
        <w:spacing w:after="0" w:line="180" w:lineRule="exact"/>
        <w:rPr>
          <w:rFonts w:ascii="Times New Roman" w:cs="Times New Roman" w:eastAsia="Times New Roman" w:hAnsi="Times New Roman"/>
          <w:sz w:val="20"/>
          <w:szCs w:val="20"/>
          <w:color w:val="auto"/>
        </w:rPr>
      </w:pPr>
    </w:p>
    <w:p>
      <w:pPr>
        <w:ind w:left="460" w:right="900" w:firstLine="443"/>
        <w:spacing w:after="0" w:line="269" w:lineRule="auto"/>
        <w:tabs>
          <w:tab w:leader="none" w:pos="146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joint venture is created hereby or by the other Loan Documents or otherwise exists by virtue of the transactions contemplated hereby among the Lenders or among MVWC, the Borrower and the Lenders.</w:t>
      </w:r>
    </w:p>
    <w:p>
      <w:pPr>
        <w:spacing w:after="0" w:line="160" w:lineRule="exact"/>
        <w:rPr>
          <w:sz w:val="20"/>
          <w:szCs w:val="20"/>
          <w:color w:val="auto"/>
        </w:rPr>
      </w:pPr>
    </w:p>
    <w:p>
      <w:pPr>
        <w:ind w:right="20" w:firstLine="913"/>
        <w:spacing w:after="0" w:line="263" w:lineRule="auto"/>
        <w:rPr>
          <w:sz w:val="20"/>
          <w:szCs w:val="20"/>
          <w:color w:val="auto"/>
        </w:rPr>
      </w:pPr>
      <w:r>
        <w:rPr>
          <w:rFonts w:ascii="Times New Roman" w:cs="Times New Roman" w:eastAsia="Times New Roman" w:hAnsi="Times New Roman"/>
          <w:sz w:val="19"/>
          <w:szCs w:val="19"/>
          <w:color w:val="auto"/>
        </w:rPr>
        <w:t xml:space="preserve">10.14 </w:t>
      </w:r>
      <w:r>
        <w:rPr>
          <w:rFonts w:ascii="Times New Roman" w:cs="Times New Roman" w:eastAsia="Times New Roman" w:hAnsi="Times New Roman"/>
          <w:sz w:val="19"/>
          <w:szCs w:val="19"/>
          <w:u w:val="single" w:color="auto"/>
          <w:color w:val="auto"/>
        </w:rPr>
        <w:t>Releases of Guarantees and Liens</w:t>
      </w:r>
      <w:r>
        <w:rPr>
          <w:rFonts w:ascii="Times New Roman" w:cs="Times New Roman" w:eastAsia="Times New Roman" w:hAnsi="Times New Roman"/>
          <w:sz w:val="19"/>
          <w:szCs w:val="19"/>
          <w:color w:val="auto"/>
        </w:rPr>
        <w:t>. (a) Notwithstanding anything to the contrary contained herein or in any other Loan Document, the Administrative Agent is hereby irrevocably authorized by each Lender (without requirement of notice to or consent of any Lender except as expressly required by Section 10.1) to take any action requested by the Borrower having the effect of releasing any Collateral or guarantee obligations (i) to the extent necessary to permit consummation of any transaction not prohibited by any Loan Document or that has been consented to in accordance with Section 10.1 or (ii) under the circumstances described in paragraph (c) or (d) below.</w:t>
      </w:r>
    </w:p>
    <w:p>
      <w:pPr>
        <w:spacing w:after="0" w:line="167" w:lineRule="exact"/>
        <w:rPr>
          <w:sz w:val="20"/>
          <w:szCs w:val="20"/>
          <w:color w:val="auto"/>
        </w:rPr>
      </w:pPr>
    </w:p>
    <w:p>
      <w:pPr>
        <w:ind w:right="40" w:firstLine="921"/>
        <w:spacing w:after="0" w:line="258" w:lineRule="auto"/>
        <w:tabs>
          <w:tab w:leader="none" w:pos="1490"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furtherance of the provisions of Section 10.14(a), each of the Lenders authorizes the Administrative Agent to deliver one or more Powers of Attorney to the relevant mortgagors in respect of any Mortgage that encumbers Time Share Interests. The parties hereto agree and acknowledge that the purpose of such Power of Attorney is for administrative convenience to facilitate the release of the Lien created by such Mortgage on any Time Share Interest that is sold pursuant to the provisions of Section 7.6(b) and for no other purpose. It is understood and agreed that such Power of Attorney is revocable by the Administrative Agent upon the occurrence of, or at any time during the continuance of, an Event of Default (provided that such Powers of Attorney shall automatically be revoked upon all amounts owing under this Agreement becoming due in accordance with Section 8 without any action or notice hereunder). The Borrower further agrees that the failure of any Loan Party to comply with the limitations set forth herein in respect of any such Power of Attorney shall constitute an Event of Default hereunder.</w:t>
      </w:r>
    </w:p>
    <w:p>
      <w:pPr>
        <w:spacing w:after="0" w:line="173" w:lineRule="exact"/>
        <w:rPr>
          <w:rFonts w:ascii="Times New Roman" w:cs="Times New Roman" w:eastAsia="Times New Roman" w:hAnsi="Times New Roman"/>
          <w:sz w:val="19"/>
          <w:szCs w:val="19"/>
          <w:color w:val="auto"/>
        </w:rPr>
      </w:pPr>
    </w:p>
    <w:p>
      <w:pPr>
        <w:ind w:firstLine="921"/>
        <w:spacing w:after="0" w:line="245" w:lineRule="auto"/>
        <w:tabs>
          <w:tab w:leader="none" w:pos="1479"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such time as the Loans, the Reimbursement Obligations and the other obligations under the Loan Documents shall have been paid in full (other than obligations under or in respect of Specified Swap Agreements), the Commitments have been terminated and no Letters of Credit shall be outstanding (or such Letters of Credit are Collateralized), the Collateral shall be released from the Liens created by the Security Documents, and the Security Documents and all obligations (other than those expressly stated to survive such termination) of the Administrative Agent and each Loan Party under the Security Documents shall terminate, all without delivery of any instrument or performance of any act by any Person.</w:t>
      </w:r>
    </w:p>
    <w:p>
      <w:pPr>
        <w:sectPr>
          <w:pgSz w:w="11900" w:h="16838" w:orient="portrait"/>
          <w:cols w:equalWidth="0" w:num="1">
            <w:col w:w="11420"/>
          </w:cols>
          <w:pgMar w:left="240" w:top="409" w:right="2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105</w:t>
      </w:r>
    </w:p>
    <w:p>
      <w:pPr>
        <w:spacing w:after="0" w:line="238" w:lineRule="exact"/>
        <w:rPr>
          <w:sz w:val="20"/>
          <w:szCs w:val="20"/>
          <w:color w:val="auto"/>
        </w:rPr>
      </w:pPr>
    </w:p>
    <w:p>
      <w:pPr>
        <w:ind w:right="280" w:firstLine="1035"/>
        <w:spacing w:after="0" w:line="249" w:lineRule="auto"/>
        <w:tabs>
          <w:tab w:leader="none" w:pos="1604"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real property that is subject to a Mortgage becomes an Excluded Property pursuant to clause (v) of the definition thereof, the Administrative Agent is hereby irrevocably authorized by each Lender (without requirement of notice to or consent of any Lender except as expressly required by clause (iii) of the proviso to the second sentence of Section 10.1) to take any action necessary to release the Lien created by such Mortgage.</w:t>
      </w:r>
    </w:p>
    <w:p>
      <w:pPr>
        <w:spacing w:after="0" w:line="180" w:lineRule="exact"/>
        <w:rPr>
          <w:sz w:val="20"/>
          <w:szCs w:val="20"/>
          <w:color w:val="auto"/>
        </w:rPr>
      </w:pPr>
    </w:p>
    <w:p>
      <w:pPr>
        <w:ind w:right="40" w:firstLine="1027"/>
        <w:spacing w:after="0" w:line="241" w:lineRule="auto"/>
        <w:rPr>
          <w:sz w:val="20"/>
          <w:szCs w:val="20"/>
          <w:color w:val="auto"/>
        </w:rPr>
      </w:pPr>
      <w:r>
        <w:rPr>
          <w:rFonts w:ascii="Times New Roman" w:cs="Times New Roman" w:eastAsia="Times New Roman" w:hAnsi="Times New Roman"/>
          <w:sz w:val="20"/>
          <w:szCs w:val="20"/>
          <w:color w:val="auto"/>
        </w:rPr>
        <w:t xml:space="preserve">10.15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Each of the Administrative Agent</w:t>
      </w:r>
      <w:r>
        <w:rPr>
          <w:rFonts w:ascii="Times New Roman" w:cs="Times New Roman" w:eastAsia="Times New Roman" w:hAnsi="Times New Roman"/>
          <w:sz w:val="20"/>
          <w:szCs w:val="20"/>
          <w:u w:val="single" w:color="auto"/>
          <w:color w:val="0000FF"/>
        </w:rPr>
        <w:t>, each Issuing Lender</w:t>
      </w:r>
      <w:r>
        <w:rPr>
          <w:rFonts w:ascii="Times New Roman" w:cs="Times New Roman" w:eastAsia="Times New Roman" w:hAnsi="Times New Roman"/>
          <w:sz w:val="20"/>
          <w:szCs w:val="20"/>
          <w:color w:val="auto"/>
        </w:rPr>
        <w:t xml:space="preserve"> and each Lender agrees to keep confidential all non-public information provided to it by any Loan Party or its affiliates, the Administrative Agent</w:t>
      </w:r>
      <w:r>
        <w:rPr>
          <w:rFonts w:ascii="Times New Roman" w:cs="Times New Roman" w:eastAsia="Times New Roman" w:hAnsi="Times New Roman"/>
          <w:sz w:val="20"/>
          <w:szCs w:val="20"/>
          <w:u w:val="single" w:color="auto"/>
          <w:color w:val="0000FF"/>
        </w:rPr>
        <w:t>, any Issuing Lender</w:t>
      </w:r>
      <w:r>
        <w:rPr>
          <w:rFonts w:ascii="Times New Roman" w:cs="Times New Roman" w:eastAsia="Times New Roman" w:hAnsi="Times New Roman"/>
          <w:sz w:val="20"/>
          <w:szCs w:val="20"/>
          <w:color w:val="auto"/>
        </w:rPr>
        <w:t xml:space="preserve"> or any Lender pursuant to or in connection with this Agreement that is designated by the provider thereof as confidential;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herein shall prevent the Administrative Agent or any Lender from disclosing any such information (a) to the Administrative Agent, any other Lender or any affiliate thereof, (b) subject to an agreement to comply with the provisions of this Section, to any actual or prospective Transferee or any direct or indirect counterparty to any Swap Agreement (or any professional advisor to such counterparty), (c) to its employees, directors, agents, attorneys, accountants and other professional advisors or those of any of its affiliates, (d) upon the request or demand of any Governmental Authority, (e) in response to any order of any court or other Governmental Authority or as may otherwise be required pursuant to any Requirement of Law, (f) if requested or required to do so in connection with any litigation or similar proceeding, (g) that has been publicly disclosed, (h) to the National Association of Insurance Commissioners or any similar organization or any nationally recognized rating agency that requires access to information about a Lender’s investment portfolio in connection with ratings issued with respect to such Lender, or (i) in connection with the exercise of any remedy hereunder or under any other Loan Document, </w:t>
      </w:r>
      <w:r>
        <w:rPr>
          <w:rFonts w:ascii="Times New Roman" w:cs="Times New Roman" w:eastAsia="Times New Roman" w:hAnsi="Times New Roman"/>
          <w:sz w:val="20"/>
          <w:szCs w:val="20"/>
          <w:color w:val="FF0000"/>
          <w:strike w:val="1"/>
        </w:rPr>
        <w:t>or</w:t>
      </w:r>
      <w:r>
        <w:rPr>
          <w:rFonts w:ascii="Times New Roman" w:cs="Times New Roman" w:eastAsia="Times New Roman" w:hAnsi="Times New Roman"/>
          <w:sz w:val="20"/>
          <w:szCs w:val="20"/>
          <w:color w:val="auto"/>
        </w:rPr>
        <w:t xml:space="preserve"> (j) </w:t>
      </w:r>
      <w:r>
        <w:rPr>
          <w:rFonts w:ascii="Times New Roman" w:cs="Times New Roman" w:eastAsia="Times New Roman" w:hAnsi="Times New Roman"/>
          <w:sz w:val="20"/>
          <w:szCs w:val="20"/>
          <w:u w:val="single" w:color="auto"/>
          <w:color w:val="0000FF"/>
        </w:rPr>
        <w:t>to data service providers, including league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table providers, that serve the lending industry (but, in the case of this clause (j), solely to the extent that (i) such Information is information about the terms of the financing contemplated hereby routinely provided by arrangers to data services providers and (ii) such Information is provided to such data service providers no earlier than the fifth Business Day after the Closing Date) or (k)</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if agreed by the Borrower in its sole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discretion, to any other Person.</w:t>
      </w:r>
    </w:p>
    <w:p>
      <w:pPr>
        <w:spacing w:after="0" w:line="195" w:lineRule="exact"/>
        <w:rPr>
          <w:sz w:val="20"/>
          <w:szCs w:val="20"/>
          <w:color w:val="auto"/>
        </w:rPr>
      </w:pPr>
    </w:p>
    <w:p>
      <w:pPr>
        <w:ind w:right="120" w:firstLine="1027"/>
        <w:spacing w:after="0" w:line="249" w:lineRule="auto"/>
        <w:rPr>
          <w:sz w:val="20"/>
          <w:szCs w:val="20"/>
          <w:color w:val="auto"/>
        </w:rPr>
      </w:pPr>
      <w:r>
        <w:rPr>
          <w:rFonts w:ascii="Times New Roman" w:cs="Times New Roman" w:eastAsia="Times New Roman" w:hAnsi="Times New Roman"/>
          <w:sz w:val="20"/>
          <w:szCs w:val="20"/>
          <w:color w:val="auto"/>
        </w:rPr>
        <w:t>Each Lender acknowledges that information furnished to it pursuant to this Agreement or the other Loan Documents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0" w:lineRule="exact"/>
        <w:rPr>
          <w:sz w:val="20"/>
          <w:szCs w:val="20"/>
          <w:color w:val="auto"/>
        </w:rPr>
      </w:pPr>
    </w:p>
    <w:p>
      <w:pPr>
        <w:ind w:right="80" w:firstLine="1027"/>
        <w:spacing w:after="0" w:line="245" w:lineRule="auto"/>
        <w:rPr>
          <w:sz w:val="20"/>
          <w:szCs w:val="20"/>
          <w:color w:val="auto"/>
        </w:rPr>
      </w:pPr>
      <w:r>
        <w:rPr>
          <w:rFonts w:ascii="Times New Roman" w:cs="Times New Roman" w:eastAsia="Times New Roman" w:hAnsi="Times New Roman"/>
          <w:sz w:val="20"/>
          <w:szCs w:val="20"/>
          <w:color w:val="auto"/>
        </w:rPr>
        <w:t>All information, including requests for waivers and amendments, furnished by the Borrower or the Administrative Agent pursuant to, or in the course of administering, this Agreement or the other Loan Documents will be syndicate-level information, which may contain material non-public information about the Borrower and its Affiliates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85" w:lineRule="exact"/>
        <w:rPr>
          <w:sz w:val="20"/>
          <w:szCs w:val="20"/>
          <w:color w:val="auto"/>
        </w:rPr>
      </w:pPr>
    </w:p>
    <w:p>
      <w:pPr>
        <w:ind w:right="60" w:firstLine="1027"/>
        <w:spacing w:after="0" w:line="254" w:lineRule="auto"/>
        <w:rPr>
          <w:sz w:val="20"/>
          <w:szCs w:val="20"/>
          <w:color w:val="auto"/>
        </w:rPr>
      </w:pPr>
      <w:r>
        <w:rPr>
          <w:rFonts w:ascii="Times New Roman" w:cs="Times New Roman" w:eastAsia="Times New Roman" w:hAnsi="Times New Roman"/>
          <w:sz w:val="20"/>
          <w:szCs w:val="20"/>
          <w:u w:val="single" w:color="auto"/>
          <w:color w:val="0000FF"/>
        </w:rPr>
        <w:t>The Administrative Agent agrees to keep confidential the Submitted Reference Bank Rates to be used in the calculation of the Reference Bank Rate; provided that the Submitted Reference Bank Rates may be shared with the Borrower and any of its employees, directors, agents, attorneys, accountants and other professional advisors or those of any of its affiliates that have a commercially</w:t>
      </w:r>
    </w:p>
    <w:p>
      <w:pPr>
        <w:sectPr>
          <w:pgSz w:w="11900" w:h="16838" w:orient="portrait"/>
          <w:cols w:equalWidth="0" w:num="1">
            <w:col w:w="11420"/>
          </w:cols>
          <w:pgMar w:left="240" w:top="409" w:right="239" w:bottom="1440" w:gutter="0" w:footer="0" w:header="0"/>
        </w:sectPr>
      </w:pPr>
    </w:p>
    <w:bookmarkStart w:id="201" w:name="page202"/>
    <w:bookmarkEnd w:id="201"/>
    <w:p>
      <w:pPr>
        <w:ind w:left="11100"/>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106</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reasonable business need to know such rates; provided that, prior to receipt of such rates, any recipient thereof (other than the Borrower) shall</w:t>
      </w:r>
    </w:p>
    <w:p>
      <w:pPr>
        <w:spacing w:after="0" w:line="22" w:lineRule="exact"/>
        <w:rPr>
          <w:sz w:val="20"/>
          <w:szCs w:val="20"/>
          <w:color w:val="auto"/>
        </w:rPr>
      </w:pPr>
    </w:p>
    <w:p>
      <w:pPr>
        <w:ind w:right="120" w:firstLine="8"/>
        <w:spacing w:after="0"/>
        <w:tabs>
          <w:tab w:leader="none" w:pos="236" w:val="left"/>
        </w:tabs>
        <w:numPr>
          <w:ilvl w:val="0"/>
          <w:numId w:val="188"/>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certify to the Administrative Agent that it is not an individual who is formally designated as being involved in the ICE LIBOR submission process and (ii) shall agree to comply with the provisions of this paragraph as if it were the Administrative Agent. The Borrower hereby represents and warrants, as of the Closing Date and each date on which it receives Submitted Reference Bank Rates, that it is not an individual who is formally designated as being involved in the ICE LIBOR submission process, and agrees to comply with the provisions of this paragraph as if it were the Administrative Agent. For the avoidance of doubt, the Reference Bank Rate shall be disclosed to Lenders in accordance with Section 2.10(a).</w:t>
      </w:r>
    </w:p>
    <w:p>
      <w:pPr>
        <w:spacing w:after="0" w:line="188" w:lineRule="exact"/>
        <w:rPr>
          <w:sz w:val="20"/>
          <w:szCs w:val="20"/>
          <w:color w:val="auto"/>
        </w:rPr>
      </w:pPr>
    </w:p>
    <w:p>
      <w:pPr>
        <w:ind w:right="80" w:firstLine="1027"/>
        <w:spacing w:after="0" w:line="276" w:lineRule="auto"/>
        <w:rPr>
          <w:sz w:val="20"/>
          <w:szCs w:val="20"/>
          <w:color w:val="auto"/>
        </w:rPr>
      </w:pPr>
      <w:r>
        <w:rPr>
          <w:rFonts w:ascii="Times New Roman" w:cs="Times New Roman" w:eastAsia="Times New Roman" w:hAnsi="Times New Roman"/>
          <w:sz w:val="19"/>
          <w:szCs w:val="19"/>
          <w:color w:val="auto"/>
        </w:rPr>
        <w:t xml:space="preserve">10.16 </w:t>
      </w:r>
      <w:r>
        <w:rPr>
          <w:rFonts w:ascii="Times New Roman" w:cs="Times New Roman" w:eastAsia="Times New Roman" w:hAnsi="Times New Roman"/>
          <w:sz w:val="19"/>
          <w:szCs w:val="19"/>
          <w:b w:val="1"/>
          <w:bCs w:val="1"/>
          <w:u w:val="single" w:color="auto"/>
          <w:color w:val="auto"/>
        </w:rPr>
        <w:t>WAIVERS OF JURY TRIAL</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MVWC, THE BORROWER, THE ADMINISTRATIVE AGENT AND THE LENDERS HEREBY IRREVOCABLY AND UNCONDITIONALLY WAIVE TRIAL BY JURY IN ANY LEGAL ACTION OR PROCEEDING RELATING TO THIS AGREEMENT OR ANY OTHER LOAN DOCUMENT AND FOR ANY COUNTERCLAIM THEREIN.</w:t>
      </w:r>
    </w:p>
    <w:p>
      <w:pPr>
        <w:spacing w:after="0" w:line="155" w:lineRule="exact"/>
        <w:rPr>
          <w:sz w:val="20"/>
          <w:szCs w:val="20"/>
          <w:color w:val="auto"/>
        </w:rPr>
      </w:pPr>
    </w:p>
    <w:p>
      <w:pPr>
        <w:ind w:left="1040"/>
        <w:spacing w:after="0"/>
        <w:tabs>
          <w:tab w:leader="none" w:pos="166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19"/>
          <w:szCs w:val="19"/>
          <w:u w:val="single" w:color="auto"/>
          <w:color w:val="auto"/>
        </w:rPr>
        <w:t>USA Patriot Act</w:t>
      </w:r>
      <w:r>
        <w:rPr>
          <w:rFonts w:ascii="Times New Roman" w:cs="Times New Roman" w:eastAsia="Times New Roman" w:hAnsi="Times New Roman"/>
          <w:sz w:val="19"/>
          <w:szCs w:val="19"/>
          <w:color w:val="auto"/>
        </w:rPr>
        <w:t>. Each Lender hereby notifies the Borrower that pursuant to the requirements of the USA Patriot Act (Title</w:t>
      </w:r>
    </w:p>
    <w:p>
      <w:pPr>
        <w:spacing w:after="0" w:line="22" w:lineRule="exact"/>
        <w:rPr>
          <w:sz w:val="20"/>
          <w:szCs w:val="20"/>
          <w:color w:val="auto"/>
        </w:rPr>
      </w:pPr>
    </w:p>
    <w:p>
      <w:pPr>
        <w:ind w:right="60" w:firstLine="8"/>
        <w:spacing w:after="0" w:line="242" w:lineRule="auto"/>
        <w:tabs>
          <w:tab w:leader="none" w:pos="247"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Pub. L. 107-56 (signed into law October 26, 2001)) (the “Patriot Act”), it is required to obtain, verify and record information that identifies the Borrower, which information includes the name and address of the Borrower and other information that will allow such Lender to identify the Borrower in accordance with the Patriot Act.</w:t>
      </w:r>
    </w:p>
    <w:p>
      <w:pPr>
        <w:spacing w:after="0" w:line="187" w:lineRule="exact"/>
        <w:rPr>
          <w:sz w:val="20"/>
          <w:szCs w:val="20"/>
          <w:color w:val="auto"/>
        </w:rPr>
      </w:pPr>
    </w:p>
    <w:p>
      <w:pPr>
        <w:ind w:right="320" w:firstLine="1027"/>
        <w:spacing w:after="0" w:line="251" w:lineRule="auto"/>
        <w:rPr>
          <w:sz w:val="20"/>
          <w:szCs w:val="20"/>
          <w:color w:val="auto"/>
        </w:rPr>
      </w:pPr>
      <w:r>
        <w:rPr>
          <w:rFonts w:ascii="Times New Roman" w:cs="Times New Roman" w:eastAsia="Times New Roman" w:hAnsi="Times New Roman"/>
          <w:sz w:val="20"/>
          <w:szCs w:val="20"/>
          <w:color w:val="auto"/>
        </w:rPr>
        <w:t xml:space="preserve">10.18 </w:t>
      </w:r>
      <w:r>
        <w:rPr>
          <w:rFonts w:ascii="Times New Roman" w:cs="Times New Roman" w:eastAsia="Times New Roman" w:hAnsi="Times New Roman"/>
          <w:sz w:val="20"/>
          <w:szCs w:val="20"/>
          <w:u w:val="single" w:color="auto"/>
          <w:color w:val="auto"/>
        </w:rPr>
        <w:t>Effect of Amendment and Restatement of the Existing Credit Agreement</w:t>
      </w:r>
      <w:r>
        <w:rPr>
          <w:rFonts w:ascii="Times New Roman" w:cs="Times New Roman" w:eastAsia="Times New Roman" w:hAnsi="Times New Roman"/>
          <w:sz w:val="20"/>
          <w:szCs w:val="20"/>
          <w:color w:val="auto"/>
        </w:rPr>
        <w:t xml:space="preserve">. On the Second Amendment </w:t>
      </w:r>
      <w:r>
        <w:rPr>
          <w:rFonts w:ascii="Times New Roman" w:cs="Times New Roman" w:eastAsia="Times New Roman" w:hAnsi="Times New Roman"/>
          <w:sz w:val="20"/>
          <w:szCs w:val="20"/>
          <w:u w:val="single" w:color="auto"/>
          <w:color w:val="0000FF"/>
        </w:rPr>
        <w:t>and Restatement</w:t>
      </w:r>
      <w:r>
        <w:rPr>
          <w:rFonts w:ascii="Times New Roman" w:cs="Times New Roman" w:eastAsia="Times New Roman" w:hAnsi="Times New Roman"/>
          <w:sz w:val="20"/>
          <w:szCs w:val="20"/>
          <w:color w:val="auto"/>
        </w:rPr>
        <w:t xml:space="preserve"> Effective Date, the Existing Credit Agreement shall be amended and restated in its entirety. The parties hereto acknowledge and agree that</w:t>
      </w:r>
    </w:p>
    <w:p>
      <w:pPr>
        <w:jc w:val="both"/>
        <w:ind w:right="340" w:firstLine="8"/>
        <w:spacing w:after="0" w:line="241" w:lineRule="auto"/>
        <w:tabs>
          <w:tab w:leader="none" w:pos="269"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and the other Loan Documents, whether executed and delivered in connection herewith or otherwise, do not constitute a novation or termination of the “Obligations” (as defined in the Existing Credit Agreement) under the Existing Credit Agreement as in effect prior to the Second Amendment </w:t>
      </w:r>
      <w:r>
        <w:rPr>
          <w:rFonts w:ascii="Times New Roman" w:cs="Times New Roman" w:eastAsia="Times New Roman" w:hAnsi="Times New Roman"/>
          <w:sz w:val="20"/>
          <w:szCs w:val="20"/>
          <w:u w:val="single" w:color="auto"/>
          <w:color w:val="0000FF"/>
        </w:rPr>
        <w:t>and Restatement</w:t>
      </w:r>
      <w:r>
        <w:rPr>
          <w:rFonts w:ascii="Times New Roman" w:cs="Times New Roman" w:eastAsia="Times New Roman" w:hAnsi="Times New Roman"/>
          <w:sz w:val="20"/>
          <w:szCs w:val="20"/>
          <w:color w:val="auto"/>
        </w:rPr>
        <w:t xml:space="preserve"> Effective Date and which remain outstanding, (b) the “Obligations” are in all respects continuing (as amended and restated hereby and which are hereinafter subject to the terms herein) and (c) the Liens as granted under the applicable Loan Documents securing payment of such “Obligations” are in all respects continuing and in full force and effect.</w:t>
      </w:r>
    </w:p>
    <w:p>
      <w:pPr>
        <w:sectPr>
          <w:pgSz w:w="11900" w:h="16838" w:orient="portrait"/>
          <w:cols w:equalWidth="0" w:num="1">
            <w:col w:w="11420"/>
          </w:cols>
          <w:pgMar w:left="240" w:top="409" w:right="239" w:bottom="1440" w:gutter="0" w:footer="0" w:header="0"/>
        </w:sectPr>
      </w:pPr>
    </w:p>
    <w:bookmarkStart w:id="202" w:name="page203"/>
    <w:bookmarkEnd w:id="202"/>
    <w:tbl>
      <w:tblPr>
        <w:tblLayout w:type="fixed"/>
        <w:tblInd w:w="10" w:type="dxa"/>
        <w:tblCellMar>
          <w:top w:w="0" w:type="dxa"/>
          <w:left w:w="0" w:type="dxa"/>
          <w:bottom w:w="0" w:type="dxa"/>
          <w:right w:w="0" w:type="dxa"/>
        </w:tblCellMar>
      </w:tblPr>
      <w:tr>
        <w:trPr>
          <w:trHeight w:val="262"/>
        </w:trPr>
        <w:tc>
          <w:tcPr>
            <w:tcW w:w="43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Exhibit B</w:t>
            </w:r>
          </w:p>
        </w:tc>
      </w:tr>
      <w:tr>
        <w:trPr>
          <w:trHeight w:val="446"/>
        </w:trPr>
        <w:tc>
          <w:tcPr>
            <w:tcW w:w="4320" w:type="dxa"/>
            <w:vAlign w:val="bottom"/>
          </w:tcPr>
          <w:p>
            <w:pPr>
              <w:spacing w:after="0"/>
              <w:rPr>
                <w:sz w:val="24"/>
                <w:szCs w:val="24"/>
                <w:color w:val="auto"/>
              </w:rPr>
            </w:pPr>
          </w:p>
        </w:tc>
        <w:tc>
          <w:tcPr>
            <w:tcW w:w="5400" w:type="dxa"/>
            <w:vAlign w:val="bottom"/>
            <w:gridSpan w:val="2"/>
          </w:tcPr>
          <w:p>
            <w:pPr>
              <w:jc w:val="right"/>
              <w:ind w:right="3301"/>
              <w:spacing w:after="0"/>
              <w:rPr>
                <w:sz w:val="20"/>
                <w:szCs w:val="20"/>
                <w:color w:val="auto"/>
              </w:rPr>
            </w:pPr>
            <w:r>
              <w:rPr>
                <w:rFonts w:ascii="Times New Roman" w:cs="Times New Roman" w:eastAsia="Times New Roman" w:hAnsi="Times New Roman"/>
                <w:sz w:val="20"/>
                <w:szCs w:val="20"/>
                <w:b w:val="1"/>
                <w:bCs w:val="1"/>
                <w:color w:val="auto"/>
              </w:rPr>
              <w:t>Schedule 1.1A</w:t>
            </w:r>
          </w:p>
        </w:tc>
        <w:tc>
          <w:tcPr>
            <w:tcW w:w="1720" w:type="dxa"/>
            <w:vAlign w:val="bottom"/>
          </w:tcPr>
          <w:p>
            <w:pPr>
              <w:spacing w:after="0"/>
              <w:rPr>
                <w:sz w:val="24"/>
                <w:szCs w:val="24"/>
                <w:color w:val="auto"/>
              </w:rPr>
            </w:pPr>
          </w:p>
        </w:tc>
      </w:tr>
      <w:tr>
        <w:trPr>
          <w:trHeight w:val="446"/>
        </w:trPr>
        <w:tc>
          <w:tcPr>
            <w:tcW w:w="4320" w:type="dxa"/>
            <w:vAlign w:val="bottom"/>
          </w:tcPr>
          <w:p>
            <w:pPr>
              <w:spacing w:after="0"/>
              <w:rPr>
                <w:sz w:val="24"/>
                <w:szCs w:val="24"/>
                <w:color w:val="auto"/>
              </w:rPr>
            </w:pPr>
          </w:p>
        </w:tc>
        <w:tc>
          <w:tcPr>
            <w:tcW w:w="5400" w:type="dxa"/>
            <w:vAlign w:val="bottom"/>
            <w:gridSpan w:val="2"/>
          </w:tcPr>
          <w:p>
            <w:pPr>
              <w:jc w:val="right"/>
              <w:ind w:right="3341"/>
              <w:spacing w:after="0"/>
              <w:rPr>
                <w:sz w:val="20"/>
                <w:szCs w:val="20"/>
                <w:color w:val="auto"/>
              </w:rPr>
            </w:pPr>
            <w:r>
              <w:rPr>
                <w:rFonts w:ascii="Times New Roman" w:cs="Times New Roman" w:eastAsia="Times New Roman" w:hAnsi="Times New Roman"/>
                <w:sz w:val="20"/>
                <w:szCs w:val="20"/>
                <w:color w:val="auto"/>
              </w:rPr>
              <w:t>Commitments</w:t>
            </w:r>
          </w:p>
        </w:tc>
        <w:tc>
          <w:tcPr>
            <w:tcW w:w="1720" w:type="dxa"/>
            <w:vAlign w:val="bottom"/>
          </w:tcPr>
          <w:p>
            <w:pPr>
              <w:spacing w:after="0"/>
              <w:rPr>
                <w:sz w:val="24"/>
                <w:szCs w:val="24"/>
                <w:color w:val="auto"/>
              </w:rPr>
            </w:pPr>
          </w:p>
        </w:tc>
      </w:tr>
      <w:tr>
        <w:trPr>
          <w:trHeight w:val="237"/>
        </w:trPr>
        <w:tc>
          <w:tcPr>
            <w:tcW w:w="43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196"/>
        </w:trPr>
        <w:tc>
          <w:tcPr>
            <w:tcW w:w="4320" w:type="dxa"/>
            <w:vAlign w:val="bottom"/>
            <w:tcBorders>
              <w:left w:val="single" w:sz="8" w:color="auto"/>
            </w:tcBorders>
          </w:tcPr>
          <w:p>
            <w:pPr>
              <w:ind w:left="160"/>
              <w:spacing w:after="0" w:line="196" w:lineRule="exact"/>
              <w:rPr>
                <w:sz w:val="20"/>
                <w:szCs w:val="20"/>
                <w:color w:val="auto"/>
              </w:rPr>
            </w:pPr>
            <w:r>
              <w:rPr>
                <w:rFonts w:ascii="Times New Roman" w:cs="Times New Roman" w:eastAsia="Times New Roman" w:hAnsi="Times New Roman"/>
                <w:sz w:val="20"/>
                <w:szCs w:val="20"/>
                <w:b w:val="1"/>
                <w:bCs w:val="1"/>
                <w:color w:val="auto"/>
              </w:rPr>
              <w:t>Lender</w:t>
            </w:r>
          </w:p>
        </w:tc>
        <w:tc>
          <w:tcPr>
            <w:tcW w:w="382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jc w:val="right"/>
              <w:ind w:right="141"/>
              <w:spacing w:after="0" w:line="196" w:lineRule="exact"/>
              <w:rPr>
                <w:sz w:val="20"/>
                <w:szCs w:val="20"/>
                <w:color w:val="auto"/>
              </w:rPr>
            </w:pPr>
            <w:r>
              <w:rPr>
                <w:rFonts w:ascii="Times New Roman" w:cs="Times New Roman" w:eastAsia="Times New Roman" w:hAnsi="Times New Roman"/>
                <w:sz w:val="20"/>
                <w:szCs w:val="20"/>
                <w:b w:val="1"/>
                <w:bCs w:val="1"/>
                <w:color w:val="auto"/>
              </w:rPr>
              <w:t>Commitment</w:t>
            </w:r>
          </w:p>
        </w:tc>
        <w:tc>
          <w:tcPr>
            <w:tcW w:w="1720" w:type="dxa"/>
            <w:vAlign w:val="bottom"/>
            <w:tcBorders>
              <w:right w:val="single" w:sz="8" w:color="auto"/>
            </w:tcBorders>
          </w:tcPr>
          <w:p>
            <w:pPr>
              <w:jc w:val="center"/>
              <w:ind w:right="61"/>
              <w:spacing w:after="0" w:line="196" w:lineRule="exact"/>
              <w:rPr>
                <w:sz w:val="20"/>
                <w:szCs w:val="20"/>
                <w:color w:val="auto"/>
              </w:rPr>
            </w:pPr>
            <w:r>
              <w:rPr>
                <w:rFonts w:ascii="Times New Roman" w:cs="Times New Roman" w:eastAsia="Times New Roman" w:hAnsi="Times New Roman"/>
                <w:sz w:val="20"/>
                <w:szCs w:val="20"/>
                <w:b w:val="1"/>
                <w:bCs w:val="1"/>
                <w:color w:val="auto"/>
                <w:w w:val="95"/>
              </w:rPr>
              <w:t>Foreign</w:t>
            </w:r>
          </w:p>
        </w:tc>
      </w:tr>
      <w:tr>
        <w:trPr>
          <w:trHeight w:val="230"/>
        </w:trPr>
        <w:tc>
          <w:tcPr>
            <w:tcW w:w="4320" w:type="dxa"/>
            <w:vAlign w:val="bottom"/>
            <w:tcBorders>
              <w:left w:val="single" w:sz="8" w:color="auto"/>
            </w:tcBorders>
          </w:tcPr>
          <w:p>
            <w:pPr>
              <w:spacing w:after="0"/>
              <w:rPr>
                <w:sz w:val="19"/>
                <w:szCs w:val="19"/>
                <w:color w:val="auto"/>
              </w:rPr>
            </w:pPr>
          </w:p>
        </w:tc>
        <w:tc>
          <w:tcPr>
            <w:tcW w:w="382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7"/>
              </w:rPr>
              <w:t>Currency</w:t>
            </w:r>
          </w:p>
        </w:tc>
      </w:tr>
      <w:tr>
        <w:trPr>
          <w:trHeight w:val="256"/>
        </w:trPr>
        <w:tc>
          <w:tcPr>
            <w:tcW w:w="4320" w:type="dxa"/>
            <w:vAlign w:val="bottom"/>
            <w:tcBorders>
              <w:left w:val="single" w:sz="8" w:color="auto"/>
              <w:bottom w:val="single" w:sz="8" w:color="auto"/>
            </w:tcBorders>
          </w:tcPr>
          <w:p>
            <w:pPr>
              <w:spacing w:after="0"/>
              <w:rPr>
                <w:sz w:val="22"/>
                <w:szCs w:val="22"/>
                <w:color w:val="auto"/>
              </w:rPr>
            </w:pPr>
          </w:p>
        </w:tc>
        <w:tc>
          <w:tcPr>
            <w:tcW w:w="3820" w:type="dxa"/>
            <w:vAlign w:val="bottom"/>
            <w:tcBorders>
              <w:bottom w:val="single" w:sz="8" w:color="auto"/>
              <w:right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8"/>
              </w:rPr>
              <w:t>Commitment</w:t>
            </w:r>
          </w:p>
        </w:tc>
      </w:tr>
      <w:tr>
        <w:trPr>
          <w:trHeight w:val="252"/>
        </w:trPr>
        <w:tc>
          <w:tcPr>
            <w:tcW w:w="4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JPMorgan Chase Bank, N.A.</w:t>
            </w:r>
          </w:p>
        </w:tc>
        <w:tc>
          <w:tcPr>
            <w:tcW w:w="382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$30,000,000</w:t>
            </w:r>
          </w:p>
        </w:tc>
        <w:tc>
          <w:tcPr>
            <w:tcW w:w="1720" w:type="dxa"/>
            <w:vAlign w:val="bottom"/>
            <w:tcBorders>
              <w:right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$30,000,000</w:t>
            </w:r>
          </w:p>
        </w:tc>
      </w:tr>
      <w:tr>
        <w:trPr>
          <w:trHeight w:val="106"/>
        </w:trPr>
        <w:tc>
          <w:tcPr>
            <w:tcW w:w="4320" w:type="dxa"/>
            <w:vAlign w:val="bottom"/>
            <w:tcBorders>
              <w:left w:val="single" w:sz="8" w:color="auto"/>
              <w:bottom w:val="single" w:sz="8" w:color="auto"/>
            </w:tcBorders>
          </w:tcPr>
          <w:p>
            <w:pPr>
              <w:spacing w:after="0"/>
              <w:rPr>
                <w:sz w:val="9"/>
                <w:szCs w:val="9"/>
                <w:color w:val="auto"/>
              </w:rPr>
            </w:pPr>
          </w:p>
        </w:tc>
        <w:tc>
          <w:tcPr>
            <w:tcW w:w="382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r>
      <w:tr>
        <w:trPr>
          <w:trHeight w:val="252"/>
        </w:trPr>
        <w:tc>
          <w:tcPr>
            <w:tcW w:w="4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Bank of America, N.A.</w:t>
            </w:r>
          </w:p>
        </w:tc>
        <w:tc>
          <w:tcPr>
            <w:tcW w:w="382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$30,000,000</w:t>
            </w:r>
          </w:p>
        </w:tc>
        <w:tc>
          <w:tcPr>
            <w:tcW w:w="1720" w:type="dxa"/>
            <w:vAlign w:val="bottom"/>
            <w:tcBorders>
              <w:right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$30,000,000</w:t>
            </w:r>
          </w:p>
        </w:tc>
      </w:tr>
      <w:tr>
        <w:trPr>
          <w:trHeight w:val="106"/>
        </w:trPr>
        <w:tc>
          <w:tcPr>
            <w:tcW w:w="4320" w:type="dxa"/>
            <w:vAlign w:val="bottom"/>
            <w:tcBorders>
              <w:left w:val="single" w:sz="8" w:color="auto"/>
              <w:bottom w:val="single" w:sz="8" w:color="auto"/>
            </w:tcBorders>
          </w:tcPr>
          <w:p>
            <w:pPr>
              <w:spacing w:after="0"/>
              <w:rPr>
                <w:sz w:val="9"/>
                <w:szCs w:val="9"/>
                <w:color w:val="auto"/>
              </w:rPr>
            </w:pPr>
          </w:p>
        </w:tc>
        <w:tc>
          <w:tcPr>
            <w:tcW w:w="382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r>
      <w:tr>
        <w:trPr>
          <w:trHeight w:val="252"/>
        </w:trPr>
        <w:tc>
          <w:tcPr>
            <w:tcW w:w="4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Deutsche Bank AG New York Branch</w:t>
            </w:r>
          </w:p>
        </w:tc>
        <w:tc>
          <w:tcPr>
            <w:tcW w:w="382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$30,000,000</w:t>
            </w:r>
          </w:p>
        </w:tc>
        <w:tc>
          <w:tcPr>
            <w:tcW w:w="1720" w:type="dxa"/>
            <w:vAlign w:val="bottom"/>
            <w:tcBorders>
              <w:right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r>
      <w:tr>
        <w:trPr>
          <w:trHeight w:val="106"/>
        </w:trPr>
        <w:tc>
          <w:tcPr>
            <w:tcW w:w="4320" w:type="dxa"/>
            <w:vAlign w:val="bottom"/>
            <w:tcBorders>
              <w:left w:val="single" w:sz="8" w:color="auto"/>
              <w:bottom w:val="single" w:sz="8" w:color="auto"/>
            </w:tcBorders>
          </w:tcPr>
          <w:p>
            <w:pPr>
              <w:spacing w:after="0"/>
              <w:rPr>
                <w:sz w:val="9"/>
                <w:szCs w:val="9"/>
                <w:color w:val="auto"/>
              </w:rPr>
            </w:pPr>
          </w:p>
        </w:tc>
        <w:tc>
          <w:tcPr>
            <w:tcW w:w="382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r>
      <w:tr>
        <w:trPr>
          <w:trHeight w:val="252"/>
        </w:trPr>
        <w:tc>
          <w:tcPr>
            <w:tcW w:w="4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SunTrust Bank</w:t>
            </w:r>
          </w:p>
        </w:tc>
        <w:tc>
          <w:tcPr>
            <w:tcW w:w="382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$30,000,000</w:t>
            </w:r>
          </w:p>
        </w:tc>
        <w:tc>
          <w:tcPr>
            <w:tcW w:w="1720" w:type="dxa"/>
            <w:vAlign w:val="bottom"/>
            <w:tcBorders>
              <w:right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$30,000,000</w:t>
            </w:r>
          </w:p>
        </w:tc>
      </w:tr>
      <w:tr>
        <w:trPr>
          <w:trHeight w:val="106"/>
        </w:trPr>
        <w:tc>
          <w:tcPr>
            <w:tcW w:w="4320" w:type="dxa"/>
            <w:vAlign w:val="bottom"/>
            <w:tcBorders>
              <w:left w:val="single" w:sz="8" w:color="auto"/>
              <w:bottom w:val="single" w:sz="8" w:color="auto"/>
            </w:tcBorders>
          </w:tcPr>
          <w:p>
            <w:pPr>
              <w:spacing w:after="0"/>
              <w:rPr>
                <w:sz w:val="9"/>
                <w:szCs w:val="9"/>
                <w:color w:val="auto"/>
              </w:rPr>
            </w:pPr>
          </w:p>
        </w:tc>
        <w:tc>
          <w:tcPr>
            <w:tcW w:w="382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r>
      <w:tr>
        <w:trPr>
          <w:trHeight w:val="252"/>
        </w:trPr>
        <w:tc>
          <w:tcPr>
            <w:tcW w:w="4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Credit Suisse AG, Cayman Islands Branch</w:t>
            </w:r>
          </w:p>
        </w:tc>
        <w:tc>
          <w:tcPr>
            <w:tcW w:w="382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$20,000,000</w:t>
            </w:r>
          </w:p>
        </w:tc>
        <w:tc>
          <w:tcPr>
            <w:tcW w:w="1720" w:type="dxa"/>
            <w:vAlign w:val="bottom"/>
            <w:tcBorders>
              <w:right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r>
      <w:tr>
        <w:trPr>
          <w:trHeight w:val="106"/>
        </w:trPr>
        <w:tc>
          <w:tcPr>
            <w:tcW w:w="4320" w:type="dxa"/>
            <w:vAlign w:val="bottom"/>
            <w:tcBorders>
              <w:left w:val="single" w:sz="8" w:color="auto"/>
              <w:bottom w:val="single" w:sz="8" w:color="auto"/>
            </w:tcBorders>
          </w:tcPr>
          <w:p>
            <w:pPr>
              <w:spacing w:after="0"/>
              <w:rPr>
                <w:sz w:val="9"/>
                <w:szCs w:val="9"/>
                <w:color w:val="auto"/>
              </w:rPr>
            </w:pPr>
          </w:p>
        </w:tc>
        <w:tc>
          <w:tcPr>
            <w:tcW w:w="382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r>
      <w:tr>
        <w:trPr>
          <w:trHeight w:val="252"/>
        </w:trPr>
        <w:tc>
          <w:tcPr>
            <w:tcW w:w="4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Wells Fargo Capital Finance, LLC</w:t>
            </w:r>
          </w:p>
        </w:tc>
        <w:tc>
          <w:tcPr>
            <w:tcW w:w="382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$20,000,000</w:t>
            </w:r>
          </w:p>
        </w:tc>
        <w:tc>
          <w:tcPr>
            <w:tcW w:w="1720" w:type="dxa"/>
            <w:vAlign w:val="bottom"/>
            <w:tcBorders>
              <w:right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$20,000,000</w:t>
            </w:r>
          </w:p>
        </w:tc>
      </w:tr>
      <w:tr>
        <w:trPr>
          <w:trHeight w:val="106"/>
        </w:trPr>
        <w:tc>
          <w:tcPr>
            <w:tcW w:w="4320" w:type="dxa"/>
            <w:vAlign w:val="bottom"/>
            <w:tcBorders>
              <w:left w:val="single" w:sz="8" w:color="auto"/>
              <w:bottom w:val="single" w:sz="8" w:color="auto"/>
            </w:tcBorders>
          </w:tcPr>
          <w:p>
            <w:pPr>
              <w:spacing w:after="0"/>
              <w:rPr>
                <w:sz w:val="9"/>
                <w:szCs w:val="9"/>
                <w:color w:val="auto"/>
              </w:rPr>
            </w:pPr>
          </w:p>
        </w:tc>
        <w:tc>
          <w:tcPr>
            <w:tcW w:w="382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r>
      <w:tr>
        <w:trPr>
          <w:trHeight w:val="252"/>
        </w:trPr>
        <w:tc>
          <w:tcPr>
            <w:tcW w:w="4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Bank of Hawaii</w:t>
            </w:r>
          </w:p>
        </w:tc>
        <w:tc>
          <w:tcPr>
            <w:tcW w:w="382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$10,000,000</w:t>
            </w:r>
          </w:p>
        </w:tc>
        <w:tc>
          <w:tcPr>
            <w:tcW w:w="1720" w:type="dxa"/>
            <w:vAlign w:val="bottom"/>
            <w:tcBorders>
              <w:right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r>
      <w:tr>
        <w:trPr>
          <w:trHeight w:val="106"/>
        </w:trPr>
        <w:tc>
          <w:tcPr>
            <w:tcW w:w="4320" w:type="dxa"/>
            <w:vAlign w:val="bottom"/>
            <w:tcBorders>
              <w:left w:val="single" w:sz="8" w:color="auto"/>
              <w:bottom w:val="single" w:sz="8" w:color="auto"/>
            </w:tcBorders>
          </w:tcPr>
          <w:p>
            <w:pPr>
              <w:spacing w:after="0"/>
              <w:rPr>
                <w:sz w:val="9"/>
                <w:szCs w:val="9"/>
                <w:color w:val="auto"/>
              </w:rPr>
            </w:pPr>
          </w:p>
        </w:tc>
        <w:tc>
          <w:tcPr>
            <w:tcW w:w="382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r>
      <w:tr>
        <w:trPr>
          <w:trHeight w:val="252"/>
        </w:trPr>
        <w:tc>
          <w:tcPr>
            <w:tcW w:w="4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The Bank of New York Mellon</w:t>
            </w:r>
          </w:p>
        </w:tc>
        <w:tc>
          <w:tcPr>
            <w:tcW w:w="382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$10,000,000</w:t>
            </w:r>
          </w:p>
        </w:tc>
        <w:tc>
          <w:tcPr>
            <w:tcW w:w="1720" w:type="dxa"/>
            <w:vAlign w:val="bottom"/>
            <w:tcBorders>
              <w:right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r>
      <w:tr>
        <w:trPr>
          <w:trHeight w:val="106"/>
        </w:trPr>
        <w:tc>
          <w:tcPr>
            <w:tcW w:w="4320" w:type="dxa"/>
            <w:vAlign w:val="bottom"/>
            <w:tcBorders>
              <w:left w:val="single" w:sz="8" w:color="auto"/>
              <w:bottom w:val="single" w:sz="8" w:color="auto"/>
            </w:tcBorders>
          </w:tcPr>
          <w:p>
            <w:pPr>
              <w:spacing w:after="0"/>
              <w:rPr>
                <w:sz w:val="9"/>
                <w:szCs w:val="9"/>
                <w:color w:val="auto"/>
              </w:rPr>
            </w:pPr>
          </w:p>
        </w:tc>
        <w:tc>
          <w:tcPr>
            <w:tcW w:w="382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r>
      <w:tr>
        <w:trPr>
          <w:trHeight w:val="252"/>
        </w:trPr>
        <w:tc>
          <w:tcPr>
            <w:tcW w:w="4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First Hawaiian Bank</w:t>
            </w:r>
          </w:p>
        </w:tc>
        <w:tc>
          <w:tcPr>
            <w:tcW w:w="382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$10,000,000</w:t>
            </w:r>
          </w:p>
        </w:tc>
        <w:tc>
          <w:tcPr>
            <w:tcW w:w="1720" w:type="dxa"/>
            <w:vAlign w:val="bottom"/>
            <w:tcBorders>
              <w:right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$10,000,000</w:t>
            </w:r>
          </w:p>
        </w:tc>
      </w:tr>
      <w:tr>
        <w:trPr>
          <w:trHeight w:val="106"/>
        </w:trPr>
        <w:tc>
          <w:tcPr>
            <w:tcW w:w="4320" w:type="dxa"/>
            <w:vAlign w:val="bottom"/>
            <w:tcBorders>
              <w:left w:val="single" w:sz="8" w:color="auto"/>
              <w:bottom w:val="single" w:sz="8" w:color="auto"/>
            </w:tcBorders>
          </w:tcPr>
          <w:p>
            <w:pPr>
              <w:spacing w:after="0"/>
              <w:rPr>
                <w:sz w:val="9"/>
                <w:szCs w:val="9"/>
                <w:color w:val="auto"/>
              </w:rPr>
            </w:pPr>
          </w:p>
        </w:tc>
        <w:tc>
          <w:tcPr>
            <w:tcW w:w="382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r>
      <w:tr>
        <w:trPr>
          <w:trHeight w:val="252"/>
        </w:trPr>
        <w:tc>
          <w:tcPr>
            <w:tcW w:w="4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US Bank, National Association</w:t>
            </w:r>
          </w:p>
        </w:tc>
        <w:tc>
          <w:tcPr>
            <w:tcW w:w="382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$10,000,000</w:t>
            </w:r>
          </w:p>
        </w:tc>
        <w:tc>
          <w:tcPr>
            <w:tcW w:w="1720" w:type="dxa"/>
            <w:vAlign w:val="bottom"/>
            <w:tcBorders>
              <w:right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$10,000,000</w:t>
            </w:r>
          </w:p>
        </w:tc>
      </w:tr>
      <w:tr>
        <w:trPr>
          <w:trHeight w:val="106"/>
        </w:trPr>
        <w:tc>
          <w:tcPr>
            <w:tcW w:w="4320" w:type="dxa"/>
            <w:vAlign w:val="bottom"/>
            <w:tcBorders>
              <w:left w:val="single" w:sz="8" w:color="auto"/>
              <w:bottom w:val="single" w:sz="8" w:color="auto"/>
            </w:tcBorders>
          </w:tcPr>
          <w:p>
            <w:pPr>
              <w:spacing w:after="0"/>
              <w:rPr>
                <w:sz w:val="9"/>
                <w:szCs w:val="9"/>
                <w:color w:val="auto"/>
              </w:rPr>
            </w:pPr>
          </w:p>
        </w:tc>
        <w:tc>
          <w:tcPr>
            <w:tcW w:w="382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r>
      <w:tr>
        <w:trPr>
          <w:trHeight w:val="256"/>
        </w:trPr>
        <w:tc>
          <w:tcPr>
            <w:tcW w:w="4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382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$200,000,000</w:t>
            </w:r>
          </w:p>
        </w:tc>
        <w:tc>
          <w:tcPr>
            <w:tcW w:w="1720" w:type="dxa"/>
            <w:vAlign w:val="bottom"/>
            <w:tcBorders>
              <w:right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$130,000,000</w:t>
            </w:r>
          </w:p>
        </w:tc>
      </w:tr>
      <w:tr>
        <w:trPr>
          <w:trHeight w:val="102"/>
        </w:trPr>
        <w:tc>
          <w:tcPr>
            <w:tcW w:w="4320" w:type="dxa"/>
            <w:vAlign w:val="bottom"/>
            <w:tcBorders>
              <w:left w:val="single" w:sz="8" w:color="auto"/>
              <w:bottom w:val="single" w:sz="8" w:color="auto"/>
            </w:tcBorders>
          </w:tcPr>
          <w:p>
            <w:pPr>
              <w:spacing w:after="0"/>
              <w:rPr>
                <w:sz w:val="8"/>
                <w:szCs w:val="8"/>
                <w:color w:val="auto"/>
              </w:rPr>
            </w:pPr>
          </w:p>
        </w:tc>
        <w:tc>
          <w:tcPr>
            <w:tcW w:w="382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r>
    </w:tbl>
    <w:p>
      <w:pPr>
        <w:spacing w:after="0"/>
        <w:rPr>
          <w:sz w:val="20"/>
          <w:szCs w:val="20"/>
          <w:color w:val="auto"/>
        </w:rPr>
        <w:sectPr>
          <w:pgSz w:w="11900" w:h="16838" w:orient="portrait"/>
          <w:cols w:equalWidth="0" w:num="1">
            <w:col w:w="11440"/>
          </w:cols>
          <w:pgMar w:left="240" w:top="262"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03" w:name="page204"/>
    <w:bookmarkEnd w:id="203"/>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1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Schedule 1.1C</w:t>
      </w:r>
    </w:p>
    <w:p>
      <w:pPr>
        <w:spacing w:after="0" w:line="22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[See attached.]</w:t>
      </w:r>
    </w:p>
    <w:p>
      <w:pPr>
        <w:sectPr>
          <w:pgSz w:w="11900" w:h="16838" w:orient="portrait"/>
          <w:cols w:equalWidth="0" w:num="1">
            <w:col w:w="10220"/>
          </w:cols>
          <w:pgMar w:left="1440" w:top="261" w:right="239" w:bottom="1440" w:gutter="0" w:footer="0" w:header="0"/>
        </w:sectPr>
      </w:pPr>
    </w:p>
    <w:bookmarkStart w:id="204" w:name="page205"/>
    <w:bookmarkEnd w:id="204"/>
    <w:p>
      <w:pPr>
        <w:jc w:val="center"/>
        <w:ind w:righ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Mortgaged Property</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403"/>
        </w:trPr>
        <w:tc>
          <w:tcPr>
            <w:tcW w:w="3020" w:type="dxa"/>
            <w:vAlign w:val="bottom"/>
            <w:tcBorders>
              <w:top w:val="single" w:sz="8" w:color="auto"/>
              <w:left w:val="single" w:sz="8" w:color="auto"/>
              <w:right w:val="single" w:sz="8" w:color="auto"/>
            </w:tcBorders>
            <w:shd w:val="clear" w:color="auto" w:fill="A5A5A5"/>
          </w:tcPr>
          <w:p>
            <w:pPr>
              <w:spacing w:after="0"/>
              <w:rPr>
                <w:sz w:val="24"/>
                <w:szCs w:val="24"/>
                <w:color w:val="auto"/>
              </w:rPr>
            </w:pPr>
          </w:p>
        </w:tc>
        <w:tc>
          <w:tcPr>
            <w:tcW w:w="1580" w:type="dxa"/>
            <w:vAlign w:val="bottom"/>
            <w:tcBorders>
              <w:top w:val="single" w:sz="8" w:color="auto"/>
              <w:right w:val="single" w:sz="8" w:color="auto"/>
            </w:tcBorders>
            <w:shd w:val="clear" w:color="auto" w:fill="A5A5A5"/>
          </w:tcPr>
          <w:p>
            <w:pPr>
              <w:spacing w:after="0"/>
              <w:rPr>
                <w:sz w:val="24"/>
                <w:szCs w:val="24"/>
                <w:color w:val="auto"/>
              </w:rPr>
            </w:pPr>
          </w:p>
        </w:tc>
        <w:tc>
          <w:tcPr>
            <w:tcW w:w="1120" w:type="dxa"/>
            <w:vAlign w:val="bottom"/>
            <w:tcBorders>
              <w:top w:val="single" w:sz="8" w:color="auto"/>
              <w:right w:val="single" w:sz="8" w:color="auto"/>
            </w:tcBorders>
            <w:shd w:val="clear" w:color="auto" w:fill="A5A5A5"/>
          </w:tcPr>
          <w:p>
            <w:pPr>
              <w:jc w:val="right"/>
              <w:ind w:right="21"/>
              <w:spacing w:after="0"/>
              <w:rPr>
                <w:sz w:val="20"/>
                <w:szCs w:val="20"/>
                <w:color w:val="auto"/>
              </w:rPr>
            </w:pPr>
            <w:r>
              <w:rPr>
                <w:rFonts w:ascii="Arial" w:cs="Arial" w:eastAsia="Arial" w:hAnsi="Arial"/>
                <w:sz w:val="14"/>
                <w:szCs w:val="14"/>
                <w:b w:val="1"/>
                <w:bCs w:val="1"/>
                <w:color w:val="auto"/>
              </w:rPr>
              <w:t># of Weeks or</w:t>
            </w:r>
          </w:p>
        </w:tc>
        <w:tc>
          <w:tcPr>
            <w:tcW w:w="1460" w:type="dxa"/>
            <w:vAlign w:val="bottom"/>
            <w:tcBorders>
              <w:top w:val="single" w:sz="8" w:color="auto"/>
              <w:right w:val="single" w:sz="8" w:color="auto"/>
            </w:tcBorders>
            <w:shd w:val="clear" w:color="auto" w:fill="A5A5A5"/>
          </w:tcPr>
          <w:p>
            <w:pPr>
              <w:spacing w:after="0"/>
              <w:rPr>
                <w:sz w:val="24"/>
                <w:szCs w:val="24"/>
                <w:color w:val="auto"/>
              </w:rPr>
            </w:pPr>
          </w:p>
        </w:tc>
        <w:tc>
          <w:tcPr>
            <w:tcW w:w="500" w:type="dxa"/>
            <w:vAlign w:val="bottom"/>
            <w:tcBorders>
              <w:top w:val="single" w:sz="8" w:color="auto"/>
              <w:right w:val="single" w:sz="8" w:color="auto"/>
            </w:tcBorders>
            <w:shd w:val="clear" w:color="auto" w:fill="A5A5A5"/>
          </w:tcPr>
          <w:p>
            <w:pPr>
              <w:spacing w:after="0"/>
              <w:rPr>
                <w:sz w:val="24"/>
                <w:szCs w:val="24"/>
                <w:color w:val="auto"/>
              </w:rPr>
            </w:pPr>
          </w:p>
        </w:tc>
        <w:tc>
          <w:tcPr>
            <w:tcW w:w="3760" w:type="dxa"/>
            <w:vAlign w:val="bottom"/>
            <w:tcBorders>
              <w:top w:val="single" w:sz="8" w:color="auto"/>
              <w:right w:val="single" w:sz="8" w:color="auto"/>
            </w:tcBorders>
            <w:shd w:val="clear" w:color="auto" w:fill="A5A5A5"/>
          </w:tcPr>
          <w:p>
            <w:pPr>
              <w:spacing w:after="0"/>
              <w:rPr>
                <w:sz w:val="24"/>
                <w:szCs w:val="24"/>
                <w:color w:val="auto"/>
              </w:rPr>
            </w:pPr>
          </w:p>
        </w:tc>
      </w:tr>
      <w:tr>
        <w:trPr>
          <w:trHeight w:val="191"/>
        </w:trPr>
        <w:tc>
          <w:tcPr>
            <w:tcW w:w="3020" w:type="dxa"/>
            <w:vAlign w:val="bottom"/>
            <w:tcBorders>
              <w:left w:val="single" w:sz="8" w:color="auto"/>
              <w:bottom w:val="single" w:sz="8" w:color="auto"/>
              <w:right w:val="single" w:sz="8" w:color="auto"/>
            </w:tcBorders>
            <w:shd w:val="clear" w:color="auto" w:fill="A5A5A5"/>
          </w:tcPr>
          <w:p>
            <w:pPr>
              <w:ind w:left="1300"/>
              <w:spacing w:after="0"/>
              <w:rPr>
                <w:sz w:val="20"/>
                <w:szCs w:val="20"/>
                <w:color w:val="auto"/>
              </w:rPr>
            </w:pPr>
            <w:r>
              <w:rPr>
                <w:rFonts w:ascii="Arial" w:cs="Arial" w:eastAsia="Arial" w:hAnsi="Arial"/>
                <w:sz w:val="14"/>
                <w:szCs w:val="14"/>
                <w:b w:val="1"/>
                <w:bCs w:val="1"/>
                <w:color w:val="auto"/>
              </w:rPr>
              <w:t>Project</w:t>
            </w:r>
          </w:p>
        </w:tc>
        <w:tc>
          <w:tcPr>
            <w:tcW w:w="1580" w:type="dxa"/>
            <w:vAlign w:val="bottom"/>
            <w:tcBorders>
              <w:bottom w:val="single" w:sz="8" w:color="auto"/>
              <w:right w:val="single" w:sz="8" w:color="auto"/>
            </w:tcBorders>
            <w:shd w:val="clear" w:color="auto" w:fill="A5A5A5"/>
          </w:tcPr>
          <w:p>
            <w:pPr>
              <w:jc w:val="center"/>
              <w:ind w:left="21"/>
              <w:spacing w:after="0"/>
              <w:rPr>
                <w:sz w:val="20"/>
                <w:szCs w:val="20"/>
                <w:color w:val="auto"/>
              </w:rPr>
            </w:pPr>
            <w:r>
              <w:rPr>
                <w:rFonts w:ascii="Arial" w:cs="Arial" w:eastAsia="Arial" w:hAnsi="Arial"/>
                <w:sz w:val="14"/>
                <w:szCs w:val="14"/>
                <w:b w:val="1"/>
                <w:bCs w:val="1"/>
                <w:color w:val="auto"/>
              </w:rPr>
              <w:t>Description</w:t>
            </w:r>
          </w:p>
        </w:tc>
        <w:tc>
          <w:tcPr>
            <w:tcW w:w="1120" w:type="dxa"/>
            <w:vAlign w:val="bottom"/>
            <w:tcBorders>
              <w:bottom w:val="single" w:sz="8" w:color="auto"/>
              <w:right w:val="single" w:sz="8" w:color="auto"/>
            </w:tcBorders>
            <w:shd w:val="clear" w:color="auto" w:fill="A5A5A5"/>
          </w:tcPr>
          <w:p>
            <w:pPr>
              <w:jc w:val="right"/>
              <w:ind w:right="201"/>
              <w:spacing w:after="0"/>
              <w:rPr>
                <w:sz w:val="20"/>
                <w:szCs w:val="20"/>
                <w:color w:val="auto"/>
              </w:rPr>
            </w:pPr>
            <w:r>
              <w:rPr>
                <w:rFonts w:ascii="Arial" w:cs="Arial" w:eastAsia="Arial" w:hAnsi="Arial"/>
                <w:sz w:val="14"/>
                <w:szCs w:val="14"/>
                <w:b w:val="1"/>
                <w:bCs w:val="1"/>
                <w:color w:val="auto"/>
              </w:rPr>
              <w:t>Interests</w:t>
            </w:r>
          </w:p>
        </w:tc>
        <w:tc>
          <w:tcPr>
            <w:tcW w:w="1460" w:type="dxa"/>
            <w:vAlign w:val="bottom"/>
            <w:tcBorders>
              <w:bottom w:val="single" w:sz="8" w:color="auto"/>
              <w:right w:val="single" w:sz="8" w:color="auto"/>
            </w:tcBorders>
            <w:shd w:val="clear" w:color="auto" w:fill="A5A5A5"/>
          </w:tcPr>
          <w:p>
            <w:pPr>
              <w:ind w:left="520"/>
              <w:spacing w:after="0"/>
              <w:rPr>
                <w:sz w:val="20"/>
                <w:szCs w:val="20"/>
                <w:color w:val="auto"/>
              </w:rPr>
            </w:pPr>
            <w:r>
              <w:rPr>
                <w:rFonts w:ascii="Arial" w:cs="Arial" w:eastAsia="Arial" w:hAnsi="Arial"/>
                <w:sz w:val="14"/>
                <w:szCs w:val="14"/>
                <w:b w:val="1"/>
                <w:bCs w:val="1"/>
                <w:color w:val="auto"/>
              </w:rPr>
              <w:t>County</w:t>
            </w:r>
          </w:p>
        </w:tc>
        <w:tc>
          <w:tcPr>
            <w:tcW w:w="500" w:type="dxa"/>
            <w:vAlign w:val="bottom"/>
            <w:tcBorders>
              <w:bottom w:val="single" w:sz="8" w:color="auto"/>
              <w:right w:val="single" w:sz="8" w:color="auto"/>
            </w:tcBorders>
            <w:shd w:val="clear" w:color="auto" w:fill="A5A5A5"/>
          </w:tcPr>
          <w:p>
            <w:pPr>
              <w:ind w:left="80"/>
              <w:spacing w:after="0"/>
              <w:rPr>
                <w:sz w:val="20"/>
                <w:szCs w:val="20"/>
                <w:color w:val="auto"/>
              </w:rPr>
            </w:pPr>
            <w:r>
              <w:rPr>
                <w:rFonts w:ascii="Arial" w:cs="Arial" w:eastAsia="Arial" w:hAnsi="Arial"/>
                <w:sz w:val="14"/>
                <w:szCs w:val="14"/>
                <w:b w:val="1"/>
                <w:bCs w:val="1"/>
                <w:color w:val="auto"/>
              </w:rPr>
              <w:t>State</w:t>
            </w:r>
          </w:p>
        </w:tc>
        <w:tc>
          <w:tcPr>
            <w:tcW w:w="3760" w:type="dxa"/>
            <w:vAlign w:val="bottom"/>
            <w:tcBorders>
              <w:bottom w:val="single" w:sz="8" w:color="auto"/>
              <w:right w:val="single" w:sz="8" w:color="auto"/>
            </w:tcBorders>
            <w:shd w:val="clear" w:color="auto" w:fill="A5A5A5"/>
          </w:tcPr>
          <w:p>
            <w:pPr>
              <w:ind w:left="1360"/>
              <w:spacing w:after="0"/>
              <w:rPr>
                <w:sz w:val="20"/>
                <w:szCs w:val="20"/>
                <w:color w:val="auto"/>
              </w:rPr>
            </w:pPr>
            <w:r>
              <w:rPr>
                <w:rFonts w:ascii="Arial" w:cs="Arial" w:eastAsia="Arial" w:hAnsi="Arial"/>
                <w:sz w:val="14"/>
                <w:szCs w:val="14"/>
                <w:b w:val="1"/>
                <w:bCs w:val="1"/>
                <w:color w:val="auto"/>
              </w:rPr>
              <w:t>Owning Entity</w:t>
            </w:r>
          </w:p>
        </w:tc>
      </w:tr>
      <w:tr>
        <w:trPr>
          <w:trHeight w:val="129"/>
        </w:trPr>
        <w:tc>
          <w:tcPr>
            <w:tcW w:w="30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Canyon Villas</w:t>
            </w:r>
          </w:p>
        </w:tc>
        <w:tc>
          <w:tcPr>
            <w:tcW w:w="1580" w:type="dxa"/>
            <w:vAlign w:val="bottom"/>
            <w:tcBorders>
              <w:bottom w:val="single" w:sz="8" w:color="auto"/>
              <w:right w:val="single" w:sz="8" w:color="auto"/>
            </w:tcBorders>
          </w:tcPr>
          <w:p>
            <w:pPr>
              <w:jc w:val="center"/>
              <w:ind w:left="21"/>
              <w:spacing w:after="0" w:line="129" w:lineRule="exact"/>
              <w:rPr>
                <w:sz w:val="20"/>
                <w:szCs w:val="20"/>
                <w:color w:val="auto"/>
              </w:rPr>
            </w:pPr>
            <w:r>
              <w:rPr>
                <w:rFonts w:ascii="Arial" w:cs="Arial" w:eastAsia="Arial" w:hAnsi="Arial"/>
                <w:sz w:val="12"/>
                <w:szCs w:val="12"/>
                <w:color w:val="auto"/>
                <w:w w:val="99"/>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5</w:t>
            </w:r>
          </w:p>
        </w:tc>
        <w:tc>
          <w:tcPr>
            <w:tcW w:w="14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Maricopa</w:t>
            </w:r>
          </w:p>
        </w:tc>
        <w:tc>
          <w:tcPr>
            <w:tcW w:w="500" w:type="dxa"/>
            <w:vAlign w:val="bottom"/>
            <w:tcBorders>
              <w:bottom w:val="single" w:sz="8" w:color="auto"/>
              <w:right w:val="single" w:sz="8" w:color="auto"/>
            </w:tcBorders>
          </w:tcPr>
          <w:p>
            <w:pPr>
              <w:ind w:left="200"/>
              <w:spacing w:after="0" w:line="129" w:lineRule="exact"/>
              <w:rPr>
                <w:sz w:val="20"/>
                <w:szCs w:val="20"/>
                <w:color w:val="auto"/>
              </w:rPr>
            </w:pPr>
            <w:r>
              <w:rPr>
                <w:rFonts w:ascii="Arial" w:cs="Arial" w:eastAsia="Arial" w:hAnsi="Arial"/>
                <w:sz w:val="12"/>
                <w:szCs w:val="12"/>
                <w:color w:val="auto"/>
              </w:rPr>
              <w:t>AZ</w:t>
            </w:r>
          </w:p>
        </w:tc>
        <w:tc>
          <w:tcPr>
            <w:tcW w:w="37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42"/>
        </w:trPr>
        <w:tc>
          <w:tcPr>
            <w:tcW w:w="30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Canyon Villas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5</w:t>
            </w:r>
          </w:p>
        </w:tc>
        <w:tc>
          <w:tcPr>
            <w:tcW w:w="146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76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223"/>
        </w:trPr>
        <w:tc>
          <w:tcPr>
            <w:tcW w:w="30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Northstar - RCC Lake Tahoe</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legacy inventory</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3</w:t>
            </w: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Placer</w:t>
            </w:r>
          </w:p>
        </w:tc>
        <w:tc>
          <w:tcPr>
            <w:tcW w:w="5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CA</w:t>
            </w:r>
          </w:p>
        </w:tc>
        <w:tc>
          <w:tcPr>
            <w:tcW w:w="3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The Ritz-Carlton Development Company, Inc.</w:t>
            </w:r>
          </w:p>
        </w:tc>
      </w:tr>
      <w:tr>
        <w:trPr>
          <w:trHeight w:val="142"/>
        </w:trPr>
        <w:tc>
          <w:tcPr>
            <w:tcW w:w="30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Northstar - RCC Lake Tahoe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3</w:t>
            </w:r>
          </w:p>
        </w:tc>
        <w:tc>
          <w:tcPr>
            <w:tcW w:w="146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76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17"/>
        </w:trPr>
        <w:tc>
          <w:tcPr>
            <w:tcW w:w="30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tcPr>
          <w:p>
            <w:pPr>
              <w:spacing w:after="0"/>
              <w:rPr>
                <w:sz w:val="10"/>
                <w:szCs w:val="10"/>
                <w:color w:val="auto"/>
              </w:rPr>
            </w:pPr>
          </w:p>
        </w:tc>
      </w:tr>
      <w:tr>
        <w:trPr>
          <w:trHeight w:val="160"/>
        </w:trPr>
        <w:tc>
          <w:tcPr>
            <w:tcW w:w="30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GRC Lake Tahoe - Commercial Units</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4</w:t>
            </w: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El Dorado</w:t>
            </w:r>
          </w:p>
        </w:tc>
        <w:tc>
          <w:tcPr>
            <w:tcW w:w="5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CA</w:t>
            </w:r>
          </w:p>
        </w:tc>
        <w:tc>
          <w:tcPr>
            <w:tcW w:w="3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Heavenly Resorts Properties, LLC</w:t>
            </w:r>
          </w:p>
        </w:tc>
      </w:tr>
      <w:tr>
        <w:trPr>
          <w:trHeight w:val="142"/>
        </w:trPr>
        <w:tc>
          <w:tcPr>
            <w:tcW w:w="30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GRC Lake Tahoe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4</w:t>
            </w:r>
          </w:p>
        </w:tc>
        <w:tc>
          <w:tcPr>
            <w:tcW w:w="146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76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Timber Lodge</w:t>
            </w:r>
          </w:p>
        </w:tc>
        <w:tc>
          <w:tcPr>
            <w:tcW w:w="1580" w:type="dxa"/>
            <w:vAlign w:val="bottom"/>
            <w:tcBorders>
              <w:bottom w:val="single" w:sz="8" w:color="auto"/>
              <w:right w:val="single" w:sz="8" w:color="auto"/>
            </w:tcBorders>
          </w:tcPr>
          <w:p>
            <w:pPr>
              <w:jc w:val="center"/>
              <w:ind w:left="21"/>
              <w:spacing w:after="0" w:line="129" w:lineRule="exact"/>
              <w:rPr>
                <w:sz w:val="20"/>
                <w:szCs w:val="20"/>
                <w:color w:val="auto"/>
              </w:rPr>
            </w:pPr>
            <w:r>
              <w:rPr>
                <w:rFonts w:ascii="Arial" w:cs="Arial" w:eastAsia="Arial" w:hAnsi="Arial"/>
                <w:sz w:val="12"/>
                <w:szCs w:val="12"/>
                <w:color w:val="auto"/>
                <w:w w:val="99"/>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17</w:t>
            </w:r>
          </w:p>
        </w:tc>
        <w:tc>
          <w:tcPr>
            <w:tcW w:w="14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Eldorado</w:t>
            </w:r>
          </w:p>
        </w:tc>
        <w:tc>
          <w:tcPr>
            <w:tcW w:w="500" w:type="dxa"/>
            <w:vAlign w:val="bottom"/>
            <w:tcBorders>
              <w:bottom w:val="single" w:sz="8" w:color="auto"/>
              <w:right w:val="single" w:sz="8" w:color="auto"/>
            </w:tcBorders>
          </w:tcPr>
          <w:p>
            <w:pPr>
              <w:ind w:left="200"/>
              <w:spacing w:after="0" w:line="129" w:lineRule="exact"/>
              <w:rPr>
                <w:sz w:val="20"/>
                <w:szCs w:val="20"/>
                <w:color w:val="auto"/>
              </w:rPr>
            </w:pPr>
            <w:r>
              <w:rPr>
                <w:rFonts w:ascii="Arial" w:cs="Arial" w:eastAsia="Arial" w:hAnsi="Arial"/>
                <w:sz w:val="12"/>
                <w:szCs w:val="12"/>
                <w:color w:val="auto"/>
              </w:rPr>
              <w:t>CA</w:t>
            </w:r>
          </w:p>
        </w:tc>
        <w:tc>
          <w:tcPr>
            <w:tcW w:w="37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17"/>
        </w:trPr>
        <w:tc>
          <w:tcPr>
            <w:tcW w:w="30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tcPr>
          <w:p>
            <w:pPr>
              <w:spacing w:after="0"/>
              <w:rPr>
                <w:sz w:val="10"/>
                <w:szCs w:val="10"/>
                <w:color w:val="auto"/>
              </w:rPr>
            </w:pPr>
          </w:p>
        </w:tc>
      </w:tr>
      <w:tr>
        <w:trPr>
          <w:trHeight w:val="160"/>
        </w:trPr>
        <w:tc>
          <w:tcPr>
            <w:tcW w:w="30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Timber Lodge - Commercial Units</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4</w:t>
            </w: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Eldorado</w:t>
            </w:r>
          </w:p>
        </w:tc>
        <w:tc>
          <w:tcPr>
            <w:tcW w:w="5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CA</w:t>
            </w:r>
          </w:p>
        </w:tc>
        <w:tc>
          <w:tcPr>
            <w:tcW w:w="3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0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Timber Lodge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21</w:t>
            </w:r>
          </w:p>
        </w:tc>
        <w:tc>
          <w:tcPr>
            <w:tcW w:w="146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76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Newport Coast</w:t>
            </w:r>
          </w:p>
        </w:tc>
        <w:tc>
          <w:tcPr>
            <w:tcW w:w="1580" w:type="dxa"/>
            <w:vAlign w:val="bottom"/>
            <w:tcBorders>
              <w:bottom w:val="single" w:sz="8" w:color="auto"/>
              <w:right w:val="single" w:sz="8" w:color="auto"/>
            </w:tcBorders>
          </w:tcPr>
          <w:p>
            <w:pPr>
              <w:jc w:val="center"/>
              <w:ind w:left="21"/>
              <w:spacing w:after="0" w:line="129" w:lineRule="exact"/>
              <w:rPr>
                <w:sz w:val="20"/>
                <w:szCs w:val="20"/>
                <w:color w:val="auto"/>
              </w:rPr>
            </w:pPr>
            <w:r>
              <w:rPr>
                <w:rFonts w:ascii="Arial" w:cs="Arial" w:eastAsia="Arial" w:hAnsi="Arial"/>
                <w:sz w:val="12"/>
                <w:szCs w:val="12"/>
                <w:color w:val="auto"/>
                <w:w w:val="96"/>
              </w:rPr>
              <w:t>admin space</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3</w:t>
            </w:r>
          </w:p>
        </w:tc>
        <w:tc>
          <w:tcPr>
            <w:tcW w:w="14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Orange</w:t>
            </w:r>
          </w:p>
        </w:tc>
        <w:tc>
          <w:tcPr>
            <w:tcW w:w="500" w:type="dxa"/>
            <w:vAlign w:val="bottom"/>
            <w:tcBorders>
              <w:bottom w:val="single" w:sz="8" w:color="auto"/>
              <w:right w:val="single" w:sz="8" w:color="auto"/>
            </w:tcBorders>
          </w:tcPr>
          <w:p>
            <w:pPr>
              <w:ind w:left="200"/>
              <w:spacing w:after="0" w:line="129" w:lineRule="exact"/>
              <w:rPr>
                <w:sz w:val="20"/>
                <w:szCs w:val="20"/>
                <w:color w:val="auto"/>
              </w:rPr>
            </w:pPr>
            <w:r>
              <w:rPr>
                <w:rFonts w:ascii="Arial" w:cs="Arial" w:eastAsia="Arial" w:hAnsi="Arial"/>
                <w:sz w:val="12"/>
                <w:szCs w:val="12"/>
                <w:color w:val="auto"/>
              </w:rPr>
              <w:t>CA</w:t>
            </w:r>
          </w:p>
        </w:tc>
        <w:tc>
          <w:tcPr>
            <w:tcW w:w="37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29"/>
        </w:trPr>
        <w:tc>
          <w:tcPr>
            <w:tcW w:w="30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Newport Coast</w:t>
            </w:r>
          </w:p>
        </w:tc>
        <w:tc>
          <w:tcPr>
            <w:tcW w:w="1580" w:type="dxa"/>
            <w:vAlign w:val="bottom"/>
            <w:tcBorders>
              <w:bottom w:val="single" w:sz="8" w:color="auto"/>
              <w:right w:val="single" w:sz="8" w:color="auto"/>
            </w:tcBorders>
          </w:tcPr>
          <w:p>
            <w:pPr>
              <w:jc w:val="center"/>
              <w:ind w:left="21"/>
              <w:spacing w:after="0" w:line="129" w:lineRule="exact"/>
              <w:rPr>
                <w:sz w:val="20"/>
                <w:szCs w:val="20"/>
                <w:color w:val="auto"/>
              </w:rPr>
            </w:pPr>
            <w:r>
              <w:rPr>
                <w:rFonts w:ascii="Arial" w:cs="Arial" w:eastAsia="Arial" w:hAnsi="Arial"/>
                <w:sz w:val="12"/>
                <w:szCs w:val="12"/>
                <w:color w:val="auto"/>
                <w:w w:val="97"/>
              </w:rPr>
              <w:t>model unit</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52</w:t>
            </w:r>
          </w:p>
        </w:tc>
        <w:tc>
          <w:tcPr>
            <w:tcW w:w="14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Orange</w:t>
            </w:r>
          </w:p>
        </w:tc>
        <w:tc>
          <w:tcPr>
            <w:tcW w:w="500" w:type="dxa"/>
            <w:vAlign w:val="bottom"/>
            <w:tcBorders>
              <w:bottom w:val="single" w:sz="8" w:color="auto"/>
              <w:right w:val="single" w:sz="8" w:color="auto"/>
            </w:tcBorders>
          </w:tcPr>
          <w:p>
            <w:pPr>
              <w:ind w:left="200"/>
              <w:spacing w:after="0" w:line="129" w:lineRule="exact"/>
              <w:rPr>
                <w:sz w:val="20"/>
                <w:szCs w:val="20"/>
                <w:color w:val="auto"/>
              </w:rPr>
            </w:pPr>
            <w:r>
              <w:rPr>
                <w:rFonts w:ascii="Arial" w:cs="Arial" w:eastAsia="Arial" w:hAnsi="Arial"/>
                <w:sz w:val="12"/>
                <w:szCs w:val="12"/>
                <w:color w:val="auto"/>
              </w:rPr>
              <w:t>CA</w:t>
            </w:r>
          </w:p>
        </w:tc>
        <w:tc>
          <w:tcPr>
            <w:tcW w:w="37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29"/>
        </w:trPr>
        <w:tc>
          <w:tcPr>
            <w:tcW w:w="30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Newport Coast</w:t>
            </w:r>
          </w:p>
        </w:tc>
        <w:tc>
          <w:tcPr>
            <w:tcW w:w="1580" w:type="dxa"/>
            <w:vAlign w:val="bottom"/>
            <w:tcBorders>
              <w:bottom w:val="single" w:sz="8" w:color="auto"/>
              <w:right w:val="single" w:sz="8" w:color="auto"/>
            </w:tcBorders>
          </w:tcPr>
          <w:p>
            <w:pPr>
              <w:jc w:val="center"/>
              <w:ind w:left="21"/>
              <w:spacing w:after="0" w:line="129" w:lineRule="exact"/>
              <w:rPr>
                <w:sz w:val="20"/>
                <w:szCs w:val="20"/>
                <w:color w:val="auto"/>
              </w:rPr>
            </w:pPr>
            <w:r>
              <w:rPr>
                <w:rFonts w:ascii="Arial" w:cs="Arial" w:eastAsia="Arial" w:hAnsi="Arial"/>
                <w:sz w:val="12"/>
                <w:szCs w:val="12"/>
                <w:color w:val="auto"/>
                <w:w w:val="99"/>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71</w:t>
            </w:r>
          </w:p>
        </w:tc>
        <w:tc>
          <w:tcPr>
            <w:tcW w:w="14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Orange</w:t>
            </w:r>
          </w:p>
        </w:tc>
        <w:tc>
          <w:tcPr>
            <w:tcW w:w="500" w:type="dxa"/>
            <w:vAlign w:val="bottom"/>
            <w:tcBorders>
              <w:bottom w:val="single" w:sz="8" w:color="auto"/>
              <w:right w:val="single" w:sz="8" w:color="auto"/>
            </w:tcBorders>
          </w:tcPr>
          <w:p>
            <w:pPr>
              <w:ind w:left="200"/>
              <w:spacing w:after="0" w:line="129" w:lineRule="exact"/>
              <w:rPr>
                <w:sz w:val="20"/>
                <w:szCs w:val="20"/>
                <w:color w:val="auto"/>
              </w:rPr>
            </w:pPr>
            <w:r>
              <w:rPr>
                <w:rFonts w:ascii="Arial" w:cs="Arial" w:eastAsia="Arial" w:hAnsi="Arial"/>
                <w:sz w:val="12"/>
                <w:szCs w:val="12"/>
                <w:color w:val="auto"/>
              </w:rPr>
              <w:t>CA</w:t>
            </w:r>
          </w:p>
        </w:tc>
        <w:tc>
          <w:tcPr>
            <w:tcW w:w="37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17"/>
        </w:trPr>
        <w:tc>
          <w:tcPr>
            <w:tcW w:w="30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tcPr>
          <w:p>
            <w:pPr>
              <w:spacing w:after="0"/>
              <w:rPr>
                <w:sz w:val="10"/>
                <w:szCs w:val="10"/>
                <w:color w:val="auto"/>
              </w:rPr>
            </w:pPr>
          </w:p>
        </w:tc>
      </w:tr>
      <w:tr>
        <w:trPr>
          <w:trHeight w:val="160"/>
        </w:trPr>
        <w:tc>
          <w:tcPr>
            <w:tcW w:w="30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Newport Coast - Market Place &amp; Cell Tower</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2</w:t>
            </w: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Orange</w:t>
            </w:r>
          </w:p>
        </w:tc>
        <w:tc>
          <w:tcPr>
            <w:tcW w:w="5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CA</w:t>
            </w:r>
          </w:p>
        </w:tc>
        <w:tc>
          <w:tcPr>
            <w:tcW w:w="3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0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Newport Coast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128</w:t>
            </w:r>
          </w:p>
        </w:tc>
        <w:tc>
          <w:tcPr>
            <w:tcW w:w="146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76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Desert Springs I</w:t>
            </w:r>
          </w:p>
        </w:tc>
        <w:tc>
          <w:tcPr>
            <w:tcW w:w="1580" w:type="dxa"/>
            <w:vAlign w:val="bottom"/>
            <w:tcBorders>
              <w:bottom w:val="single" w:sz="8" w:color="auto"/>
              <w:right w:val="single" w:sz="8" w:color="auto"/>
            </w:tcBorders>
          </w:tcPr>
          <w:p>
            <w:pPr>
              <w:jc w:val="center"/>
              <w:ind w:left="21"/>
              <w:spacing w:after="0" w:line="129" w:lineRule="exact"/>
              <w:rPr>
                <w:sz w:val="20"/>
                <w:szCs w:val="20"/>
                <w:color w:val="auto"/>
              </w:rPr>
            </w:pPr>
            <w:r>
              <w:rPr>
                <w:rFonts w:ascii="Arial" w:cs="Arial" w:eastAsia="Arial" w:hAnsi="Arial"/>
                <w:sz w:val="12"/>
                <w:szCs w:val="12"/>
                <w:color w:val="auto"/>
                <w:w w:val="99"/>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w:t>
            </w:r>
          </w:p>
        </w:tc>
        <w:tc>
          <w:tcPr>
            <w:tcW w:w="14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Riverside</w:t>
            </w:r>
          </w:p>
        </w:tc>
        <w:tc>
          <w:tcPr>
            <w:tcW w:w="500" w:type="dxa"/>
            <w:vAlign w:val="bottom"/>
            <w:tcBorders>
              <w:bottom w:val="single" w:sz="8" w:color="auto"/>
              <w:right w:val="single" w:sz="8" w:color="auto"/>
            </w:tcBorders>
          </w:tcPr>
          <w:p>
            <w:pPr>
              <w:ind w:left="200"/>
              <w:spacing w:after="0" w:line="129" w:lineRule="exact"/>
              <w:rPr>
                <w:sz w:val="20"/>
                <w:szCs w:val="20"/>
                <w:color w:val="auto"/>
              </w:rPr>
            </w:pPr>
            <w:r>
              <w:rPr>
                <w:rFonts w:ascii="Arial" w:cs="Arial" w:eastAsia="Arial" w:hAnsi="Arial"/>
                <w:sz w:val="12"/>
                <w:szCs w:val="12"/>
                <w:color w:val="auto"/>
              </w:rPr>
              <w:t>CA</w:t>
            </w:r>
          </w:p>
        </w:tc>
        <w:tc>
          <w:tcPr>
            <w:tcW w:w="37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17"/>
        </w:trPr>
        <w:tc>
          <w:tcPr>
            <w:tcW w:w="30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tcPr>
          <w:p>
            <w:pPr>
              <w:spacing w:after="0"/>
              <w:rPr>
                <w:sz w:val="10"/>
                <w:szCs w:val="10"/>
                <w:color w:val="auto"/>
              </w:rPr>
            </w:pPr>
          </w:p>
        </w:tc>
      </w:tr>
      <w:tr>
        <w:trPr>
          <w:trHeight w:val="160"/>
        </w:trPr>
        <w:tc>
          <w:tcPr>
            <w:tcW w:w="30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Desert Springs Golf Course</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1</w:t>
            </w: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Riverside</w:t>
            </w:r>
          </w:p>
        </w:tc>
        <w:tc>
          <w:tcPr>
            <w:tcW w:w="5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CA</w:t>
            </w:r>
          </w:p>
        </w:tc>
        <w:tc>
          <w:tcPr>
            <w:tcW w:w="3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Marriott’s Desert Springs Development Corporation</w:t>
            </w:r>
          </w:p>
        </w:tc>
      </w:tr>
      <w:tr>
        <w:trPr>
          <w:trHeight w:val="142"/>
        </w:trPr>
        <w:tc>
          <w:tcPr>
            <w:tcW w:w="30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Desert Springs I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2</w:t>
            </w:r>
          </w:p>
        </w:tc>
        <w:tc>
          <w:tcPr>
            <w:tcW w:w="146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76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Desert Springs II</w:t>
            </w:r>
          </w:p>
        </w:tc>
        <w:tc>
          <w:tcPr>
            <w:tcW w:w="1580" w:type="dxa"/>
            <w:vAlign w:val="bottom"/>
            <w:tcBorders>
              <w:bottom w:val="single" w:sz="8" w:color="auto"/>
              <w:right w:val="single" w:sz="8" w:color="auto"/>
            </w:tcBorders>
          </w:tcPr>
          <w:p>
            <w:pPr>
              <w:jc w:val="center"/>
              <w:ind w:left="21"/>
              <w:spacing w:after="0" w:line="129" w:lineRule="exact"/>
              <w:rPr>
                <w:sz w:val="20"/>
                <w:szCs w:val="20"/>
                <w:color w:val="auto"/>
              </w:rPr>
            </w:pPr>
            <w:r>
              <w:rPr>
                <w:rFonts w:ascii="Arial" w:cs="Arial" w:eastAsia="Arial" w:hAnsi="Arial"/>
                <w:sz w:val="12"/>
                <w:szCs w:val="12"/>
                <w:color w:val="auto"/>
                <w:w w:val="99"/>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w:t>
            </w:r>
          </w:p>
        </w:tc>
        <w:tc>
          <w:tcPr>
            <w:tcW w:w="14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Riverside</w:t>
            </w:r>
          </w:p>
        </w:tc>
        <w:tc>
          <w:tcPr>
            <w:tcW w:w="500" w:type="dxa"/>
            <w:vAlign w:val="bottom"/>
            <w:tcBorders>
              <w:bottom w:val="single" w:sz="8" w:color="auto"/>
              <w:right w:val="single" w:sz="8" w:color="auto"/>
            </w:tcBorders>
          </w:tcPr>
          <w:p>
            <w:pPr>
              <w:ind w:left="200"/>
              <w:spacing w:after="0" w:line="129" w:lineRule="exact"/>
              <w:rPr>
                <w:sz w:val="20"/>
                <w:szCs w:val="20"/>
                <w:color w:val="auto"/>
              </w:rPr>
            </w:pPr>
            <w:r>
              <w:rPr>
                <w:rFonts w:ascii="Arial" w:cs="Arial" w:eastAsia="Arial" w:hAnsi="Arial"/>
                <w:sz w:val="12"/>
                <w:szCs w:val="12"/>
                <w:color w:val="auto"/>
              </w:rPr>
              <w:t>CA</w:t>
            </w:r>
          </w:p>
        </w:tc>
        <w:tc>
          <w:tcPr>
            <w:tcW w:w="37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42"/>
        </w:trPr>
        <w:tc>
          <w:tcPr>
            <w:tcW w:w="30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Desert Springs II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1</w:t>
            </w:r>
          </w:p>
        </w:tc>
        <w:tc>
          <w:tcPr>
            <w:tcW w:w="146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76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Shadow Ridge</w:t>
            </w:r>
          </w:p>
        </w:tc>
        <w:tc>
          <w:tcPr>
            <w:tcW w:w="1580" w:type="dxa"/>
            <w:vAlign w:val="bottom"/>
            <w:tcBorders>
              <w:bottom w:val="single" w:sz="8" w:color="auto"/>
              <w:right w:val="single" w:sz="8" w:color="auto"/>
            </w:tcBorders>
          </w:tcPr>
          <w:p>
            <w:pPr>
              <w:jc w:val="center"/>
              <w:ind w:left="21"/>
              <w:spacing w:after="0" w:line="129" w:lineRule="exact"/>
              <w:rPr>
                <w:sz w:val="20"/>
                <w:szCs w:val="20"/>
                <w:color w:val="auto"/>
              </w:rPr>
            </w:pPr>
            <w:r>
              <w:rPr>
                <w:rFonts w:ascii="Arial" w:cs="Arial" w:eastAsia="Arial" w:hAnsi="Arial"/>
                <w:sz w:val="12"/>
                <w:szCs w:val="12"/>
                <w:color w:val="auto"/>
                <w:w w:val="99"/>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10</w:t>
            </w:r>
          </w:p>
        </w:tc>
        <w:tc>
          <w:tcPr>
            <w:tcW w:w="14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Riverside</w:t>
            </w:r>
          </w:p>
        </w:tc>
        <w:tc>
          <w:tcPr>
            <w:tcW w:w="500" w:type="dxa"/>
            <w:vAlign w:val="bottom"/>
            <w:tcBorders>
              <w:bottom w:val="single" w:sz="8" w:color="auto"/>
              <w:right w:val="single" w:sz="8" w:color="auto"/>
            </w:tcBorders>
          </w:tcPr>
          <w:p>
            <w:pPr>
              <w:ind w:left="200"/>
              <w:spacing w:after="0" w:line="129" w:lineRule="exact"/>
              <w:rPr>
                <w:sz w:val="20"/>
                <w:szCs w:val="20"/>
                <w:color w:val="auto"/>
              </w:rPr>
            </w:pPr>
            <w:r>
              <w:rPr>
                <w:rFonts w:ascii="Arial" w:cs="Arial" w:eastAsia="Arial" w:hAnsi="Arial"/>
                <w:sz w:val="12"/>
                <w:szCs w:val="12"/>
                <w:color w:val="auto"/>
              </w:rPr>
              <w:t>CA</w:t>
            </w:r>
          </w:p>
        </w:tc>
        <w:tc>
          <w:tcPr>
            <w:tcW w:w="37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17"/>
        </w:trPr>
        <w:tc>
          <w:tcPr>
            <w:tcW w:w="30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tcPr>
          <w:p>
            <w:pPr>
              <w:spacing w:after="0"/>
              <w:rPr>
                <w:sz w:val="10"/>
                <w:szCs w:val="10"/>
                <w:color w:val="auto"/>
              </w:rPr>
            </w:pPr>
          </w:p>
        </w:tc>
      </w:tr>
      <w:tr>
        <w:trPr>
          <w:trHeight w:val="160"/>
        </w:trPr>
        <w:tc>
          <w:tcPr>
            <w:tcW w:w="30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Shadow Ridge - golf course parcels</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1</w:t>
            </w: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Riverside</w:t>
            </w:r>
          </w:p>
        </w:tc>
        <w:tc>
          <w:tcPr>
            <w:tcW w:w="5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CA</w:t>
            </w:r>
          </w:p>
        </w:tc>
        <w:tc>
          <w:tcPr>
            <w:tcW w:w="3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0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Shadow Ridge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11</w:t>
            </w:r>
          </w:p>
        </w:tc>
        <w:tc>
          <w:tcPr>
            <w:tcW w:w="146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76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Shadow Ridge II</w:t>
            </w:r>
          </w:p>
        </w:tc>
        <w:tc>
          <w:tcPr>
            <w:tcW w:w="1580" w:type="dxa"/>
            <w:vAlign w:val="bottom"/>
            <w:tcBorders>
              <w:bottom w:val="single" w:sz="8" w:color="auto"/>
              <w:right w:val="single" w:sz="8" w:color="auto"/>
            </w:tcBorders>
          </w:tcPr>
          <w:p>
            <w:pPr>
              <w:jc w:val="center"/>
              <w:ind w:left="21"/>
              <w:spacing w:after="0" w:line="129" w:lineRule="exact"/>
              <w:rPr>
                <w:sz w:val="20"/>
                <w:szCs w:val="20"/>
                <w:color w:val="auto"/>
              </w:rPr>
            </w:pPr>
            <w:r>
              <w:rPr>
                <w:rFonts w:ascii="Arial" w:cs="Arial" w:eastAsia="Arial" w:hAnsi="Arial"/>
                <w:sz w:val="12"/>
                <w:szCs w:val="12"/>
                <w:color w:val="auto"/>
                <w:w w:val="99"/>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4</w:t>
            </w:r>
          </w:p>
        </w:tc>
        <w:tc>
          <w:tcPr>
            <w:tcW w:w="14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Riverside</w:t>
            </w:r>
          </w:p>
        </w:tc>
        <w:tc>
          <w:tcPr>
            <w:tcW w:w="500" w:type="dxa"/>
            <w:vAlign w:val="bottom"/>
            <w:tcBorders>
              <w:bottom w:val="single" w:sz="8" w:color="auto"/>
              <w:right w:val="single" w:sz="8" w:color="auto"/>
            </w:tcBorders>
          </w:tcPr>
          <w:p>
            <w:pPr>
              <w:ind w:left="200"/>
              <w:spacing w:after="0" w:line="129" w:lineRule="exact"/>
              <w:rPr>
                <w:sz w:val="20"/>
                <w:szCs w:val="20"/>
                <w:color w:val="auto"/>
              </w:rPr>
            </w:pPr>
            <w:r>
              <w:rPr>
                <w:rFonts w:ascii="Arial" w:cs="Arial" w:eastAsia="Arial" w:hAnsi="Arial"/>
                <w:sz w:val="12"/>
                <w:szCs w:val="12"/>
                <w:color w:val="auto"/>
              </w:rPr>
              <w:t>CA</w:t>
            </w:r>
          </w:p>
        </w:tc>
        <w:tc>
          <w:tcPr>
            <w:tcW w:w="37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42"/>
        </w:trPr>
        <w:tc>
          <w:tcPr>
            <w:tcW w:w="30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Shadow Ridge II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4</w:t>
            </w:r>
          </w:p>
        </w:tc>
        <w:tc>
          <w:tcPr>
            <w:tcW w:w="146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76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RCC San Francisco</w:t>
            </w:r>
          </w:p>
        </w:tc>
        <w:tc>
          <w:tcPr>
            <w:tcW w:w="1580" w:type="dxa"/>
            <w:vAlign w:val="bottom"/>
            <w:tcBorders>
              <w:bottom w:val="single" w:sz="8" w:color="auto"/>
              <w:right w:val="single" w:sz="8" w:color="auto"/>
            </w:tcBorders>
          </w:tcPr>
          <w:p>
            <w:pPr>
              <w:jc w:val="center"/>
              <w:ind w:left="21"/>
              <w:spacing w:after="0" w:line="129" w:lineRule="exact"/>
              <w:rPr>
                <w:sz w:val="20"/>
                <w:szCs w:val="20"/>
                <w:color w:val="auto"/>
              </w:rPr>
            </w:pPr>
            <w:r>
              <w:rPr>
                <w:rFonts w:ascii="Arial" w:cs="Arial" w:eastAsia="Arial" w:hAnsi="Arial"/>
                <w:sz w:val="12"/>
                <w:szCs w:val="12"/>
                <w:color w:val="auto"/>
                <w:w w:val="96"/>
              </w:rPr>
              <w:t>WIP</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14</w:t>
            </w:r>
          </w:p>
        </w:tc>
        <w:tc>
          <w:tcPr>
            <w:tcW w:w="14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San Francisco</w:t>
            </w:r>
          </w:p>
        </w:tc>
        <w:tc>
          <w:tcPr>
            <w:tcW w:w="500" w:type="dxa"/>
            <w:vAlign w:val="bottom"/>
            <w:tcBorders>
              <w:bottom w:val="single" w:sz="8" w:color="auto"/>
              <w:right w:val="single" w:sz="8" w:color="auto"/>
            </w:tcBorders>
          </w:tcPr>
          <w:p>
            <w:pPr>
              <w:ind w:left="200"/>
              <w:spacing w:after="0" w:line="129" w:lineRule="exact"/>
              <w:rPr>
                <w:sz w:val="20"/>
                <w:szCs w:val="20"/>
                <w:color w:val="auto"/>
              </w:rPr>
            </w:pPr>
            <w:r>
              <w:rPr>
                <w:rFonts w:ascii="Arial" w:cs="Arial" w:eastAsia="Arial" w:hAnsi="Arial"/>
                <w:sz w:val="12"/>
                <w:szCs w:val="12"/>
                <w:color w:val="auto"/>
              </w:rPr>
              <w:t>CA</w:t>
            </w:r>
          </w:p>
        </w:tc>
        <w:tc>
          <w:tcPr>
            <w:tcW w:w="37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R.C. Chronicle Building, L.P.</w:t>
            </w:r>
          </w:p>
        </w:tc>
      </w:tr>
      <w:tr>
        <w:trPr>
          <w:trHeight w:val="142"/>
        </w:trPr>
        <w:tc>
          <w:tcPr>
            <w:tcW w:w="30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RCC San Francisco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14</w:t>
            </w:r>
          </w:p>
        </w:tc>
        <w:tc>
          <w:tcPr>
            <w:tcW w:w="146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76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Vail - RCC</w:t>
            </w:r>
          </w:p>
        </w:tc>
        <w:tc>
          <w:tcPr>
            <w:tcW w:w="1580" w:type="dxa"/>
            <w:vAlign w:val="bottom"/>
            <w:tcBorders>
              <w:bottom w:val="single" w:sz="8" w:color="auto"/>
              <w:right w:val="single" w:sz="8" w:color="auto"/>
            </w:tcBorders>
          </w:tcPr>
          <w:p>
            <w:pPr>
              <w:jc w:val="center"/>
              <w:ind w:left="21"/>
              <w:spacing w:after="0" w:line="129" w:lineRule="exact"/>
              <w:rPr>
                <w:sz w:val="20"/>
                <w:szCs w:val="20"/>
                <w:color w:val="auto"/>
              </w:rPr>
            </w:pPr>
            <w:r>
              <w:rPr>
                <w:rFonts w:ascii="Arial" w:cs="Arial" w:eastAsia="Arial" w:hAnsi="Arial"/>
                <w:sz w:val="12"/>
                <w:szCs w:val="12"/>
                <w:color w:val="auto"/>
                <w:w w:val="99"/>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3</w:t>
            </w:r>
          </w:p>
        </w:tc>
        <w:tc>
          <w:tcPr>
            <w:tcW w:w="14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Eagle</w:t>
            </w:r>
          </w:p>
        </w:tc>
        <w:tc>
          <w:tcPr>
            <w:tcW w:w="500" w:type="dxa"/>
            <w:vAlign w:val="bottom"/>
            <w:tcBorders>
              <w:bottom w:val="single" w:sz="8" w:color="auto"/>
              <w:right w:val="single" w:sz="8" w:color="auto"/>
            </w:tcBorders>
          </w:tcPr>
          <w:p>
            <w:pPr>
              <w:ind w:left="200"/>
              <w:spacing w:after="0" w:line="129" w:lineRule="exact"/>
              <w:rPr>
                <w:sz w:val="20"/>
                <w:szCs w:val="20"/>
                <w:color w:val="auto"/>
              </w:rPr>
            </w:pPr>
            <w:r>
              <w:rPr>
                <w:rFonts w:ascii="Arial" w:cs="Arial" w:eastAsia="Arial" w:hAnsi="Arial"/>
                <w:sz w:val="12"/>
                <w:szCs w:val="12"/>
                <w:color w:val="auto"/>
              </w:rPr>
              <w:t>CO</w:t>
            </w:r>
          </w:p>
        </w:tc>
        <w:tc>
          <w:tcPr>
            <w:tcW w:w="37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The Ritz-Carlton Development Company, Inc.</w:t>
            </w:r>
          </w:p>
        </w:tc>
      </w:tr>
      <w:tr>
        <w:trPr>
          <w:trHeight w:val="142"/>
        </w:trPr>
        <w:tc>
          <w:tcPr>
            <w:tcW w:w="30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Vail - RCC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3</w:t>
            </w:r>
          </w:p>
        </w:tc>
        <w:tc>
          <w:tcPr>
            <w:tcW w:w="146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76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Aspen Highlands</w:t>
            </w:r>
          </w:p>
        </w:tc>
        <w:tc>
          <w:tcPr>
            <w:tcW w:w="1580" w:type="dxa"/>
            <w:vAlign w:val="bottom"/>
            <w:tcBorders>
              <w:bottom w:val="single" w:sz="8" w:color="auto"/>
              <w:right w:val="single" w:sz="8" w:color="auto"/>
            </w:tcBorders>
          </w:tcPr>
          <w:p>
            <w:pPr>
              <w:jc w:val="center"/>
              <w:ind w:left="21"/>
              <w:spacing w:after="0" w:line="129" w:lineRule="exact"/>
              <w:rPr>
                <w:sz w:val="20"/>
                <w:szCs w:val="20"/>
                <w:color w:val="auto"/>
              </w:rPr>
            </w:pPr>
            <w:r>
              <w:rPr>
                <w:rFonts w:ascii="Arial" w:cs="Arial" w:eastAsia="Arial" w:hAnsi="Arial"/>
                <w:sz w:val="12"/>
                <w:szCs w:val="12"/>
                <w:color w:val="auto"/>
                <w:w w:val="99"/>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108</w:t>
            </w:r>
          </w:p>
        </w:tc>
        <w:tc>
          <w:tcPr>
            <w:tcW w:w="14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Pitkin</w:t>
            </w:r>
          </w:p>
        </w:tc>
        <w:tc>
          <w:tcPr>
            <w:tcW w:w="500" w:type="dxa"/>
            <w:vAlign w:val="bottom"/>
            <w:tcBorders>
              <w:bottom w:val="single" w:sz="8" w:color="auto"/>
              <w:right w:val="single" w:sz="8" w:color="auto"/>
            </w:tcBorders>
          </w:tcPr>
          <w:p>
            <w:pPr>
              <w:ind w:left="200"/>
              <w:spacing w:after="0" w:line="129" w:lineRule="exact"/>
              <w:rPr>
                <w:sz w:val="20"/>
                <w:szCs w:val="20"/>
                <w:color w:val="auto"/>
              </w:rPr>
            </w:pPr>
            <w:r>
              <w:rPr>
                <w:rFonts w:ascii="Arial" w:cs="Arial" w:eastAsia="Arial" w:hAnsi="Arial"/>
                <w:sz w:val="12"/>
                <w:szCs w:val="12"/>
                <w:color w:val="auto"/>
              </w:rPr>
              <w:t>CO</w:t>
            </w:r>
          </w:p>
        </w:tc>
        <w:tc>
          <w:tcPr>
            <w:tcW w:w="37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The Ritz-Carlton Development Company, Inc.</w:t>
            </w:r>
          </w:p>
        </w:tc>
      </w:tr>
      <w:tr>
        <w:trPr>
          <w:trHeight w:val="142"/>
        </w:trPr>
        <w:tc>
          <w:tcPr>
            <w:tcW w:w="30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Aspen Highlands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108</w:t>
            </w:r>
          </w:p>
        </w:tc>
        <w:tc>
          <w:tcPr>
            <w:tcW w:w="146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76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Mountain Valley Lodge</w:t>
            </w:r>
          </w:p>
        </w:tc>
        <w:tc>
          <w:tcPr>
            <w:tcW w:w="1580" w:type="dxa"/>
            <w:vAlign w:val="bottom"/>
            <w:tcBorders>
              <w:bottom w:val="single" w:sz="8" w:color="auto"/>
              <w:right w:val="single" w:sz="8" w:color="auto"/>
            </w:tcBorders>
          </w:tcPr>
          <w:p>
            <w:pPr>
              <w:jc w:val="center"/>
              <w:ind w:left="21"/>
              <w:spacing w:after="0" w:line="129" w:lineRule="exact"/>
              <w:rPr>
                <w:sz w:val="20"/>
                <w:szCs w:val="20"/>
                <w:color w:val="auto"/>
              </w:rPr>
            </w:pPr>
            <w:r>
              <w:rPr>
                <w:rFonts w:ascii="Arial" w:cs="Arial" w:eastAsia="Arial" w:hAnsi="Arial"/>
                <w:sz w:val="12"/>
                <w:szCs w:val="12"/>
                <w:color w:val="auto"/>
                <w:w w:val="99"/>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w:t>
            </w:r>
          </w:p>
        </w:tc>
        <w:tc>
          <w:tcPr>
            <w:tcW w:w="14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Summit</w:t>
            </w:r>
          </w:p>
        </w:tc>
        <w:tc>
          <w:tcPr>
            <w:tcW w:w="500" w:type="dxa"/>
            <w:vAlign w:val="bottom"/>
            <w:tcBorders>
              <w:bottom w:val="single" w:sz="8" w:color="auto"/>
              <w:right w:val="single" w:sz="8" w:color="auto"/>
            </w:tcBorders>
          </w:tcPr>
          <w:p>
            <w:pPr>
              <w:ind w:left="200"/>
              <w:spacing w:after="0" w:line="129" w:lineRule="exact"/>
              <w:rPr>
                <w:sz w:val="20"/>
                <w:szCs w:val="20"/>
                <w:color w:val="auto"/>
              </w:rPr>
            </w:pPr>
            <w:r>
              <w:rPr>
                <w:rFonts w:ascii="Arial" w:cs="Arial" w:eastAsia="Arial" w:hAnsi="Arial"/>
                <w:sz w:val="12"/>
                <w:szCs w:val="12"/>
                <w:color w:val="auto"/>
              </w:rPr>
              <w:t>CO</w:t>
            </w:r>
          </w:p>
        </w:tc>
        <w:tc>
          <w:tcPr>
            <w:tcW w:w="37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17"/>
        </w:trPr>
        <w:tc>
          <w:tcPr>
            <w:tcW w:w="30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tcPr>
          <w:p>
            <w:pPr>
              <w:spacing w:after="0"/>
              <w:rPr>
                <w:sz w:val="10"/>
                <w:szCs w:val="10"/>
                <w:color w:val="auto"/>
              </w:rPr>
            </w:pPr>
          </w:p>
        </w:tc>
      </w:tr>
      <w:tr>
        <w:trPr>
          <w:trHeight w:val="160"/>
        </w:trPr>
        <w:tc>
          <w:tcPr>
            <w:tcW w:w="30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Mountain Valley Lodge - Commercial</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5</w:t>
            </w: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Summit</w:t>
            </w:r>
          </w:p>
        </w:tc>
        <w:tc>
          <w:tcPr>
            <w:tcW w:w="5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CO</w:t>
            </w:r>
          </w:p>
        </w:tc>
        <w:tc>
          <w:tcPr>
            <w:tcW w:w="3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0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Mountain Valley Lodge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6</w:t>
            </w:r>
          </w:p>
        </w:tc>
        <w:tc>
          <w:tcPr>
            <w:tcW w:w="146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76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223"/>
        </w:trPr>
        <w:tc>
          <w:tcPr>
            <w:tcW w:w="30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Birch at Streamside</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legacy inventory</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1</w:t>
            </w: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Eagle</w:t>
            </w:r>
          </w:p>
        </w:tc>
        <w:tc>
          <w:tcPr>
            <w:tcW w:w="5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CO</w:t>
            </w:r>
          </w:p>
        </w:tc>
        <w:tc>
          <w:tcPr>
            <w:tcW w:w="3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0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Birch at Streamside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1</w:t>
            </w:r>
          </w:p>
        </w:tc>
        <w:tc>
          <w:tcPr>
            <w:tcW w:w="146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76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223"/>
        </w:trPr>
        <w:tc>
          <w:tcPr>
            <w:tcW w:w="30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Douglas at Streamside</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legacy inventory</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1</w:t>
            </w: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Eagle</w:t>
            </w:r>
          </w:p>
        </w:tc>
        <w:tc>
          <w:tcPr>
            <w:tcW w:w="5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CO</w:t>
            </w:r>
          </w:p>
        </w:tc>
        <w:tc>
          <w:tcPr>
            <w:tcW w:w="3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17"/>
        </w:trPr>
        <w:tc>
          <w:tcPr>
            <w:tcW w:w="30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tcPr>
          <w:p>
            <w:pPr>
              <w:spacing w:after="0"/>
              <w:rPr>
                <w:sz w:val="10"/>
                <w:szCs w:val="10"/>
                <w:color w:val="auto"/>
              </w:rPr>
            </w:pPr>
          </w:p>
        </w:tc>
      </w:tr>
      <w:tr>
        <w:trPr>
          <w:trHeight w:val="160"/>
        </w:trPr>
        <w:tc>
          <w:tcPr>
            <w:tcW w:w="30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Douglas at Streamside - Commercial Units</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5</w:t>
            </w: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Eagle</w:t>
            </w:r>
          </w:p>
        </w:tc>
        <w:tc>
          <w:tcPr>
            <w:tcW w:w="5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CO</w:t>
            </w:r>
          </w:p>
        </w:tc>
        <w:tc>
          <w:tcPr>
            <w:tcW w:w="3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0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Douglas at Streamside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6</w:t>
            </w:r>
          </w:p>
        </w:tc>
        <w:tc>
          <w:tcPr>
            <w:tcW w:w="146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76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223"/>
        </w:trPr>
        <w:tc>
          <w:tcPr>
            <w:tcW w:w="30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Evergreen at Streamside</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legacy inventory</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1</w:t>
            </w: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Eagle</w:t>
            </w:r>
          </w:p>
        </w:tc>
        <w:tc>
          <w:tcPr>
            <w:tcW w:w="5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CO</w:t>
            </w:r>
          </w:p>
        </w:tc>
        <w:tc>
          <w:tcPr>
            <w:tcW w:w="3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0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Evergreen at Streamside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1</w:t>
            </w:r>
          </w:p>
        </w:tc>
        <w:tc>
          <w:tcPr>
            <w:tcW w:w="146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76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Legends Edge</w:t>
            </w:r>
          </w:p>
        </w:tc>
        <w:tc>
          <w:tcPr>
            <w:tcW w:w="1580" w:type="dxa"/>
            <w:vAlign w:val="bottom"/>
            <w:tcBorders>
              <w:bottom w:val="single" w:sz="8" w:color="auto"/>
              <w:right w:val="single" w:sz="8" w:color="auto"/>
            </w:tcBorders>
          </w:tcPr>
          <w:p>
            <w:pPr>
              <w:jc w:val="center"/>
              <w:ind w:left="21"/>
              <w:spacing w:after="0" w:line="129" w:lineRule="exact"/>
              <w:rPr>
                <w:sz w:val="20"/>
                <w:szCs w:val="20"/>
                <w:color w:val="auto"/>
              </w:rPr>
            </w:pPr>
            <w:r>
              <w:rPr>
                <w:rFonts w:ascii="Arial" w:cs="Arial" w:eastAsia="Arial" w:hAnsi="Arial"/>
                <w:sz w:val="12"/>
                <w:szCs w:val="12"/>
                <w:color w:val="auto"/>
                <w:w w:val="99"/>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5</w:t>
            </w:r>
          </w:p>
        </w:tc>
        <w:tc>
          <w:tcPr>
            <w:tcW w:w="14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Bay</w:t>
            </w:r>
          </w:p>
        </w:tc>
        <w:tc>
          <w:tcPr>
            <w:tcW w:w="50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FL</w:t>
            </w:r>
          </w:p>
        </w:tc>
        <w:tc>
          <w:tcPr>
            <w:tcW w:w="37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17"/>
        </w:trPr>
        <w:tc>
          <w:tcPr>
            <w:tcW w:w="30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tcPr>
          <w:p>
            <w:pPr>
              <w:spacing w:after="0"/>
              <w:rPr>
                <w:sz w:val="10"/>
                <w:szCs w:val="10"/>
                <w:color w:val="auto"/>
              </w:rPr>
            </w:pPr>
          </w:p>
        </w:tc>
      </w:tr>
      <w:tr>
        <w:trPr>
          <w:trHeight w:val="160"/>
        </w:trPr>
        <w:tc>
          <w:tcPr>
            <w:tcW w:w="30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Legends Edge - Commercial Units</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2</w:t>
            </w: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Bay</w:t>
            </w:r>
          </w:p>
        </w:tc>
        <w:tc>
          <w:tcPr>
            <w:tcW w:w="5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FL</w:t>
            </w:r>
          </w:p>
        </w:tc>
        <w:tc>
          <w:tcPr>
            <w:tcW w:w="3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0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Legends Edge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7</w:t>
            </w:r>
          </w:p>
        </w:tc>
        <w:tc>
          <w:tcPr>
            <w:tcW w:w="146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76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17"/>
        </w:trPr>
        <w:tc>
          <w:tcPr>
            <w:tcW w:w="30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tcPr>
          <w:p>
            <w:pPr>
              <w:spacing w:after="0"/>
              <w:rPr>
                <w:sz w:val="10"/>
                <w:szCs w:val="10"/>
                <w:color w:val="auto"/>
              </w:rPr>
            </w:pPr>
          </w:p>
        </w:tc>
      </w:tr>
      <w:tr>
        <w:trPr>
          <w:trHeight w:val="160"/>
        </w:trPr>
        <w:tc>
          <w:tcPr>
            <w:tcW w:w="30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Lakeland Parking Area &amp; Office Space</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4</w:t>
            </w: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Polk</w:t>
            </w:r>
          </w:p>
        </w:tc>
        <w:tc>
          <w:tcPr>
            <w:tcW w:w="5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FL</w:t>
            </w:r>
          </w:p>
        </w:tc>
        <w:tc>
          <w:tcPr>
            <w:tcW w:w="3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0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Lakeland Other Property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4</w:t>
            </w:r>
          </w:p>
        </w:tc>
        <w:tc>
          <w:tcPr>
            <w:tcW w:w="146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76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Beach Place</w:t>
            </w:r>
          </w:p>
        </w:tc>
        <w:tc>
          <w:tcPr>
            <w:tcW w:w="1580" w:type="dxa"/>
            <w:vAlign w:val="bottom"/>
            <w:tcBorders>
              <w:bottom w:val="single" w:sz="8" w:color="auto"/>
              <w:right w:val="single" w:sz="8" w:color="auto"/>
            </w:tcBorders>
          </w:tcPr>
          <w:p>
            <w:pPr>
              <w:jc w:val="center"/>
              <w:ind w:left="21"/>
              <w:spacing w:after="0" w:line="129" w:lineRule="exact"/>
              <w:rPr>
                <w:sz w:val="20"/>
                <w:szCs w:val="20"/>
                <w:color w:val="auto"/>
              </w:rPr>
            </w:pPr>
            <w:r>
              <w:rPr>
                <w:rFonts w:ascii="Arial" w:cs="Arial" w:eastAsia="Arial" w:hAnsi="Arial"/>
                <w:sz w:val="12"/>
                <w:szCs w:val="12"/>
                <w:color w:val="auto"/>
                <w:w w:val="99"/>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4</w:t>
            </w:r>
          </w:p>
        </w:tc>
        <w:tc>
          <w:tcPr>
            <w:tcW w:w="14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Broward</w:t>
            </w:r>
          </w:p>
        </w:tc>
        <w:tc>
          <w:tcPr>
            <w:tcW w:w="50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FL</w:t>
            </w:r>
          </w:p>
        </w:tc>
        <w:tc>
          <w:tcPr>
            <w:tcW w:w="37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17"/>
        </w:trPr>
        <w:tc>
          <w:tcPr>
            <w:tcW w:w="30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tcPr>
          <w:p>
            <w:pPr>
              <w:spacing w:after="0"/>
              <w:rPr>
                <w:sz w:val="10"/>
                <w:szCs w:val="10"/>
                <w:color w:val="auto"/>
              </w:rPr>
            </w:pPr>
          </w:p>
        </w:tc>
      </w:tr>
      <w:tr>
        <w:trPr>
          <w:trHeight w:val="160"/>
        </w:trPr>
        <w:tc>
          <w:tcPr>
            <w:tcW w:w="30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Beach Place - Commercial Units</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5</w:t>
            </w: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Broward</w:t>
            </w:r>
          </w:p>
        </w:tc>
        <w:tc>
          <w:tcPr>
            <w:tcW w:w="5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FL</w:t>
            </w:r>
          </w:p>
        </w:tc>
        <w:tc>
          <w:tcPr>
            <w:tcW w:w="3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0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Beach Place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9</w:t>
            </w:r>
          </w:p>
        </w:tc>
        <w:tc>
          <w:tcPr>
            <w:tcW w:w="146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76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Crystal Shores</w:t>
            </w:r>
          </w:p>
        </w:tc>
        <w:tc>
          <w:tcPr>
            <w:tcW w:w="1580" w:type="dxa"/>
            <w:vAlign w:val="bottom"/>
            <w:tcBorders>
              <w:bottom w:val="single" w:sz="8" w:color="auto"/>
              <w:right w:val="single" w:sz="8" w:color="auto"/>
            </w:tcBorders>
          </w:tcPr>
          <w:p>
            <w:pPr>
              <w:jc w:val="center"/>
              <w:ind w:left="21"/>
              <w:spacing w:after="0" w:line="129" w:lineRule="exact"/>
              <w:rPr>
                <w:sz w:val="20"/>
                <w:szCs w:val="20"/>
                <w:color w:val="auto"/>
              </w:rPr>
            </w:pPr>
            <w:r>
              <w:rPr>
                <w:rFonts w:ascii="Arial" w:cs="Arial" w:eastAsia="Arial" w:hAnsi="Arial"/>
                <w:sz w:val="12"/>
                <w:szCs w:val="12"/>
                <w:color w:val="auto"/>
                <w:w w:val="99"/>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34</w:t>
            </w:r>
          </w:p>
        </w:tc>
        <w:tc>
          <w:tcPr>
            <w:tcW w:w="14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Collier</w:t>
            </w:r>
          </w:p>
        </w:tc>
        <w:tc>
          <w:tcPr>
            <w:tcW w:w="50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FL</w:t>
            </w:r>
          </w:p>
        </w:tc>
        <w:tc>
          <w:tcPr>
            <w:tcW w:w="37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17"/>
        </w:trPr>
        <w:tc>
          <w:tcPr>
            <w:tcW w:w="30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tcPr>
          <w:p>
            <w:pPr>
              <w:spacing w:after="0"/>
              <w:rPr>
                <w:sz w:val="10"/>
                <w:szCs w:val="10"/>
                <w:color w:val="auto"/>
              </w:rPr>
            </w:pPr>
          </w:p>
        </w:tc>
      </w:tr>
      <w:tr>
        <w:trPr>
          <w:trHeight w:val="160"/>
        </w:trPr>
        <w:tc>
          <w:tcPr>
            <w:tcW w:w="30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Crystal Shores - Commercial Units</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2</w:t>
            </w: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Collier</w:t>
            </w:r>
          </w:p>
        </w:tc>
        <w:tc>
          <w:tcPr>
            <w:tcW w:w="5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FL</w:t>
            </w:r>
          </w:p>
        </w:tc>
        <w:tc>
          <w:tcPr>
            <w:tcW w:w="3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29"/>
        </w:trPr>
        <w:tc>
          <w:tcPr>
            <w:tcW w:w="30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Crystal Shores - Admin Space</w:t>
            </w:r>
          </w:p>
        </w:tc>
        <w:tc>
          <w:tcPr>
            <w:tcW w:w="1580" w:type="dxa"/>
            <w:vAlign w:val="bottom"/>
            <w:tcBorders>
              <w:bottom w:val="single" w:sz="8" w:color="auto"/>
              <w:right w:val="single" w:sz="8" w:color="auto"/>
            </w:tcBorders>
          </w:tcPr>
          <w:p>
            <w:pPr>
              <w:jc w:val="center"/>
              <w:ind w:left="21"/>
              <w:spacing w:after="0" w:line="129" w:lineRule="exact"/>
              <w:rPr>
                <w:sz w:val="20"/>
                <w:szCs w:val="20"/>
                <w:color w:val="auto"/>
              </w:rPr>
            </w:pPr>
            <w:r>
              <w:rPr>
                <w:rFonts w:ascii="Arial" w:cs="Arial" w:eastAsia="Arial" w:hAnsi="Arial"/>
                <w:sz w:val="12"/>
                <w:szCs w:val="12"/>
                <w:color w:val="auto"/>
                <w:w w:val="96"/>
              </w:rPr>
              <w:t>admin space</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104</w:t>
            </w:r>
          </w:p>
        </w:tc>
        <w:tc>
          <w:tcPr>
            <w:tcW w:w="14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Collier</w:t>
            </w:r>
          </w:p>
        </w:tc>
        <w:tc>
          <w:tcPr>
            <w:tcW w:w="50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FL</w:t>
            </w:r>
          </w:p>
        </w:tc>
        <w:tc>
          <w:tcPr>
            <w:tcW w:w="37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42"/>
        </w:trPr>
        <w:tc>
          <w:tcPr>
            <w:tcW w:w="30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Crystal Shores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140</w:t>
            </w:r>
          </w:p>
        </w:tc>
        <w:tc>
          <w:tcPr>
            <w:tcW w:w="146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76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Villas at Doral</w:t>
            </w:r>
          </w:p>
        </w:tc>
        <w:tc>
          <w:tcPr>
            <w:tcW w:w="1580" w:type="dxa"/>
            <w:vAlign w:val="bottom"/>
            <w:tcBorders>
              <w:bottom w:val="single" w:sz="8" w:color="auto"/>
              <w:right w:val="single" w:sz="8" w:color="auto"/>
            </w:tcBorders>
          </w:tcPr>
          <w:p>
            <w:pPr>
              <w:jc w:val="center"/>
              <w:ind w:left="21"/>
              <w:spacing w:after="0" w:line="129" w:lineRule="exact"/>
              <w:rPr>
                <w:sz w:val="20"/>
                <w:szCs w:val="20"/>
                <w:color w:val="auto"/>
              </w:rPr>
            </w:pPr>
            <w:r>
              <w:rPr>
                <w:rFonts w:ascii="Arial" w:cs="Arial" w:eastAsia="Arial" w:hAnsi="Arial"/>
                <w:sz w:val="12"/>
                <w:szCs w:val="12"/>
                <w:color w:val="auto"/>
                <w:w w:val="99"/>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5</w:t>
            </w:r>
          </w:p>
        </w:tc>
        <w:tc>
          <w:tcPr>
            <w:tcW w:w="14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Miami-Dade</w:t>
            </w:r>
          </w:p>
        </w:tc>
        <w:tc>
          <w:tcPr>
            <w:tcW w:w="50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FL</w:t>
            </w:r>
          </w:p>
        </w:tc>
        <w:tc>
          <w:tcPr>
            <w:tcW w:w="376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42"/>
        </w:trPr>
        <w:tc>
          <w:tcPr>
            <w:tcW w:w="30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Villas at Doral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5</w:t>
            </w:r>
          </w:p>
        </w:tc>
        <w:tc>
          <w:tcPr>
            <w:tcW w:w="146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760" w:type="dxa"/>
            <w:vAlign w:val="bottom"/>
            <w:tcBorders>
              <w:bottom w:val="single" w:sz="8" w:color="auto"/>
              <w:right w:val="single" w:sz="8" w:color="auto"/>
            </w:tcBorders>
            <w:shd w:val="clear" w:color="auto" w:fill="BFBFBF"/>
          </w:tcPr>
          <w:p>
            <w:pPr>
              <w:spacing w:after="0"/>
              <w:rPr>
                <w:sz w:val="12"/>
                <w:szCs w:val="12"/>
                <w:color w:val="auto"/>
              </w:rPr>
            </w:pPr>
          </w:p>
        </w:tc>
      </w:tr>
    </w:tbl>
    <w:p>
      <w:pPr>
        <w:sectPr>
          <w:pgSz w:w="11900" w:h="16838" w:orient="portrait"/>
          <w:cols w:equalWidth="0" w:num="1">
            <w:col w:w="11440"/>
          </w:cols>
          <w:pgMar w:left="240" w:top="267" w:right="219" w:bottom="1440" w:gutter="0" w:footer="0" w:header="0"/>
        </w:sectPr>
      </w:pPr>
    </w:p>
    <w:bookmarkStart w:id="205" w:name="page206"/>
    <w:bookmarkEnd w:id="205"/>
    <w:p>
      <w:pPr>
        <w:jc w:val="center"/>
        <w:ind w:righ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1.1C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Mortgaged Property</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403"/>
        </w:trPr>
        <w:tc>
          <w:tcPr>
            <w:tcW w:w="3120" w:type="dxa"/>
            <w:vAlign w:val="bottom"/>
            <w:tcBorders>
              <w:top w:val="single" w:sz="8" w:color="auto"/>
              <w:left w:val="single" w:sz="8" w:color="auto"/>
              <w:right w:val="single" w:sz="8" w:color="auto"/>
            </w:tcBorders>
            <w:shd w:val="clear" w:color="auto" w:fill="A5A5A5"/>
          </w:tcPr>
          <w:p>
            <w:pPr>
              <w:spacing w:after="0"/>
              <w:rPr>
                <w:sz w:val="24"/>
                <w:szCs w:val="24"/>
                <w:color w:val="auto"/>
              </w:rPr>
            </w:pPr>
          </w:p>
        </w:tc>
        <w:tc>
          <w:tcPr>
            <w:tcW w:w="1580" w:type="dxa"/>
            <w:vAlign w:val="bottom"/>
            <w:tcBorders>
              <w:top w:val="single" w:sz="8" w:color="auto"/>
              <w:right w:val="single" w:sz="8" w:color="auto"/>
            </w:tcBorders>
            <w:shd w:val="clear" w:color="auto" w:fill="A5A5A5"/>
          </w:tcPr>
          <w:p>
            <w:pPr>
              <w:spacing w:after="0"/>
              <w:rPr>
                <w:sz w:val="24"/>
                <w:szCs w:val="24"/>
                <w:color w:val="auto"/>
              </w:rPr>
            </w:pPr>
          </w:p>
        </w:tc>
        <w:tc>
          <w:tcPr>
            <w:tcW w:w="1120" w:type="dxa"/>
            <w:vAlign w:val="bottom"/>
            <w:tcBorders>
              <w:top w:val="single" w:sz="8" w:color="auto"/>
              <w:right w:val="single" w:sz="8" w:color="auto"/>
            </w:tcBorders>
            <w:shd w:val="clear" w:color="auto" w:fill="A5A5A5"/>
          </w:tcPr>
          <w:p>
            <w:pPr>
              <w:jc w:val="right"/>
              <w:ind w:right="41"/>
              <w:spacing w:after="0"/>
              <w:rPr>
                <w:sz w:val="20"/>
                <w:szCs w:val="20"/>
                <w:color w:val="auto"/>
              </w:rPr>
            </w:pPr>
            <w:r>
              <w:rPr>
                <w:rFonts w:ascii="Arial" w:cs="Arial" w:eastAsia="Arial" w:hAnsi="Arial"/>
                <w:sz w:val="14"/>
                <w:szCs w:val="14"/>
                <w:b w:val="1"/>
                <w:bCs w:val="1"/>
                <w:color w:val="auto"/>
              </w:rPr>
              <w:t># of Weeks or</w:t>
            </w:r>
          </w:p>
        </w:tc>
        <w:tc>
          <w:tcPr>
            <w:tcW w:w="1480" w:type="dxa"/>
            <w:vAlign w:val="bottom"/>
            <w:tcBorders>
              <w:top w:val="single" w:sz="8" w:color="auto"/>
              <w:right w:val="single" w:sz="8" w:color="auto"/>
            </w:tcBorders>
            <w:shd w:val="clear" w:color="auto" w:fill="A5A5A5"/>
          </w:tcPr>
          <w:p>
            <w:pPr>
              <w:spacing w:after="0"/>
              <w:rPr>
                <w:sz w:val="24"/>
                <w:szCs w:val="24"/>
                <w:color w:val="auto"/>
              </w:rPr>
            </w:pPr>
          </w:p>
        </w:tc>
        <w:tc>
          <w:tcPr>
            <w:tcW w:w="500" w:type="dxa"/>
            <w:vAlign w:val="bottom"/>
            <w:tcBorders>
              <w:top w:val="single" w:sz="8" w:color="auto"/>
              <w:right w:val="single" w:sz="8" w:color="auto"/>
            </w:tcBorders>
            <w:shd w:val="clear" w:color="auto" w:fill="A5A5A5"/>
          </w:tcPr>
          <w:p>
            <w:pPr>
              <w:spacing w:after="0"/>
              <w:rPr>
                <w:sz w:val="24"/>
                <w:szCs w:val="24"/>
                <w:color w:val="auto"/>
              </w:rPr>
            </w:pPr>
          </w:p>
        </w:tc>
        <w:tc>
          <w:tcPr>
            <w:tcW w:w="3640" w:type="dxa"/>
            <w:vAlign w:val="bottom"/>
            <w:tcBorders>
              <w:top w:val="single" w:sz="8" w:color="auto"/>
              <w:right w:val="single" w:sz="8" w:color="auto"/>
            </w:tcBorders>
            <w:shd w:val="clear" w:color="auto" w:fill="A5A5A5"/>
          </w:tcPr>
          <w:p>
            <w:pPr>
              <w:spacing w:after="0"/>
              <w:rPr>
                <w:sz w:val="24"/>
                <w:szCs w:val="24"/>
                <w:color w:val="auto"/>
              </w:rPr>
            </w:pPr>
          </w:p>
        </w:tc>
      </w:tr>
      <w:tr>
        <w:trPr>
          <w:trHeight w:val="191"/>
        </w:trPr>
        <w:tc>
          <w:tcPr>
            <w:tcW w:w="3120" w:type="dxa"/>
            <w:vAlign w:val="bottom"/>
            <w:tcBorders>
              <w:left w:val="single" w:sz="8" w:color="auto"/>
              <w:bottom w:val="single" w:sz="8" w:color="auto"/>
              <w:right w:val="single" w:sz="8" w:color="auto"/>
            </w:tcBorders>
            <w:shd w:val="clear" w:color="auto" w:fill="A5A5A5"/>
          </w:tcPr>
          <w:p>
            <w:pPr>
              <w:ind w:left="1340"/>
              <w:spacing w:after="0"/>
              <w:rPr>
                <w:sz w:val="20"/>
                <w:szCs w:val="20"/>
                <w:color w:val="auto"/>
              </w:rPr>
            </w:pPr>
            <w:r>
              <w:rPr>
                <w:rFonts w:ascii="Arial" w:cs="Arial" w:eastAsia="Arial" w:hAnsi="Arial"/>
                <w:sz w:val="14"/>
                <w:szCs w:val="14"/>
                <w:b w:val="1"/>
                <w:bCs w:val="1"/>
                <w:color w:val="auto"/>
              </w:rPr>
              <w:t>Project</w:t>
            </w:r>
          </w:p>
        </w:tc>
        <w:tc>
          <w:tcPr>
            <w:tcW w:w="1580" w:type="dxa"/>
            <w:vAlign w:val="bottom"/>
            <w:tcBorders>
              <w:bottom w:val="single" w:sz="8" w:color="auto"/>
              <w:right w:val="single" w:sz="8" w:color="auto"/>
            </w:tcBorders>
            <w:shd w:val="clear" w:color="auto" w:fill="A5A5A5"/>
          </w:tcPr>
          <w:p>
            <w:pPr>
              <w:jc w:val="center"/>
              <w:ind w:left="1"/>
              <w:spacing w:after="0"/>
              <w:rPr>
                <w:sz w:val="20"/>
                <w:szCs w:val="20"/>
                <w:color w:val="auto"/>
              </w:rPr>
            </w:pPr>
            <w:r>
              <w:rPr>
                <w:rFonts w:ascii="Arial" w:cs="Arial" w:eastAsia="Arial" w:hAnsi="Arial"/>
                <w:sz w:val="14"/>
                <w:szCs w:val="14"/>
                <w:b w:val="1"/>
                <w:bCs w:val="1"/>
                <w:color w:val="auto"/>
              </w:rPr>
              <w:t>Description</w:t>
            </w:r>
          </w:p>
        </w:tc>
        <w:tc>
          <w:tcPr>
            <w:tcW w:w="1120" w:type="dxa"/>
            <w:vAlign w:val="bottom"/>
            <w:tcBorders>
              <w:bottom w:val="single" w:sz="8" w:color="auto"/>
              <w:right w:val="single" w:sz="8" w:color="auto"/>
            </w:tcBorders>
            <w:shd w:val="clear" w:color="auto" w:fill="A5A5A5"/>
          </w:tcPr>
          <w:p>
            <w:pPr>
              <w:jc w:val="right"/>
              <w:ind w:right="201"/>
              <w:spacing w:after="0"/>
              <w:rPr>
                <w:sz w:val="20"/>
                <w:szCs w:val="20"/>
                <w:color w:val="auto"/>
              </w:rPr>
            </w:pPr>
            <w:r>
              <w:rPr>
                <w:rFonts w:ascii="Arial" w:cs="Arial" w:eastAsia="Arial" w:hAnsi="Arial"/>
                <w:sz w:val="14"/>
                <w:szCs w:val="14"/>
                <w:b w:val="1"/>
                <w:bCs w:val="1"/>
                <w:color w:val="auto"/>
              </w:rPr>
              <w:t>Interests</w:t>
            </w:r>
          </w:p>
        </w:tc>
        <w:tc>
          <w:tcPr>
            <w:tcW w:w="1480" w:type="dxa"/>
            <w:vAlign w:val="bottom"/>
            <w:tcBorders>
              <w:bottom w:val="single" w:sz="8" w:color="auto"/>
              <w:right w:val="single" w:sz="8" w:color="auto"/>
            </w:tcBorders>
            <w:shd w:val="clear" w:color="auto" w:fill="A5A5A5"/>
          </w:tcPr>
          <w:p>
            <w:pPr>
              <w:ind w:left="520"/>
              <w:spacing w:after="0"/>
              <w:rPr>
                <w:sz w:val="20"/>
                <w:szCs w:val="20"/>
                <w:color w:val="auto"/>
              </w:rPr>
            </w:pPr>
            <w:r>
              <w:rPr>
                <w:rFonts w:ascii="Arial" w:cs="Arial" w:eastAsia="Arial" w:hAnsi="Arial"/>
                <w:sz w:val="14"/>
                <w:szCs w:val="14"/>
                <w:b w:val="1"/>
                <w:bCs w:val="1"/>
                <w:color w:val="auto"/>
              </w:rPr>
              <w:t>County</w:t>
            </w:r>
          </w:p>
        </w:tc>
        <w:tc>
          <w:tcPr>
            <w:tcW w:w="500" w:type="dxa"/>
            <w:vAlign w:val="bottom"/>
            <w:tcBorders>
              <w:bottom w:val="single" w:sz="8" w:color="auto"/>
              <w:right w:val="single" w:sz="8" w:color="auto"/>
            </w:tcBorders>
            <w:shd w:val="clear" w:color="auto" w:fill="A5A5A5"/>
          </w:tcPr>
          <w:p>
            <w:pPr>
              <w:ind w:left="80"/>
              <w:spacing w:after="0"/>
              <w:rPr>
                <w:sz w:val="20"/>
                <w:szCs w:val="20"/>
                <w:color w:val="auto"/>
              </w:rPr>
            </w:pPr>
            <w:r>
              <w:rPr>
                <w:rFonts w:ascii="Arial" w:cs="Arial" w:eastAsia="Arial" w:hAnsi="Arial"/>
                <w:sz w:val="14"/>
                <w:szCs w:val="14"/>
                <w:b w:val="1"/>
                <w:bCs w:val="1"/>
                <w:color w:val="auto"/>
              </w:rPr>
              <w:t>State</w:t>
            </w:r>
          </w:p>
        </w:tc>
        <w:tc>
          <w:tcPr>
            <w:tcW w:w="3640" w:type="dxa"/>
            <w:vAlign w:val="bottom"/>
            <w:tcBorders>
              <w:bottom w:val="single" w:sz="8" w:color="auto"/>
              <w:right w:val="single" w:sz="8" w:color="auto"/>
            </w:tcBorders>
            <w:shd w:val="clear" w:color="auto" w:fill="A5A5A5"/>
          </w:tcPr>
          <w:p>
            <w:pPr>
              <w:ind w:left="1300"/>
              <w:spacing w:after="0"/>
              <w:rPr>
                <w:sz w:val="20"/>
                <w:szCs w:val="20"/>
                <w:color w:val="auto"/>
              </w:rPr>
            </w:pPr>
            <w:r>
              <w:rPr>
                <w:rFonts w:ascii="Arial" w:cs="Arial" w:eastAsia="Arial" w:hAnsi="Arial"/>
                <w:sz w:val="14"/>
                <w:szCs w:val="14"/>
                <w:b w:val="1"/>
                <w:bCs w:val="1"/>
                <w:color w:val="auto"/>
              </w:rPr>
              <w:t>Owning Entity</w:t>
            </w:r>
          </w:p>
        </w:tc>
      </w:tr>
      <w:tr>
        <w:trPr>
          <w:trHeight w:val="129"/>
        </w:trPr>
        <w:tc>
          <w:tcPr>
            <w:tcW w:w="31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Cypress Harbour</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12</w:t>
            </w:r>
          </w:p>
        </w:tc>
        <w:tc>
          <w:tcPr>
            <w:tcW w:w="148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Orange</w:t>
            </w:r>
          </w:p>
        </w:tc>
        <w:tc>
          <w:tcPr>
            <w:tcW w:w="50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FL</w:t>
            </w:r>
          </w:p>
        </w:tc>
        <w:tc>
          <w:tcPr>
            <w:tcW w:w="364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17"/>
        </w:trPr>
        <w:tc>
          <w:tcPr>
            <w:tcW w:w="31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640" w:type="dxa"/>
            <w:vAlign w:val="bottom"/>
            <w:tcBorders>
              <w:right w:val="single" w:sz="8" w:color="auto"/>
            </w:tcBorders>
          </w:tcPr>
          <w:p>
            <w:pPr>
              <w:spacing w:after="0"/>
              <w:rPr>
                <w:sz w:val="10"/>
                <w:szCs w:val="10"/>
                <w:color w:val="auto"/>
              </w:rPr>
            </w:pPr>
          </w:p>
        </w:tc>
      </w:tr>
      <w:tr>
        <w:trPr>
          <w:trHeight w:val="160"/>
        </w:trPr>
        <w:tc>
          <w:tcPr>
            <w:tcW w:w="3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Cypress Harbour - TEC Building</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1</w:t>
            </w: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Orange</w:t>
            </w:r>
          </w:p>
        </w:tc>
        <w:tc>
          <w:tcPr>
            <w:tcW w:w="5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FL</w:t>
            </w:r>
          </w:p>
        </w:tc>
        <w:tc>
          <w:tcPr>
            <w:tcW w:w="3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1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Cypress Harbour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13</w:t>
            </w:r>
          </w:p>
        </w:tc>
        <w:tc>
          <w:tcPr>
            <w:tcW w:w="148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6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1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Grande Vista</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21</w:t>
            </w:r>
          </w:p>
        </w:tc>
        <w:tc>
          <w:tcPr>
            <w:tcW w:w="148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Orange</w:t>
            </w:r>
          </w:p>
        </w:tc>
        <w:tc>
          <w:tcPr>
            <w:tcW w:w="50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FL</w:t>
            </w:r>
          </w:p>
        </w:tc>
        <w:tc>
          <w:tcPr>
            <w:tcW w:w="364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17"/>
        </w:trPr>
        <w:tc>
          <w:tcPr>
            <w:tcW w:w="31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640" w:type="dxa"/>
            <w:vAlign w:val="bottom"/>
            <w:tcBorders>
              <w:right w:val="single" w:sz="8" w:color="auto"/>
            </w:tcBorders>
          </w:tcPr>
          <w:p>
            <w:pPr>
              <w:spacing w:after="0"/>
              <w:rPr>
                <w:sz w:val="10"/>
                <w:szCs w:val="10"/>
                <w:color w:val="auto"/>
              </w:rPr>
            </w:pPr>
          </w:p>
        </w:tc>
      </w:tr>
      <w:tr>
        <w:trPr>
          <w:trHeight w:val="160"/>
        </w:trPr>
        <w:tc>
          <w:tcPr>
            <w:tcW w:w="3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Grande Vista - Commercial Units</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12</w:t>
            </w: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Orange</w:t>
            </w:r>
          </w:p>
        </w:tc>
        <w:tc>
          <w:tcPr>
            <w:tcW w:w="5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FL</w:t>
            </w:r>
          </w:p>
        </w:tc>
        <w:tc>
          <w:tcPr>
            <w:tcW w:w="3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17"/>
        </w:trPr>
        <w:tc>
          <w:tcPr>
            <w:tcW w:w="31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640" w:type="dxa"/>
            <w:vAlign w:val="bottom"/>
            <w:tcBorders>
              <w:right w:val="single" w:sz="8" w:color="auto"/>
            </w:tcBorders>
          </w:tcPr>
          <w:p>
            <w:pPr>
              <w:spacing w:after="0"/>
              <w:rPr>
                <w:sz w:val="10"/>
                <w:szCs w:val="10"/>
                <w:color w:val="auto"/>
              </w:rPr>
            </w:pPr>
          </w:p>
        </w:tc>
      </w:tr>
      <w:tr>
        <w:trPr>
          <w:trHeight w:val="160"/>
        </w:trPr>
        <w:tc>
          <w:tcPr>
            <w:tcW w:w="3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Grande Vista - Faldo Golf Course</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1</w:t>
            </w: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Orange</w:t>
            </w:r>
          </w:p>
        </w:tc>
        <w:tc>
          <w:tcPr>
            <w:tcW w:w="5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FL</w:t>
            </w:r>
          </w:p>
        </w:tc>
        <w:tc>
          <w:tcPr>
            <w:tcW w:w="3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17"/>
        </w:trPr>
        <w:tc>
          <w:tcPr>
            <w:tcW w:w="31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640" w:type="dxa"/>
            <w:vAlign w:val="bottom"/>
            <w:tcBorders>
              <w:right w:val="single" w:sz="8" w:color="auto"/>
            </w:tcBorders>
          </w:tcPr>
          <w:p>
            <w:pPr>
              <w:spacing w:after="0"/>
              <w:rPr>
                <w:sz w:val="10"/>
                <w:szCs w:val="10"/>
                <w:color w:val="auto"/>
              </w:rPr>
            </w:pPr>
          </w:p>
        </w:tc>
      </w:tr>
      <w:tr>
        <w:trPr>
          <w:trHeight w:val="160"/>
        </w:trPr>
        <w:tc>
          <w:tcPr>
            <w:tcW w:w="3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Grande Vista - Sales Center</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1</w:t>
            </w: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Orange</w:t>
            </w:r>
          </w:p>
        </w:tc>
        <w:tc>
          <w:tcPr>
            <w:tcW w:w="5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FL</w:t>
            </w:r>
          </w:p>
        </w:tc>
        <w:tc>
          <w:tcPr>
            <w:tcW w:w="3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17"/>
        </w:trPr>
        <w:tc>
          <w:tcPr>
            <w:tcW w:w="31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640" w:type="dxa"/>
            <w:vAlign w:val="bottom"/>
            <w:tcBorders>
              <w:right w:val="single" w:sz="8" w:color="auto"/>
            </w:tcBorders>
          </w:tcPr>
          <w:p>
            <w:pPr>
              <w:spacing w:after="0"/>
              <w:rPr>
                <w:sz w:val="10"/>
                <w:szCs w:val="10"/>
                <w:color w:val="auto"/>
              </w:rPr>
            </w:pPr>
          </w:p>
        </w:tc>
      </w:tr>
      <w:tr>
        <w:trPr>
          <w:trHeight w:val="160"/>
        </w:trPr>
        <w:tc>
          <w:tcPr>
            <w:tcW w:w="3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Grande Vista - Sales Center Parking</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1</w:t>
            </w: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Orange</w:t>
            </w:r>
          </w:p>
        </w:tc>
        <w:tc>
          <w:tcPr>
            <w:tcW w:w="5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FL</w:t>
            </w:r>
          </w:p>
        </w:tc>
        <w:tc>
          <w:tcPr>
            <w:tcW w:w="3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1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Grande Vista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36</w:t>
            </w:r>
          </w:p>
        </w:tc>
        <w:tc>
          <w:tcPr>
            <w:tcW w:w="148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6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223"/>
        </w:trPr>
        <w:tc>
          <w:tcPr>
            <w:tcW w:w="3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Horizons at Orlando</w:t>
            </w:r>
          </w:p>
        </w:tc>
        <w:tc>
          <w:tcPr>
            <w:tcW w:w="158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4</w:t>
            </w: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Orange</w:t>
            </w:r>
          </w:p>
        </w:tc>
        <w:tc>
          <w:tcPr>
            <w:tcW w:w="5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FL</w:t>
            </w:r>
          </w:p>
        </w:tc>
        <w:tc>
          <w:tcPr>
            <w:tcW w:w="3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17"/>
        </w:trPr>
        <w:tc>
          <w:tcPr>
            <w:tcW w:w="31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640" w:type="dxa"/>
            <w:vAlign w:val="bottom"/>
            <w:tcBorders>
              <w:right w:val="single" w:sz="8" w:color="auto"/>
            </w:tcBorders>
          </w:tcPr>
          <w:p>
            <w:pPr>
              <w:spacing w:after="0"/>
              <w:rPr>
                <w:sz w:val="10"/>
                <w:szCs w:val="10"/>
                <w:color w:val="auto"/>
              </w:rPr>
            </w:pPr>
          </w:p>
        </w:tc>
      </w:tr>
      <w:tr>
        <w:trPr>
          <w:trHeight w:val="160"/>
        </w:trPr>
        <w:tc>
          <w:tcPr>
            <w:tcW w:w="3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Horizons at Orlando - Commercial Units</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5</w:t>
            </w: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Orange</w:t>
            </w:r>
          </w:p>
        </w:tc>
        <w:tc>
          <w:tcPr>
            <w:tcW w:w="5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FL</w:t>
            </w:r>
          </w:p>
        </w:tc>
        <w:tc>
          <w:tcPr>
            <w:tcW w:w="3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17"/>
        </w:trPr>
        <w:tc>
          <w:tcPr>
            <w:tcW w:w="31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640" w:type="dxa"/>
            <w:vAlign w:val="bottom"/>
            <w:tcBorders>
              <w:right w:val="single" w:sz="8" w:color="auto"/>
            </w:tcBorders>
          </w:tcPr>
          <w:p>
            <w:pPr>
              <w:spacing w:after="0"/>
              <w:rPr>
                <w:sz w:val="10"/>
                <w:szCs w:val="10"/>
                <w:color w:val="auto"/>
              </w:rPr>
            </w:pPr>
          </w:p>
        </w:tc>
      </w:tr>
      <w:tr>
        <w:trPr>
          <w:trHeight w:val="160"/>
        </w:trPr>
        <w:tc>
          <w:tcPr>
            <w:tcW w:w="3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Horizons at Orlando - Sales Center Building</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1</w:t>
            </w: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Orange</w:t>
            </w:r>
          </w:p>
        </w:tc>
        <w:tc>
          <w:tcPr>
            <w:tcW w:w="5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FL</w:t>
            </w:r>
          </w:p>
        </w:tc>
        <w:tc>
          <w:tcPr>
            <w:tcW w:w="3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1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Horizons at Orlando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10</w:t>
            </w:r>
          </w:p>
        </w:tc>
        <w:tc>
          <w:tcPr>
            <w:tcW w:w="148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6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1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Lakeshore Reserve</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8</w:t>
            </w:r>
          </w:p>
        </w:tc>
        <w:tc>
          <w:tcPr>
            <w:tcW w:w="148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Orange</w:t>
            </w:r>
          </w:p>
        </w:tc>
        <w:tc>
          <w:tcPr>
            <w:tcW w:w="50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FL</w:t>
            </w:r>
          </w:p>
        </w:tc>
        <w:tc>
          <w:tcPr>
            <w:tcW w:w="364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17"/>
        </w:trPr>
        <w:tc>
          <w:tcPr>
            <w:tcW w:w="31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640" w:type="dxa"/>
            <w:vAlign w:val="bottom"/>
            <w:tcBorders>
              <w:right w:val="single" w:sz="8" w:color="auto"/>
            </w:tcBorders>
          </w:tcPr>
          <w:p>
            <w:pPr>
              <w:spacing w:after="0"/>
              <w:rPr>
                <w:sz w:val="10"/>
                <w:szCs w:val="10"/>
                <w:color w:val="auto"/>
              </w:rPr>
            </w:pPr>
          </w:p>
        </w:tc>
      </w:tr>
      <w:tr>
        <w:trPr>
          <w:trHeight w:val="160"/>
        </w:trPr>
        <w:tc>
          <w:tcPr>
            <w:tcW w:w="3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Lakeshore Reserve - Commercial Units</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4</w:t>
            </w: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Orange</w:t>
            </w:r>
          </w:p>
        </w:tc>
        <w:tc>
          <w:tcPr>
            <w:tcW w:w="5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FL</w:t>
            </w:r>
          </w:p>
        </w:tc>
        <w:tc>
          <w:tcPr>
            <w:tcW w:w="3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17"/>
        </w:trPr>
        <w:tc>
          <w:tcPr>
            <w:tcW w:w="31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7"/>
              </w:rPr>
              <w:t>sales center &amp;</w:t>
            </w:r>
          </w:p>
        </w:tc>
        <w:tc>
          <w:tcPr>
            <w:tcW w:w="11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640" w:type="dxa"/>
            <w:vAlign w:val="bottom"/>
            <w:tcBorders>
              <w:right w:val="single" w:sz="8" w:color="auto"/>
            </w:tcBorders>
          </w:tcPr>
          <w:p>
            <w:pPr>
              <w:spacing w:after="0"/>
              <w:rPr>
                <w:sz w:val="10"/>
                <w:szCs w:val="10"/>
                <w:color w:val="auto"/>
              </w:rPr>
            </w:pPr>
          </w:p>
        </w:tc>
      </w:tr>
      <w:tr>
        <w:trPr>
          <w:trHeight w:val="160"/>
        </w:trPr>
        <w:tc>
          <w:tcPr>
            <w:tcW w:w="3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Lakeshore Reserve - Sales Center</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7"/>
              </w:rPr>
              <w:t>model unit</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11</w:t>
            </w: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Orange</w:t>
            </w:r>
          </w:p>
        </w:tc>
        <w:tc>
          <w:tcPr>
            <w:tcW w:w="5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FL</w:t>
            </w:r>
          </w:p>
        </w:tc>
        <w:tc>
          <w:tcPr>
            <w:tcW w:w="3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1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Lakeshore Reserve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23</w:t>
            </w:r>
          </w:p>
        </w:tc>
        <w:tc>
          <w:tcPr>
            <w:tcW w:w="148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6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42"/>
        </w:trPr>
        <w:tc>
          <w:tcPr>
            <w:tcW w:w="3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MVCD Trust</w:t>
            </w:r>
          </w:p>
        </w:tc>
        <w:tc>
          <w:tcPr>
            <w:tcW w:w="158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356,000</w:t>
            </w: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Orange</w:t>
            </w:r>
          </w:p>
        </w:tc>
        <w:tc>
          <w:tcPr>
            <w:tcW w:w="5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FL</w:t>
            </w:r>
          </w:p>
        </w:tc>
        <w:tc>
          <w:tcPr>
            <w:tcW w:w="3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1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MVCD Trust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356,000</w:t>
            </w:r>
          </w:p>
        </w:tc>
        <w:tc>
          <w:tcPr>
            <w:tcW w:w="148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6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1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Royal Palms</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w:t>
            </w:r>
          </w:p>
        </w:tc>
        <w:tc>
          <w:tcPr>
            <w:tcW w:w="148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Orange</w:t>
            </w:r>
          </w:p>
        </w:tc>
        <w:tc>
          <w:tcPr>
            <w:tcW w:w="50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FL</w:t>
            </w:r>
          </w:p>
        </w:tc>
        <w:tc>
          <w:tcPr>
            <w:tcW w:w="364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42"/>
        </w:trPr>
        <w:tc>
          <w:tcPr>
            <w:tcW w:w="31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Royal Palms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1</w:t>
            </w:r>
          </w:p>
        </w:tc>
        <w:tc>
          <w:tcPr>
            <w:tcW w:w="148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6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1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Sabal Palms</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w:t>
            </w:r>
          </w:p>
        </w:tc>
        <w:tc>
          <w:tcPr>
            <w:tcW w:w="148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Orange</w:t>
            </w:r>
          </w:p>
        </w:tc>
        <w:tc>
          <w:tcPr>
            <w:tcW w:w="50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FL</w:t>
            </w:r>
          </w:p>
        </w:tc>
        <w:tc>
          <w:tcPr>
            <w:tcW w:w="364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42"/>
        </w:trPr>
        <w:tc>
          <w:tcPr>
            <w:tcW w:w="31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Sabal Palms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1</w:t>
            </w:r>
          </w:p>
        </w:tc>
        <w:tc>
          <w:tcPr>
            <w:tcW w:w="148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6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17"/>
        </w:trPr>
        <w:tc>
          <w:tcPr>
            <w:tcW w:w="31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640" w:type="dxa"/>
            <w:vAlign w:val="bottom"/>
            <w:tcBorders>
              <w:right w:val="single" w:sz="8" w:color="auto"/>
            </w:tcBorders>
          </w:tcPr>
          <w:p>
            <w:pPr>
              <w:spacing w:after="0"/>
              <w:rPr>
                <w:sz w:val="10"/>
                <w:szCs w:val="10"/>
                <w:color w:val="auto"/>
              </w:rPr>
            </w:pPr>
          </w:p>
        </w:tc>
      </w:tr>
      <w:tr>
        <w:trPr>
          <w:trHeight w:val="160"/>
        </w:trPr>
        <w:tc>
          <w:tcPr>
            <w:tcW w:w="3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Jupiter</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5</w:t>
            </w: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Palm Beach</w:t>
            </w:r>
          </w:p>
        </w:tc>
        <w:tc>
          <w:tcPr>
            <w:tcW w:w="5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FL</w:t>
            </w:r>
          </w:p>
        </w:tc>
        <w:tc>
          <w:tcPr>
            <w:tcW w:w="3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RBF, LLC</w:t>
            </w:r>
          </w:p>
        </w:tc>
      </w:tr>
      <w:tr>
        <w:trPr>
          <w:trHeight w:val="142"/>
        </w:trPr>
        <w:tc>
          <w:tcPr>
            <w:tcW w:w="31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Jupiter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5</w:t>
            </w:r>
          </w:p>
        </w:tc>
        <w:tc>
          <w:tcPr>
            <w:tcW w:w="148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6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1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Ocean Pointe</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4</w:t>
            </w:r>
          </w:p>
        </w:tc>
        <w:tc>
          <w:tcPr>
            <w:tcW w:w="148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Palm Beach</w:t>
            </w:r>
          </w:p>
        </w:tc>
        <w:tc>
          <w:tcPr>
            <w:tcW w:w="50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FL</w:t>
            </w:r>
          </w:p>
        </w:tc>
        <w:tc>
          <w:tcPr>
            <w:tcW w:w="364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17"/>
        </w:trPr>
        <w:tc>
          <w:tcPr>
            <w:tcW w:w="31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640" w:type="dxa"/>
            <w:vAlign w:val="bottom"/>
            <w:tcBorders>
              <w:right w:val="single" w:sz="8" w:color="auto"/>
            </w:tcBorders>
          </w:tcPr>
          <w:p>
            <w:pPr>
              <w:spacing w:after="0"/>
              <w:rPr>
                <w:sz w:val="10"/>
                <w:szCs w:val="10"/>
                <w:color w:val="auto"/>
              </w:rPr>
            </w:pPr>
          </w:p>
        </w:tc>
      </w:tr>
      <w:tr>
        <w:trPr>
          <w:trHeight w:val="160"/>
        </w:trPr>
        <w:tc>
          <w:tcPr>
            <w:tcW w:w="3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Ocean Pointe - Commercial Units</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2</w:t>
            </w: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Palm Beach</w:t>
            </w:r>
          </w:p>
        </w:tc>
        <w:tc>
          <w:tcPr>
            <w:tcW w:w="5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FL</w:t>
            </w:r>
          </w:p>
        </w:tc>
        <w:tc>
          <w:tcPr>
            <w:tcW w:w="3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1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Ocean Pointe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6</w:t>
            </w:r>
          </w:p>
        </w:tc>
        <w:tc>
          <w:tcPr>
            <w:tcW w:w="148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6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1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Oceana Palms</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w:t>
            </w:r>
          </w:p>
        </w:tc>
        <w:tc>
          <w:tcPr>
            <w:tcW w:w="148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Palm Beach</w:t>
            </w:r>
          </w:p>
        </w:tc>
        <w:tc>
          <w:tcPr>
            <w:tcW w:w="50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FL</w:t>
            </w:r>
          </w:p>
        </w:tc>
        <w:tc>
          <w:tcPr>
            <w:tcW w:w="364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17"/>
        </w:trPr>
        <w:tc>
          <w:tcPr>
            <w:tcW w:w="31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7"/>
              </w:rPr>
              <w:t>sales center &amp;</w:t>
            </w:r>
          </w:p>
        </w:tc>
        <w:tc>
          <w:tcPr>
            <w:tcW w:w="11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640" w:type="dxa"/>
            <w:vAlign w:val="bottom"/>
            <w:tcBorders>
              <w:right w:val="single" w:sz="8" w:color="auto"/>
            </w:tcBorders>
          </w:tcPr>
          <w:p>
            <w:pPr>
              <w:spacing w:after="0"/>
              <w:rPr>
                <w:sz w:val="10"/>
                <w:szCs w:val="10"/>
                <w:color w:val="auto"/>
              </w:rPr>
            </w:pPr>
          </w:p>
        </w:tc>
      </w:tr>
      <w:tr>
        <w:trPr>
          <w:trHeight w:val="160"/>
        </w:trPr>
        <w:tc>
          <w:tcPr>
            <w:tcW w:w="3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Oceana Palms - Sales Center</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7"/>
              </w:rPr>
              <w:t>model unit</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10</w:t>
            </w: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Palm Beach</w:t>
            </w:r>
          </w:p>
        </w:tc>
        <w:tc>
          <w:tcPr>
            <w:tcW w:w="5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FL</w:t>
            </w:r>
          </w:p>
        </w:tc>
        <w:tc>
          <w:tcPr>
            <w:tcW w:w="3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17"/>
        </w:trPr>
        <w:tc>
          <w:tcPr>
            <w:tcW w:w="31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640" w:type="dxa"/>
            <w:vAlign w:val="bottom"/>
            <w:tcBorders>
              <w:right w:val="single" w:sz="8" w:color="auto"/>
            </w:tcBorders>
          </w:tcPr>
          <w:p>
            <w:pPr>
              <w:spacing w:after="0"/>
              <w:rPr>
                <w:sz w:val="10"/>
                <w:szCs w:val="10"/>
                <w:color w:val="auto"/>
              </w:rPr>
            </w:pPr>
          </w:p>
        </w:tc>
      </w:tr>
      <w:tr>
        <w:trPr>
          <w:trHeight w:val="160"/>
        </w:trPr>
        <w:tc>
          <w:tcPr>
            <w:tcW w:w="3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Oceana Palms - Commercial Units</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4</w:t>
            </w: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Palm Beach</w:t>
            </w:r>
          </w:p>
        </w:tc>
        <w:tc>
          <w:tcPr>
            <w:tcW w:w="5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FL</w:t>
            </w:r>
          </w:p>
        </w:tc>
        <w:tc>
          <w:tcPr>
            <w:tcW w:w="3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1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Oceana Palms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15</w:t>
            </w:r>
          </w:p>
        </w:tc>
        <w:tc>
          <w:tcPr>
            <w:tcW w:w="148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6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1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Kauai Beach Club</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5</w:t>
            </w:r>
          </w:p>
        </w:tc>
        <w:tc>
          <w:tcPr>
            <w:tcW w:w="148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Kauai</w:t>
            </w:r>
          </w:p>
        </w:tc>
        <w:tc>
          <w:tcPr>
            <w:tcW w:w="50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HI</w:t>
            </w:r>
          </w:p>
        </w:tc>
        <w:tc>
          <w:tcPr>
            <w:tcW w:w="364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17"/>
        </w:trPr>
        <w:tc>
          <w:tcPr>
            <w:tcW w:w="31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640" w:type="dxa"/>
            <w:vAlign w:val="bottom"/>
            <w:tcBorders>
              <w:right w:val="single" w:sz="8" w:color="auto"/>
            </w:tcBorders>
          </w:tcPr>
          <w:p>
            <w:pPr>
              <w:spacing w:after="0"/>
              <w:rPr>
                <w:sz w:val="10"/>
                <w:szCs w:val="10"/>
                <w:color w:val="auto"/>
              </w:rPr>
            </w:pPr>
          </w:p>
        </w:tc>
      </w:tr>
      <w:tr>
        <w:trPr>
          <w:trHeight w:val="160"/>
        </w:trPr>
        <w:tc>
          <w:tcPr>
            <w:tcW w:w="3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Kauai Beach Club - commercial units</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2</w:t>
            </w: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Kauai</w:t>
            </w:r>
          </w:p>
        </w:tc>
        <w:tc>
          <w:tcPr>
            <w:tcW w:w="5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HI</w:t>
            </w:r>
          </w:p>
        </w:tc>
        <w:tc>
          <w:tcPr>
            <w:tcW w:w="3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1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Kauai Beach Club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7</w:t>
            </w:r>
          </w:p>
        </w:tc>
        <w:tc>
          <w:tcPr>
            <w:tcW w:w="148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6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1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Kauai Kalanipu’u</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w:t>
            </w:r>
          </w:p>
        </w:tc>
        <w:tc>
          <w:tcPr>
            <w:tcW w:w="148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Kauai</w:t>
            </w:r>
          </w:p>
        </w:tc>
        <w:tc>
          <w:tcPr>
            <w:tcW w:w="50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HI</w:t>
            </w:r>
          </w:p>
        </w:tc>
        <w:tc>
          <w:tcPr>
            <w:tcW w:w="364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Kauai Lagoons LLC</w:t>
            </w:r>
          </w:p>
        </w:tc>
      </w:tr>
      <w:tr>
        <w:trPr>
          <w:trHeight w:val="129"/>
        </w:trPr>
        <w:tc>
          <w:tcPr>
            <w:tcW w:w="31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Kauai Kalanipu’u</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7"/>
              </w:rPr>
              <w:t>model</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52</w:t>
            </w:r>
          </w:p>
        </w:tc>
        <w:tc>
          <w:tcPr>
            <w:tcW w:w="148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Kauai</w:t>
            </w:r>
          </w:p>
        </w:tc>
        <w:tc>
          <w:tcPr>
            <w:tcW w:w="50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HI</w:t>
            </w:r>
          </w:p>
        </w:tc>
        <w:tc>
          <w:tcPr>
            <w:tcW w:w="364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Kauai Lagoons LLC</w:t>
            </w:r>
          </w:p>
        </w:tc>
      </w:tr>
      <w:tr>
        <w:trPr>
          <w:trHeight w:val="142"/>
        </w:trPr>
        <w:tc>
          <w:tcPr>
            <w:tcW w:w="31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Kauai Lagoons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53</w:t>
            </w:r>
          </w:p>
        </w:tc>
        <w:tc>
          <w:tcPr>
            <w:tcW w:w="148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6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1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Waiohai Beach Club</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7"/>
              </w:rPr>
              <w:t>model</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52</w:t>
            </w:r>
          </w:p>
        </w:tc>
        <w:tc>
          <w:tcPr>
            <w:tcW w:w="148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Kauai</w:t>
            </w:r>
          </w:p>
        </w:tc>
        <w:tc>
          <w:tcPr>
            <w:tcW w:w="50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HI</w:t>
            </w:r>
          </w:p>
        </w:tc>
        <w:tc>
          <w:tcPr>
            <w:tcW w:w="364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29"/>
        </w:trPr>
        <w:tc>
          <w:tcPr>
            <w:tcW w:w="31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Waiohai Beach Club</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4</w:t>
            </w:r>
          </w:p>
        </w:tc>
        <w:tc>
          <w:tcPr>
            <w:tcW w:w="148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Kauai</w:t>
            </w:r>
          </w:p>
        </w:tc>
        <w:tc>
          <w:tcPr>
            <w:tcW w:w="50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HI</w:t>
            </w:r>
          </w:p>
        </w:tc>
        <w:tc>
          <w:tcPr>
            <w:tcW w:w="364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17"/>
        </w:trPr>
        <w:tc>
          <w:tcPr>
            <w:tcW w:w="31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640" w:type="dxa"/>
            <w:vAlign w:val="bottom"/>
            <w:tcBorders>
              <w:right w:val="single" w:sz="8" w:color="auto"/>
            </w:tcBorders>
          </w:tcPr>
          <w:p>
            <w:pPr>
              <w:spacing w:after="0"/>
              <w:rPr>
                <w:sz w:val="10"/>
                <w:szCs w:val="10"/>
                <w:color w:val="auto"/>
              </w:rPr>
            </w:pPr>
          </w:p>
        </w:tc>
      </w:tr>
      <w:tr>
        <w:trPr>
          <w:trHeight w:val="160"/>
        </w:trPr>
        <w:tc>
          <w:tcPr>
            <w:tcW w:w="3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Waiohai Beach Club - Commercial Units</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10</w:t>
            </w: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Kauai</w:t>
            </w:r>
          </w:p>
        </w:tc>
        <w:tc>
          <w:tcPr>
            <w:tcW w:w="5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HI</w:t>
            </w:r>
          </w:p>
        </w:tc>
        <w:tc>
          <w:tcPr>
            <w:tcW w:w="3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1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Waiohai Beach Club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66</w:t>
            </w:r>
          </w:p>
        </w:tc>
        <w:tc>
          <w:tcPr>
            <w:tcW w:w="148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6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1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Maui Ocean Club</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20</w:t>
            </w:r>
          </w:p>
        </w:tc>
        <w:tc>
          <w:tcPr>
            <w:tcW w:w="148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Maui</w:t>
            </w:r>
          </w:p>
        </w:tc>
        <w:tc>
          <w:tcPr>
            <w:tcW w:w="50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HI</w:t>
            </w:r>
          </w:p>
        </w:tc>
        <w:tc>
          <w:tcPr>
            <w:tcW w:w="364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17"/>
        </w:trPr>
        <w:tc>
          <w:tcPr>
            <w:tcW w:w="312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640" w:type="dxa"/>
            <w:vAlign w:val="bottom"/>
            <w:tcBorders>
              <w:right w:val="single" w:sz="8" w:color="auto"/>
            </w:tcBorders>
          </w:tcPr>
          <w:p>
            <w:pPr>
              <w:spacing w:after="0"/>
              <w:rPr>
                <w:sz w:val="10"/>
                <w:szCs w:val="10"/>
                <w:color w:val="auto"/>
              </w:rPr>
            </w:pPr>
          </w:p>
        </w:tc>
      </w:tr>
      <w:tr>
        <w:trPr>
          <w:trHeight w:val="160"/>
        </w:trPr>
        <w:tc>
          <w:tcPr>
            <w:tcW w:w="3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Maui Ocean Club - Commercial Units</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15</w:t>
            </w:r>
          </w:p>
        </w:tc>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Maui</w:t>
            </w:r>
          </w:p>
        </w:tc>
        <w:tc>
          <w:tcPr>
            <w:tcW w:w="5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HI</w:t>
            </w:r>
          </w:p>
        </w:tc>
        <w:tc>
          <w:tcPr>
            <w:tcW w:w="3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1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Maui Ocean Club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35</w:t>
            </w:r>
          </w:p>
        </w:tc>
        <w:tc>
          <w:tcPr>
            <w:tcW w:w="148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6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1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Maui Sequel</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7"/>
              </w:rPr>
              <w:t>model</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52</w:t>
            </w:r>
          </w:p>
        </w:tc>
        <w:tc>
          <w:tcPr>
            <w:tcW w:w="148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Maui</w:t>
            </w:r>
          </w:p>
        </w:tc>
        <w:tc>
          <w:tcPr>
            <w:tcW w:w="50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HI</w:t>
            </w:r>
          </w:p>
        </w:tc>
        <w:tc>
          <w:tcPr>
            <w:tcW w:w="364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29"/>
        </w:trPr>
        <w:tc>
          <w:tcPr>
            <w:tcW w:w="31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Maui Sequel</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w:t>
            </w:r>
          </w:p>
        </w:tc>
        <w:tc>
          <w:tcPr>
            <w:tcW w:w="148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Maui</w:t>
            </w:r>
          </w:p>
        </w:tc>
        <w:tc>
          <w:tcPr>
            <w:tcW w:w="50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HI</w:t>
            </w:r>
          </w:p>
        </w:tc>
        <w:tc>
          <w:tcPr>
            <w:tcW w:w="364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42"/>
        </w:trPr>
        <w:tc>
          <w:tcPr>
            <w:tcW w:w="31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Maui Sequel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53</w:t>
            </w:r>
          </w:p>
        </w:tc>
        <w:tc>
          <w:tcPr>
            <w:tcW w:w="148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6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1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Ko Olina - Sales Center</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8"/>
              </w:rPr>
              <w:t>sales center</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w:t>
            </w:r>
          </w:p>
        </w:tc>
        <w:tc>
          <w:tcPr>
            <w:tcW w:w="148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Honolulu</w:t>
            </w:r>
          </w:p>
        </w:tc>
        <w:tc>
          <w:tcPr>
            <w:tcW w:w="50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HI</w:t>
            </w:r>
          </w:p>
        </w:tc>
        <w:tc>
          <w:tcPr>
            <w:tcW w:w="364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29"/>
        </w:trPr>
        <w:tc>
          <w:tcPr>
            <w:tcW w:w="312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Ko Olina</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479</w:t>
            </w:r>
          </w:p>
        </w:tc>
        <w:tc>
          <w:tcPr>
            <w:tcW w:w="148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Honolulu</w:t>
            </w:r>
          </w:p>
        </w:tc>
        <w:tc>
          <w:tcPr>
            <w:tcW w:w="50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HI</w:t>
            </w:r>
          </w:p>
        </w:tc>
        <w:tc>
          <w:tcPr>
            <w:tcW w:w="3640" w:type="dxa"/>
            <w:vAlign w:val="bottom"/>
            <w:tcBorders>
              <w:bottom w:val="single" w:sz="8" w:color="auto"/>
              <w:right w:val="single" w:sz="8" w:color="auto"/>
            </w:tcBorders>
          </w:tcPr>
          <w:p>
            <w:pPr>
              <w:ind w:left="10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42"/>
        </w:trPr>
        <w:tc>
          <w:tcPr>
            <w:tcW w:w="312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Ko Olina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480</w:t>
            </w:r>
          </w:p>
        </w:tc>
        <w:tc>
          <w:tcPr>
            <w:tcW w:w="1480" w:type="dxa"/>
            <w:vAlign w:val="bottom"/>
            <w:tcBorders>
              <w:bottom w:val="single" w:sz="8" w:color="auto"/>
              <w:right w:val="single" w:sz="8" w:color="auto"/>
            </w:tcBorders>
            <w:shd w:val="clear" w:color="auto" w:fill="BFBFBF"/>
          </w:tcPr>
          <w:p>
            <w:pPr>
              <w:spacing w:after="0"/>
              <w:rPr>
                <w:sz w:val="12"/>
                <w:szCs w:val="12"/>
                <w:color w:val="auto"/>
              </w:rPr>
            </w:pPr>
          </w:p>
        </w:tc>
        <w:tc>
          <w:tcPr>
            <w:tcW w:w="500" w:type="dxa"/>
            <w:vAlign w:val="bottom"/>
            <w:tcBorders>
              <w:bottom w:val="single" w:sz="8" w:color="auto"/>
              <w:right w:val="single" w:sz="8" w:color="auto"/>
            </w:tcBorders>
            <w:shd w:val="clear" w:color="auto" w:fill="BFBFBF"/>
          </w:tcPr>
          <w:p>
            <w:pPr>
              <w:spacing w:after="0"/>
              <w:rPr>
                <w:sz w:val="12"/>
                <w:szCs w:val="12"/>
                <w:color w:val="auto"/>
              </w:rPr>
            </w:pPr>
          </w:p>
        </w:tc>
        <w:tc>
          <w:tcPr>
            <w:tcW w:w="3640" w:type="dxa"/>
            <w:vAlign w:val="bottom"/>
            <w:tcBorders>
              <w:bottom w:val="single" w:sz="8" w:color="auto"/>
              <w:right w:val="single" w:sz="8" w:color="auto"/>
            </w:tcBorders>
            <w:shd w:val="clear" w:color="auto" w:fill="BFBFBF"/>
          </w:tcPr>
          <w:p>
            <w:pPr>
              <w:spacing w:after="0"/>
              <w:rPr>
                <w:sz w:val="12"/>
                <w:szCs w:val="12"/>
                <w:color w:val="auto"/>
              </w:rPr>
            </w:pPr>
          </w:p>
        </w:tc>
      </w:tr>
    </w:tbl>
    <w:p>
      <w:pPr>
        <w:sectPr>
          <w:pgSz w:w="11900" w:h="16838" w:orient="portrait"/>
          <w:cols w:equalWidth="0" w:num="1">
            <w:col w:w="11440"/>
          </w:cols>
          <w:pgMar w:left="240" w:top="267" w:right="219" w:bottom="1440" w:gutter="0" w:footer="0" w:header="0"/>
        </w:sectPr>
      </w:pPr>
    </w:p>
    <w:bookmarkStart w:id="206" w:name="page207"/>
    <w:bookmarkEnd w:id="206"/>
    <w:p>
      <w:pPr>
        <w:jc w:val="center"/>
        <w:ind w:righ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Mortgaged Property</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403"/>
        </w:trPr>
        <w:tc>
          <w:tcPr>
            <w:tcW w:w="3040" w:type="dxa"/>
            <w:vAlign w:val="bottom"/>
            <w:tcBorders>
              <w:top w:val="single" w:sz="8" w:color="auto"/>
              <w:left w:val="single" w:sz="8" w:color="auto"/>
              <w:right w:val="single" w:sz="8" w:color="auto"/>
            </w:tcBorders>
            <w:shd w:val="clear" w:color="auto" w:fill="A5A5A5"/>
          </w:tcPr>
          <w:p>
            <w:pPr>
              <w:spacing w:after="0"/>
              <w:rPr>
                <w:sz w:val="24"/>
                <w:szCs w:val="24"/>
                <w:color w:val="auto"/>
              </w:rPr>
            </w:pPr>
          </w:p>
        </w:tc>
        <w:tc>
          <w:tcPr>
            <w:tcW w:w="1580" w:type="dxa"/>
            <w:vAlign w:val="bottom"/>
            <w:tcBorders>
              <w:top w:val="single" w:sz="8" w:color="auto"/>
              <w:right w:val="single" w:sz="8" w:color="auto"/>
            </w:tcBorders>
            <w:shd w:val="clear" w:color="auto" w:fill="A5A5A5"/>
          </w:tcPr>
          <w:p>
            <w:pPr>
              <w:spacing w:after="0"/>
              <w:rPr>
                <w:sz w:val="24"/>
                <w:szCs w:val="24"/>
                <w:color w:val="auto"/>
              </w:rPr>
            </w:pPr>
          </w:p>
        </w:tc>
        <w:tc>
          <w:tcPr>
            <w:tcW w:w="1120" w:type="dxa"/>
            <w:vAlign w:val="bottom"/>
            <w:tcBorders>
              <w:top w:val="single" w:sz="8" w:color="auto"/>
              <w:right w:val="single" w:sz="8" w:color="auto"/>
            </w:tcBorders>
            <w:shd w:val="clear" w:color="auto" w:fill="A5A5A5"/>
          </w:tcPr>
          <w:p>
            <w:pPr>
              <w:jc w:val="right"/>
              <w:ind w:right="41"/>
              <w:spacing w:after="0"/>
              <w:rPr>
                <w:sz w:val="20"/>
                <w:szCs w:val="20"/>
                <w:color w:val="auto"/>
              </w:rPr>
            </w:pPr>
            <w:r>
              <w:rPr>
                <w:rFonts w:ascii="Arial" w:cs="Arial" w:eastAsia="Arial" w:hAnsi="Arial"/>
                <w:sz w:val="14"/>
                <w:szCs w:val="14"/>
                <w:b w:val="1"/>
                <w:bCs w:val="1"/>
                <w:color w:val="auto"/>
              </w:rPr>
              <w:t># of Weeks or</w:t>
            </w:r>
          </w:p>
        </w:tc>
        <w:tc>
          <w:tcPr>
            <w:tcW w:w="1440" w:type="dxa"/>
            <w:vAlign w:val="bottom"/>
            <w:tcBorders>
              <w:top w:val="single" w:sz="8" w:color="auto"/>
              <w:right w:val="single" w:sz="8" w:color="auto"/>
            </w:tcBorders>
            <w:shd w:val="clear" w:color="auto" w:fill="A5A5A5"/>
          </w:tcPr>
          <w:p>
            <w:pPr>
              <w:spacing w:after="0"/>
              <w:rPr>
                <w:sz w:val="24"/>
                <w:szCs w:val="24"/>
                <w:color w:val="auto"/>
              </w:rPr>
            </w:pPr>
          </w:p>
        </w:tc>
        <w:tc>
          <w:tcPr>
            <w:tcW w:w="520" w:type="dxa"/>
            <w:vAlign w:val="bottom"/>
            <w:tcBorders>
              <w:top w:val="single" w:sz="8" w:color="auto"/>
              <w:right w:val="single" w:sz="8" w:color="auto"/>
            </w:tcBorders>
            <w:shd w:val="clear" w:color="auto" w:fill="A5A5A5"/>
          </w:tcPr>
          <w:p>
            <w:pPr>
              <w:spacing w:after="0"/>
              <w:rPr>
                <w:sz w:val="24"/>
                <w:szCs w:val="24"/>
                <w:color w:val="auto"/>
              </w:rPr>
            </w:pPr>
          </w:p>
        </w:tc>
        <w:tc>
          <w:tcPr>
            <w:tcW w:w="3740" w:type="dxa"/>
            <w:vAlign w:val="bottom"/>
            <w:tcBorders>
              <w:top w:val="single" w:sz="8" w:color="auto"/>
              <w:right w:val="single" w:sz="8" w:color="auto"/>
            </w:tcBorders>
            <w:shd w:val="clear" w:color="auto" w:fill="A5A5A5"/>
          </w:tcPr>
          <w:p>
            <w:pPr>
              <w:spacing w:after="0"/>
              <w:rPr>
                <w:sz w:val="24"/>
                <w:szCs w:val="24"/>
                <w:color w:val="auto"/>
              </w:rPr>
            </w:pPr>
          </w:p>
        </w:tc>
      </w:tr>
      <w:tr>
        <w:trPr>
          <w:trHeight w:val="191"/>
        </w:trPr>
        <w:tc>
          <w:tcPr>
            <w:tcW w:w="3040" w:type="dxa"/>
            <w:vAlign w:val="bottom"/>
            <w:tcBorders>
              <w:left w:val="single" w:sz="8" w:color="auto"/>
              <w:bottom w:val="single" w:sz="8" w:color="auto"/>
              <w:right w:val="single" w:sz="8" w:color="auto"/>
            </w:tcBorders>
            <w:shd w:val="clear" w:color="auto" w:fill="A5A5A5"/>
          </w:tcPr>
          <w:p>
            <w:pPr>
              <w:ind w:left="1300"/>
              <w:spacing w:after="0"/>
              <w:rPr>
                <w:sz w:val="20"/>
                <w:szCs w:val="20"/>
                <w:color w:val="auto"/>
              </w:rPr>
            </w:pPr>
            <w:r>
              <w:rPr>
                <w:rFonts w:ascii="Arial" w:cs="Arial" w:eastAsia="Arial" w:hAnsi="Arial"/>
                <w:sz w:val="14"/>
                <w:szCs w:val="14"/>
                <w:b w:val="1"/>
                <w:bCs w:val="1"/>
                <w:color w:val="auto"/>
              </w:rPr>
              <w:t>Project</w:t>
            </w:r>
          </w:p>
        </w:tc>
        <w:tc>
          <w:tcPr>
            <w:tcW w:w="1580" w:type="dxa"/>
            <w:vAlign w:val="bottom"/>
            <w:tcBorders>
              <w:bottom w:val="single" w:sz="8" w:color="auto"/>
              <w:right w:val="single" w:sz="8" w:color="auto"/>
            </w:tcBorders>
            <w:shd w:val="clear" w:color="auto" w:fill="A5A5A5"/>
          </w:tcPr>
          <w:p>
            <w:pPr>
              <w:jc w:val="center"/>
              <w:ind w:left="1"/>
              <w:spacing w:after="0"/>
              <w:rPr>
                <w:sz w:val="20"/>
                <w:szCs w:val="20"/>
                <w:color w:val="auto"/>
              </w:rPr>
            </w:pPr>
            <w:r>
              <w:rPr>
                <w:rFonts w:ascii="Arial" w:cs="Arial" w:eastAsia="Arial" w:hAnsi="Arial"/>
                <w:sz w:val="14"/>
                <w:szCs w:val="14"/>
                <w:b w:val="1"/>
                <w:bCs w:val="1"/>
                <w:color w:val="auto"/>
              </w:rPr>
              <w:t>Description</w:t>
            </w:r>
          </w:p>
        </w:tc>
        <w:tc>
          <w:tcPr>
            <w:tcW w:w="1120" w:type="dxa"/>
            <w:vAlign w:val="bottom"/>
            <w:tcBorders>
              <w:bottom w:val="single" w:sz="8" w:color="auto"/>
              <w:right w:val="single" w:sz="8" w:color="auto"/>
            </w:tcBorders>
            <w:shd w:val="clear" w:color="auto" w:fill="A5A5A5"/>
          </w:tcPr>
          <w:p>
            <w:pPr>
              <w:jc w:val="right"/>
              <w:ind w:right="201"/>
              <w:spacing w:after="0"/>
              <w:rPr>
                <w:sz w:val="20"/>
                <w:szCs w:val="20"/>
                <w:color w:val="auto"/>
              </w:rPr>
            </w:pPr>
            <w:r>
              <w:rPr>
                <w:rFonts w:ascii="Arial" w:cs="Arial" w:eastAsia="Arial" w:hAnsi="Arial"/>
                <w:sz w:val="14"/>
                <w:szCs w:val="14"/>
                <w:b w:val="1"/>
                <w:bCs w:val="1"/>
                <w:color w:val="auto"/>
              </w:rPr>
              <w:t>Interests</w:t>
            </w:r>
          </w:p>
        </w:tc>
        <w:tc>
          <w:tcPr>
            <w:tcW w:w="1440" w:type="dxa"/>
            <w:vAlign w:val="bottom"/>
            <w:tcBorders>
              <w:bottom w:val="single" w:sz="8" w:color="auto"/>
              <w:right w:val="single" w:sz="8" w:color="auto"/>
            </w:tcBorders>
            <w:shd w:val="clear" w:color="auto" w:fill="A5A5A5"/>
          </w:tcPr>
          <w:p>
            <w:pPr>
              <w:ind w:left="500"/>
              <w:spacing w:after="0"/>
              <w:rPr>
                <w:sz w:val="20"/>
                <w:szCs w:val="20"/>
                <w:color w:val="auto"/>
              </w:rPr>
            </w:pPr>
            <w:r>
              <w:rPr>
                <w:rFonts w:ascii="Arial" w:cs="Arial" w:eastAsia="Arial" w:hAnsi="Arial"/>
                <w:sz w:val="14"/>
                <w:szCs w:val="14"/>
                <w:b w:val="1"/>
                <w:bCs w:val="1"/>
                <w:color w:val="auto"/>
              </w:rPr>
              <w:t>County</w:t>
            </w:r>
          </w:p>
        </w:tc>
        <w:tc>
          <w:tcPr>
            <w:tcW w:w="520" w:type="dxa"/>
            <w:vAlign w:val="bottom"/>
            <w:tcBorders>
              <w:bottom w:val="single" w:sz="8" w:color="auto"/>
              <w:right w:val="single" w:sz="8" w:color="auto"/>
            </w:tcBorders>
            <w:shd w:val="clear" w:color="auto" w:fill="A5A5A5"/>
          </w:tcPr>
          <w:p>
            <w:pPr>
              <w:ind w:left="100"/>
              <w:spacing w:after="0"/>
              <w:rPr>
                <w:sz w:val="20"/>
                <w:szCs w:val="20"/>
                <w:color w:val="auto"/>
              </w:rPr>
            </w:pPr>
            <w:r>
              <w:rPr>
                <w:rFonts w:ascii="Arial" w:cs="Arial" w:eastAsia="Arial" w:hAnsi="Arial"/>
                <w:sz w:val="14"/>
                <w:szCs w:val="14"/>
                <w:b w:val="1"/>
                <w:bCs w:val="1"/>
                <w:color w:val="auto"/>
              </w:rPr>
              <w:t>State</w:t>
            </w:r>
          </w:p>
        </w:tc>
        <w:tc>
          <w:tcPr>
            <w:tcW w:w="3740" w:type="dxa"/>
            <w:vAlign w:val="bottom"/>
            <w:tcBorders>
              <w:bottom w:val="single" w:sz="8" w:color="auto"/>
              <w:right w:val="single" w:sz="8" w:color="auto"/>
            </w:tcBorders>
            <w:shd w:val="clear" w:color="auto" w:fill="A5A5A5"/>
          </w:tcPr>
          <w:p>
            <w:pPr>
              <w:ind w:left="1340"/>
              <w:spacing w:after="0"/>
              <w:rPr>
                <w:sz w:val="20"/>
                <w:szCs w:val="20"/>
                <w:color w:val="auto"/>
              </w:rPr>
            </w:pPr>
            <w:r>
              <w:rPr>
                <w:rFonts w:ascii="Arial" w:cs="Arial" w:eastAsia="Arial" w:hAnsi="Arial"/>
                <w:sz w:val="14"/>
                <w:szCs w:val="14"/>
                <w:b w:val="1"/>
                <w:bCs w:val="1"/>
                <w:color w:val="auto"/>
              </w:rPr>
              <w:t>Owning Entity</w:t>
            </w:r>
          </w:p>
        </w:tc>
      </w:tr>
      <w:tr>
        <w:trPr>
          <w:trHeight w:val="129"/>
        </w:trPr>
        <w:tc>
          <w:tcPr>
            <w:tcW w:w="304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Custom House</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124</w:t>
            </w:r>
          </w:p>
        </w:tc>
        <w:tc>
          <w:tcPr>
            <w:tcW w:w="14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Suffolk</w:t>
            </w:r>
          </w:p>
        </w:tc>
        <w:tc>
          <w:tcPr>
            <w:tcW w:w="520" w:type="dxa"/>
            <w:vAlign w:val="bottom"/>
            <w:tcBorders>
              <w:bottom w:val="single" w:sz="8" w:color="auto"/>
              <w:right w:val="single" w:sz="8" w:color="auto"/>
            </w:tcBorders>
          </w:tcPr>
          <w:p>
            <w:pPr>
              <w:ind w:left="200"/>
              <w:spacing w:after="0" w:line="129" w:lineRule="exact"/>
              <w:rPr>
                <w:sz w:val="20"/>
                <w:szCs w:val="20"/>
                <w:color w:val="auto"/>
              </w:rPr>
            </w:pPr>
            <w:r>
              <w:rPr>
                <w:rFonts w:ascii="Arial" w:cs="Arial" w:eastAsia="Arial" w:hAnsi="Arial"/>
                <w:sz w:val="12"/>
                <w:szCs w:val="12"/>
                <w:color w:val="auto"/>
              </w:rPr>
              <w:t>MA</w:t>
            </w:r>
          </w:p>
        </w:tc>
        <w:tc>
          <w:tcPr>
            <w:tcW w:w="37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17"/>
        </w:trPr>
        <w:tc>
          <w:tcPr>
            <w:tcW w:w="304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r>
      <w:tr>
        <w:trPr>
          <w:trHeight w:val="160"/>
        </w:trPr>
        <w:tc>
          <w:tcPr>
            <w:tcW w:w="3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Custom House - Commercial Units</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2</w:t>
            </w:r>
          </w:p>
        </w:tc>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Suffolk</w:t>
            </w:r>
          </w:p>
        </w:tc>
        <w:tc>
          <w:tcPr>
            <w:tcW w:w="5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MA</w:t>
            </w:r>
          </w:p>
        </w:tc>
        <w:tc>
          <w:tcPr>
            <w:tcW w:w="3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04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Custom House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126</w:t>
            </w:r>
          </w:p>
        </w:tc>
        <w:tc>
          <w:tcPr>
            <w:tcW w:w="1440" w:type="dxa"/>
            <w:vAlign w:val="bottom"/>
            <w:tcBorders>
              <w:bottom w:val="single" w:sz="8" w:color="auto"/>
              <w:right w:val="single" w:sz="8" w:color="auto"/>
            </w:tcBorders>
            <w:shd w:val="clear" w:color="auto" w:fill="BFBFBF"/>
          </w:tcPr>
          <w:p>
            <w:pPr>
              <w:spacing w:after="0"/>
              <w:rPr>
                <w:sz w:val="12"/>
                <w:szCs w:val="12"/>
                <w:color w:val="auto"/>
              </w:rPr>
            </w:pPr>
          </w:p>
        </w:tc>
        <w:tc>
          <w:tcPr>
            <w:tcW w:w="520" w:type="dxa"/>
            <w:vAlign w:val="bottom"/>
            <w:tcBorders>
              <w:bottom w:val="single" w:sz="8" w:color="auto"/>
              <w:right w:val="single" w:sz="8" w:color="auto"/>
            </w:tcBorders>
            <w:shd w:val="clear" w:color="auto" w:fill="BFBFBF"/>
          </w:tcPr>
          <w:p>
            <w:pPr>
              <w:spacing w:after="0"/>
              <w:rPr>
                <w:sz w:val="12"/>
                <w:szCs w:val="12"/>
                <w:color w:val="auto"/>
              </w:rPr>
            </w:pPr>
          </w:p>
        </w:tc>
        <w:tc>
          <w:tcPr>
            <w:tcW w:w="37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4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Horizons at Branson</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3</w:t>
            </w:r>
          </w:p>
        </w:tc>
        <w:tc>
          <w:tcPr>
            <w:tcW w:w="14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Taney</w:t>
            </w:r>
          </w:p>
        </w:tc>
        <w:tc>
          <w:tcPr>
            <w:tcW w:w="520" w:type="dxa"/>
            <w:vAlign w:val="bottom"/>
            <w:tcBorders>
              <w:bottom w:val="single" w:sz="8" w:color="auto"/>
              <w:right w:val="single" w:sz="8" w:color="auto"/>
            </w:tcBorders>
          </w:tcPr>
          <w:p>
            <w:pPr>
              <w:ind w:left="200"/>
              <w:spacing w:after="0" w:line="129" w:lineRule="exact"/>
              <w:rPr>
                <w:sz w:val="20"/>
                <w:szCs w:val="20"/>
                <w:color w:val="auto"/>
              </w:rPr>
            </w:pPr>
            <w:r>
              <w:rPr>
                <w:rFonts w:ascii="Arial" w:cs="Arial" w:eastAsia="Arial" w:hAnsi="Arial"/>
                <w:sz w:val="12"/>
                <w:szCs w:val="12"/>
                <w:color w:val="auto"/>
              </w:rPr>
              <w:t>MO</w:t>
            </w:r>
          </w:p>
        </w:tc>
        <w:tc>
          <w:tcPr>
            <w:tcW w:w="37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17"/>
        </w:trPr>
        <w:tc>
          <w:tcPr>
            <w:tcW w:w="304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r>
      <w:tr>
        <w:trPr>
          <w:trHeight w:val="160"/>
        </w:trPr>
        <w:tc>
          <w:tcPr>
            <w:tcW w:w="3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Horizons at Branson - Commercial Units</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5</w:t>
            </w:r>
          </w:p>
        </w:tc>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Taney</w:t>
            </w:r>
          </w:p>
        </w:tc>
        <w:tc>
          <w:tcPr>
            <w:tcW w:w="5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MO</w:t>
            </w:r>
          </w:p>
        </w:tc>
        <w:tc>
          <w:tcPr>
            <w:tcW w:w="3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04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Horizons at Branson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8</w:t>
            </w:r>
          </w:p>
        </w:tc>
        <w:tc>
          <w:tcPr>
            <w:tcW w:w="1440" w:type="dxa"/>
            <w:vAlign w:val="bottom"/>
            <w:tcBorders>
              <w:bottom w:val="single" w:sz="8" w:color="auto"/>
              <w:right w:val="single" w:sz="8" w:color="auto"/>
            </w:tcBorders>
            <w:shd w:val="clear" w:color="auto" w:fill="BFBFBF"/>
          </w:tcPr>
          <w:p>
            <w:pPr>
              <w:spacing w:after="0"/>
              <w:rPr>
                <w:sz w:val="12"/>
                <w:szCs w:val="12"/>
                <w:color w:val="auto"/>
              </w:rPr>
            </w:pPr>
          </w:p>
        </w:tc>
        <w:tc>
          <w:tcPr>
            <w:tcW w:w="520" w:type="dxa"/>
            <w:vAlign w:val="bottom"/>
            <w:tcBorders>
              <w:bottom w:val="single" w:sz="8" w:color="auto"/>
              <w:right w:val="single" w:sz="8" w:color="auto"/>
            </w:tcBorders>
            <w:shd w:val="clear" w:color="auto" w:fill="BFBFBF"/>
          </w:tcPr>
          <w:p>
            <w:pPr>
              <w:spacing w:after="0"/>
              <w:rPr>
                <w:sz w:val="12"/>
                <w:szCs w:val="12"/>
                <w:color w:val="auto"/>
              </w:rPr>
            </w:pPr>
          </w:p>
        </w:tc>
        <w:tc>
          <w:tcPr>
            <w:tcW w:w="37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4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Fairway Villas</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w:t>
            </w:r>
          </w:p>
        </w:tc>
        <w:tc>
          <w:tcPr>
            <w:tcW w:w="14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Atlantic</w:t>
            </w:r>
          </w:p>
        </w:tc>
        <w:tc>
          <w:tcPr>
            <w:tcW w:w="52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NJ</w:t>
            </w:r>
          </w:p>
        </w:tc>
        <w:tc>
          <w:tcPr>
            <w:tcW w:w="37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17"/>
        </w:trPr>
        <w:tc>
          <w:tcPr>
            <w:tcW w:w="304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r>
      <w:tr>
        <w:trPr>
          <w:trHeight w:val="160"/>
        </w:trPr>
        <w:tc>
          <w:tcPr>
            <w:tcW w:w="3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Fairway Villas Golf Course</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1</w:t>
            </w:r>
          </w:p>
        </w:tc>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Atlantic</w:t>
            </w:r>
          </w:p>
        </w:tc>
        <w:tc>
          <w:tcPr>
            <w:tcW w:w="5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NJ</w:t>
            </w:r>
          </w:p>
        </w:tc>
        <w:tc>
          <w:tcPr>
            <w:tcW w:w="3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04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Fairway Villas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2</w:t>
            </w:r>
          </w:p>
        </w:tc>
        <w:tc>
          <w:tcPr>
            <w:tcW w:w="1440" w:type="dxa"/>
            <w:vAlign w:val="bottom"/>
            <w:tcBorders>
              <w:bottom w:val="single" w:sz="8" w:color="auto"/>
              <w:right w:val="single" w:sz="8" w:color="auto"/>
            </w:tcBorders>
            <w:shd w:val="clear" w:color="auto" w:fill="BFBFBF"/>
          </w:tcPr>
          <w:p>
            <w:pPr>
              <w:spacing w:after="0"/>
              <w:rPr>
                <w:sz w:val="12"/>
                <w:szCs w:val="12"/>
                <w:color w:val="auto"/>
              </w:rPr>
            </w:pPr>
          </w:p>
        </w:tc>
        <w:tc>
          <w:tcPr>
            <w:tcW w:w="520" w:type="dxa"/>
            <w:vAlign w:val="bottom"/>
            <w:tcBorders>
              <w:bottom w:val="single" w:sz="8" w:color="auto"/>
              <w:right w:val="single" w:sz="8" w:color="auto"/>
            </w:tcBorders>
            <w:shd w:val="clear" w:color="auto" w:fill="BFBFBF"/>
          </w:tcPr>
          <w:p>
            <w:pPr>
              <w:spacing w:after="0"/>
              <w:rPr>
                <w:sz w:val="12"/>
                <w:szCs w:val="12"/>
                <w:color w:val="auto"/>
              </w:rPr>
            </w:pPr>
          </w:p>
        </w:tc>
        <w:tc>
          <w:tcPr>
            <w:tcW w:w="37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4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Grand Chateau - Sales Center</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7"/>
              </w:rPr>
              <w:t>Sales Center</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w:t>
            </w:r>
          </w:p>
        </w:tc>
        <w:tc>
          <w:tcPr>
            <w:tcW w:w="14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Clark</w:t>
            </w:r>
          </w:p>
        </w:tc>
        <w:tc>
          <w:tcPr>
            <w:tcW w:w="52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NV</w:t>
            </w:r>
          </w:p>
        </w:tc>
        <w:tc>
          <w:tcPr>
            <w:tcW w:w="37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Hard Carbon, LLC</w:t>
            </w:r>
          </w:p>
        </w:tc>
      </w:tr>
      <w:tr>
        <w:trPr>
          <w:trHeight w:val="129"/>
        </w:trPr>
        <w:tc>
          <w:tcPr>
            <w:tcW w:w="304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Grand Chateau</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59</w:t>
            </w:r>
          </w:p>
        </w:tc>
        <w:tc>
          <w:tcPr>
            <w:tcW w:w="14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Clark</w:t>
            </w:r>
          </w:p>
        </w:tc>
        <w:tc>
          <w:tcPr>
            <w:tcW w:w="52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NV</w:t>
            </w:r>
          </w:p>
        </w:tc>
        <w:tc>
          <w:tcPr>
            <w:tcW w:w="37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Hard Carbon, LLC</w:t>
            </w:r>
          </w:p>
        </w:tc>
      </w:tr>
      <w:tr>
        <w:trPr>
          <w:trHeight w:val="142"/>
        </w:trPr>
        <w:tc>
          <w:tcPr>
            <w:tcW w:w="304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Grand Chateau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60</w:t>
            </w:r>
          </w:p>
        </w:tc>
        <w:tc>
          <w:tcPr>
            <w:tcW w:w="1440" w:type="dxa"/>
            <w:vAlign w:val="bottom"/>
            <w:tcBorders>
              <w:bottom w:val="single" w:sz="8" w:color="auto"/>
              <w:right w:val="single" w:sz="8" w:color="auto"/>
            </w:tcBorders>
            <w:shd w:val="clear" w:color="auto" w:fill="BFBFBF"/>
          </w:tcPr>
          <w:p>
            <w:pPr>
              <w:spacing w:after="0"/>
              <w:rPr>
                <w:sz w:val="12"/>
                <w:szCs w:val="12"/>
                <w:color w:val="auto"/>
              </w:rPr>
            </w:pPr>
          </w:p>
        </w:tc>
        <w:tc>
          <w:tcPr>
            <w:tcW w:w="520" w:type="dxa"/>
            <w:vAlign w:val="bottom"/>
            <w:tcBorders>
              <w:bottom w:val="single" w:sz="8" w:color="auto"/>
              <w:right w:val="single" w:sz="8" w:color="auto"/>
            </w:tcBorders>
            <w:shd w:val="clear" w:color="auto" w:fill="BFBFBF"/>
          </w:tcPr>
          <w:p>
            <w:pPr>
              <w:spacing w:after="0"/>
              <w:rPr>
                <w:sz w:val="12"/>
                <w:szCs w:val="12"/>
                <w:color w:val="auto"/>
              </w:rPr>
            </w:pPr>
          </w:p>
        </w:tc>
        <w:tc>
          <w:tcPr>
            <w:tcW w:w="37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4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Barony Beach Club</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5</w:t>
            </w:r>
          </w:p>
        </w:tc>
        <w:tc>
          <w:tcPr>
            <w:tcW w:w="14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Beaufort</w:t>
            </w:r>
          </w:p>
        </w:tc>
        <w:tc>
          <w:tcPr>
            <w:tcW w:w="52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SC</w:t>
            </w:r>
          </w:p>
        </w:tc>
        <w:tc>
          <w:tcPr>
            <w:tcW w:w="37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17"/>
        </w:trPr>
        <w:tc>
          <w:tcPr>
            <w:tcW w:w="304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r>
      <w:tr>
        <w:trPr>
          <w:trHeight w:val="160"/>
        </w:trPr>
        <w:tc>
          <w:tcPr>
            <w:tcW w:w="3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Barony Beach Club - commercial units</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1</w:t>
            </w:r>
          </w:p>
        </w:tc>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Beaufort</w:t>
            </w:r>
          </w:p>
        </w:tc>
        <w:tc>
          <w:tcPr>
            <w:tcW w:w="5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SC</w:t>
            </w:r>
          </w:p>
        </w:tc>
        <w:tc>
          <w:tcPr>
            <w:tcW w:w="3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04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Barony Beach Club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6</w:t>
            </w:r>
          </w:p>
        </w:tc>
        <w:tc>
          <w:tcPr>
            <w:tcW w:w="1440" w:type="dxa"/>
            <w:vAlign w:val="bottom"/>
            <w:tcBorders>
              <w:bottom w:val="single" w:sz="8" w:color="auto"/>
              <w:right w:val="single" w:sz="8" w:color="auto"/>
            </w:tcBorders>
            <w:shd w:val="clear" w:color="auto" w:fill="BFBFBF"/>
          </w:tcPr>
          <w:p>
            <w:pPr>
              <w:spacing w:after="0"/>
              <w:rPr>
                <w:sz w:val="12"/>
                <w:szCs w:val="12"/>
                <w:color w:val="auto"/>
              </w:rPr>
            </w:pPr>
          </w:p>
        </w:tc>
        <w:tc>
          <w:tcPr>
            <w:tcW w:w="520" w:type="dxa"/>
            <w:vAlign w:val="bottom"/>
            <w:tcBorders>
              <w:bottom w:val="single" w:sz="8" w:color="auto"/>
              <w:right w:val="single" w:sz="8" w:color="auto"/>
            </w:tcBorders>
            <w:shd w:val="clear" w:color="auto" w:fill="BFBFBF"/>
          </w:tcPr>
          <w:p>
            <w:pPr>
              <w:spacing w:after="0"/>
              <w:rPr>
                <w:sz w:val="12"/>
                <w:szCs w:val="12"/>
                <w:color w:val="auto"/>
              </w:rPr>
            </w:pPr>
          </w:p>
        </w:tc>
        <w:tc>
          <w:tcPr>
            <w:tcW w:w="37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4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Grande Ocean</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w:t>
            </w:r>
          </w:p>
        </w:tc>
        <w:tc>
          <w:tcPr>
            <w:tcW w:w="14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Beaufort</w:t>
            </w:r>
          </w:p>
        </w:tc>
        <w:tc>
          <w:tcPr>
            <w:tcW w:w="52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SC</w:t>
            </w:r>
          </w:p>
        </w:tc>
        <w:tc>
          <w:tcPr>
            <w:tcW w:w="37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42"/>
        </w:trPr>
        <w:tc>
          <w:tcPr>
            <w:tcW w:w="304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Grande Ocean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1</w:t>
            </w:r>
          </w:p>
        </w:tc>
        <w:tc>
          <w:tcPr>
            <w:tcW w:w="1440" w:type="dxa"/>
            <w:vAlign w:val="bottom"/>
            <w:tcBorders>
              <w:bottom w:val="single" w:sz="8" w:color="auto"/>
              <w:right w:val="single" w:sz="8" w:color="auto"/>
            </w:tcBorders>
            <w:shd w:val="clear" w:color="auto" w:fill="BFBFBF"/>
          </w:tcPr>
          <w:p>
            <w:pPr>
              <w:spacing w:after="0"/>
              <w:rPr>
                <w:sz w:val="12"/>
                <w:szCs w:val="12"/>
                <w:color w:val="auto"/>
              </w:rPr>
            </w:pPr>
          </w:p>
        </w:tc>
        <w:tc>
          <w:tcPr>
            <w:tcW w:w="520" w:type="dxa"/>
            <w:vAlign w:val="bottom"/>
            <w:tcBorders>
              <w:bottom w:val="single" w:sz="8" w:color="auto"/>
              <w:right w:val="single" w:sz="8" w:color="auto"/>
            </w:tcBorders>
            <w:shd w:val="clear" w:color="auto" w:fill="BFBFBF"/>
          </w:tcPr>
          <w:p>
            <w:pPr>
              <w:spacing w:after="0"/>
              <w:rPr>
                <w:sz w:val="12"/>
                <w:szCs w:val="12"/>
                <w:color w:val="auto"/>
              </w:rPr>
            </w:pPr>
          </w:p>
        </w:tc>
        <w:tc>
          <w:tcPr>
            <w:tcW w:w="37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4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Monarch</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w:t>
            </w:r>
          </w:p>
        </w:tc>
        <w:tc>
          <w:tcPr>
            <w:tcW w:w="14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Beaufort</w:t>
            </w:r>
          </w:p>
        </w:tc>
        <w:tc>
          <w:tcPr>
            <w:tcW w:w="52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SC</w:t>
            </w:r>
          </w:p>
        </w:tc>
        <w:tc>
          <w:tcPr>
            <w:tcW w:w="37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42"/>
        </w:trPr>
        <w:tc>
          <w:tcPr>
            <w:tcW w:w="304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Monarch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1</w:t>
            </w:r>
          </w:p>
        </w:tc>
        <w:tc>
          <w:tcPr>
            <w:tcW w:w="1440" w:type="dxa"/>
            <w:vAlign w:val="bottom"/>
            <w:tcBorders>
              <w:bottom w:val="single" w:sz="8" w:color="auto"/>
              <w:right w:val="single" w:sz="8" w:color="auto"/>
            </w:tcBorders>
            <w:shd w:val="clear" w:color="auto" w:fill="BFBFBF"/>
          </w:tcPr>
          <w:p>
            <w:pPr>
              <w:spacing w:after="0"/>
              <w:rPr>
                <w:sz w:val="12"/>
                <w:szCs w:val="12"/>
                <w:color w:val="auto"/>
              </w:rPr>
            </w:pPr>
          </w:p>
        </w:tc>
        <w:tc>
          <w:tcPr>
            <w:tcW w:w="520" w:type="dxa"/>
            <w:vAlign w:val="bottom"/>
            <w:tcBorders>
              <w:bottom w:val="single" w:sz="8" w:color="auto"/>
              <w:right w:val="single" w:sz="8" w:color="auto"/>
            </w:tcBorders>
            <w:shd w:val="clear" w:color="auto" w:fill="BFBFBF"/>
          </w:tcPr>
          <w:p>
            <w:pPr>
              <w:spacing w:after="0"/>
              <w:rPr>
                <w:sz w:val="12"/>
                <w:szCs w:val="12"/>
                <w:color w:val="auto"/>
              </w:rPr>
            </w:pPr>
          </w:p>
        </w:tc>
        <w:tc>
          <w:tcPr>
            <w:tcW w:w="37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4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Sunset Pointe</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w:t>
            </w:r>
          </w:p>
        </w:tc>
        <w:tc>
          <w:tcPr>
            <w:tcW w:w="14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Beaufort</w:t>
            </w:r>
          </w:p>
        </w:tc>
        <w:tc>
          <w:tcPr>
            <w:tcW w:w="52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SC</w:t>
            </w:r>
          </w:p>
        </w:tc>
        <w:tc>
          <w:tcPr>
            <w:tcW w:w="37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42"/>
        </w:trPr>
        <w:tc>
          <w:tcPr>
            <w:tcW w:w="304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Sunset Pointe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1</w:t>
            </w:r>
          </w:p>
        </w:tc>
        <w:tc>
          <w:tcPr>
            <w:tcW w:w="1440" w:type="dxa"/>
            <w:vAlign w:val="bottom"/>
            <w:tcBorders>
              <w:bottom w:val="single" w:sz="8" w:color="auto"/>
              <w:right w:val="single" w:sz="8" w:color="auto"/>
            </w:tcBorders>
            <w:shd w:val="clear" w:color="auto" w:fill="BFBFBF"/>
          </w:tcPr>
          <w:p>
            <w:pPr>
              <w:spacing w:after="0"/>
              <w:rPr>
                <w:sz w:val="12"/>
                <w:szCs w:val="12"/>
                <w:color w:val="auto"/>
              </w:rPr>
            </w:pPr>
          </w:p>
        </w:tc>
        <w:tc>
          <w:tcPr>
            <w:tcW w:w="520" w:type="dxa"/>
            <w:vAlign w:val="bottom"/>
            <w:tcBorders>
              <w:bottom w:val="single" w:sz="8" w:color="auto"/>
              <w:right w:val="single" w:sz="8" w:color="auto"/>
            </w:tcBorders>
            <w:shd w:val="clear" w:color="auto" w:fill="BFBFBF"/>
          </w:tcPr>
          <w:p>
            <w:pPr>
              <w:spacing w:after="0"/>
              <w:rPr>
                <w:sz w:val="12"/>
                <w:szCs w:val="12"/>
                <w:color w:val="auto"/>
              </w:rPr>
            </w:pPr>
          </w:p>
        </w:tc>
        <w:tc>
          <w:tcPr>
            <w:tcW w:w="37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4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Surf Watch</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w:t>
            </w:r>
          </w:p>
        </w:tc>
        <w:tc>
          <w:tcPr>
            <w:tcW w:w="14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Beaufort</w:t>
            </w:r>
          </w:p>
        </w:tc>
        <w:tc>
          <w:tcPr>
            <w:tcW w:w="52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SC</w:t>
            </w:r>
          </w:p>
        </w:tc>
        <w:tc>
          <w:tcPr>
            <w:tcW w:w="37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42"/>
        </w:trPr>
        <w:tc>
          <w:tcPr>
            <w:tcW w:w="304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Surf Watch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1</w:t>
            </w:r>
          </w:p>
        </w:tc>
        <w:tc>
          <w:tcPr>
            <w:tcW w:w="1440" w:type="dxa"/>
            <w:vAlign w:val="bottom"/>
            <w:tcBorders>
              <w:bottom w:val="single" w:sz="8" w:color="auto"/>
              <w:right w:val="single" w:sz="8" w:color="auto"/>
            </w:tcBorders>
            <w:shd w:val="clear" w:color="auto" w:fill="BFBFBF"/>
          </w:tcPr>
          <w:p>
            <w:pPr>
              <w:spacing w:after="0"/>
              <w:rPr>
                <w:sz w:val="12"/>
                <w:szCs w:val="12"/>
                <w:color w:val="auto"/>
              </w:rPr>
            </w:pPr>
          </w:p>
        </w:tc>
        <w:tc>
          <w:tcPr>
            <w:tcW w:w="520" w:type="dxa"/>
            <w:vAlign w:val="bottom"/>
            <w:tcBorders>
              <w:bottom w:val="single" w:sz="8" w:color="auto"/>
              <w:right w:val="single" w:sz="8" w:color="auto"/>
            </w:tcBorders>
            <w:shd w:val="clear" w:color="auto" w:fill="BFBFBF"/>
          </w:tcPr>
          <w:p>
            <w:pPr>
              <w:spacing w:after="0"/>
              <w:rPr>
                <w:sz w:val="12"/>
                <w:szCs w:val="12"/>
                <w:color w:val="auto"/>
              </w:rPr>
            </w:pPr>
          </w:p>
        </w:tc>
        <w:tc>
          <w:tcPr>
            <w:tcW w:w="37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17"/>
        </w:trPr>
        <w:tc>
          <w:tcPr>
            <w:tcW w:w="304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r>
      <w:tr>
        <w:trPr>
          <w:trHeight w:val="160"/>
        </w:trPr>
        <w:tc>
          <w:tcPr>
            <w:tcW w:w="3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Hilton Head - Admin Building</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1</w:t>
            </w:r>
          </w:p>
        </w:tc>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Beaufort</w:t>
            </w:r>
          </w:p>
        </w:tc>
        <w:tc>
          <w:tcPr>
            <w:tcW w:w="5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SC</w:t>
            </w:r>
          </w:p>
        </w:tc>
        <w:tc>
          <w:tcPr>
            <w:tcW w:w="3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04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Hilton Head - Other Property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1</w:t>
            </w:r>
          </w:p>
        </w:tc>
        <w:tc>
          <w:tcPr>
            <w:tcW w:w="1440" w:type="dxa"/>
            <w:vAlign w:val="bottom"/>
            <w:tcBorders>
              <w:bottom w:val="single" w:sz="8" w:color="auto"/>
              <w:right w:val="single" w:sz="8" w:color="auto"/>
            </w:tcBorders>
            <w:shd w:val="clear" w:color="auto" w:fill="BFBFBF"/>
          </w:tcPr>
          <w:p>
            <w:pPr>
              <w:spacing w:after="0"/>
              <w:rPr>
                <w:sz w:val="12"/>
                <w:szCs w:val="12"/>
                <w:color w:val="auto"/>
              </w:rPr>
            </w:pPr>
          </w:p>
        </w:tc>
        <w:tc>
          <w:tcPr>
            <w:tcW w:w="520" w:type="dxa"/>
            <w:vAlign w:val="bottom"/>
            <w:tcBorders>
              <w:bottom w:val="single" w:sz="8" w:color="auto"/>
              <w:right w:val="single" w:sz="8" w:color="auto"/>
            </w:tcBorders>
            <w:shd w:val="clear" w:color="auto" w:fill="BFBFBF"/>
          </w:tcPr>
          <w:p>
            <w:pPr>
              <w:spacing w:after="0"/>
              <w:rPr>
                <w:sz w:val="12"/>
                <w:szCs w:val="12"/>
                <w:color w:val="auto"/>
              </w:rPr>
            </w:pPr>
          </w:p>
        </w:tc>
        <w:tc>
          <w:tcPr>
            <w:tcW w:w="37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17"/>
        </w:trPr>
        <w:tc>
          <w:tcPr>
            <w:tcW w:w="304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sales center - 12</w:t>
            </w:r>
          </w:p>
        </w:tc>
        <w:tc>
          <w:tcPr>
            <w:tcW w:w="112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r>
      <w:tr>
        <w:trPr>
          <w:trHeight w:val="160"/>
        </w:trPr>
        <w:tc>
          <w:tcPr>
            <w:tcW w:w="3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w w:val="97"/>
              </w:rPr>
              <w:t>Ocean Watch - Sales Center - Commercial Units A &amp; B</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7"/>
              </w:rPr>
              <w:t>villas</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12</w:t>
            </w:r>
          </w:p>
        </w:tc>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Horry</w:t>
            </w:r>
          </w:p>
        </w:tc>
        <w:tc>
          <w:tcPr>
            <w:tcW w:w="5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SC</w:t>
            </w:r>
          </w:p>
        </w:tc>
        <w:tc>
          <w:tcPr>
            <w:tcW w:w="3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Marriott Ownership Resorts, Inc.</w:t>
            </w:r>
          </w:p>
        </w:tc>
      </w:tr>
      <w:tr>
        <w:trPr>
          <w:trHeight w:val="117"/>
        </w:trPr>
        <w:tc>
          <w:tcPr>
            <w:tcW w:w="304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r>
      <w:tr>
        <w:trPr>
          <w:trHeight w:val="160"/>
        </w:trPr>
        <w:tc>
          <w:tcPr>
            <w:tcW w:w="3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Ocean Watch - CFC Commercial Unit A</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1</w:t>
            </w:r>
          </w:p>
        </w:tc>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Horry</w:t>
            </w:r>
          </w:p>
        </w:tc>
        <w:tc>
          <w:tcPr>
            <w:tcW w:w="5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SC</w:t>
            </w:r>
          </w:p>
        </w:tc>
        <w:tc>
          <w:tcPr>
            <w:tcW w:w="3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Marriott Ownership Resorts, Inc.</w:t>
            </w:r>
          </w:p>
        </w:tc>
      </w:tr>
      <w:tr>
        <w:trPr>
          <w:trHeight w:val="129"/>
        </w:trPr>
        <w:tc>
          <w:tcPr>
            <w:tcW w:w="304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Ocean Watch - Model</w:t>
            </w:r>
          </w:p>
        </w:tc>
        <w:tc>
          <w:tcPr>
            <w:tcW w:w="1580" w:type="dxa"/>
            <w:vAlign w:val="bottom"/>
            <w:tcBorders>
              <w:bottom w:val="single" w:sz="8" w:color="auto"/>
              <w:right w:val="single" w:sz="8" w:color="auto"/>
            </w:tcBorders>
          </w:tcPr>
          <w:p>
            <w:pPr>
              <w:jc w:val="center"/>
              <w:ind w:left="21"/>
              <w:spacing w:after="0" w:line="129" w:lineRule="exact"/>
              <w:rPr>
                <w:sz w:val="20"/>
                <w:szCs w:val="20"/>
                <w:color w:val="auto"/>
              </w:rPr>
            </w:pPr>
            <w:r>
              <w:rPr>
                <w:rFonts w:ascii="Arial" w:cs="Arial" w:eastAsia="Arial" w:hAnsi="Arial"/>
                <w:sz w:val="12"/>
                <w:szCs w:val="12"/>
                <w:color w:val="auto"/>
                <w:w w:val="97"/>
              </w:rPr>
              <w:t>model unit</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52</w:t>
            </w:r>
          </w:p>
        </w:tc>
        <w:tc>
          <w:tcPr>
            <w:tcW w:w="14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Horry</w:t>
            </w:r>
          </w:p>
        </w:tc>
        <w:tc>
          <w:tcPr>
            <w:tcW w:w="52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SC</w:t>
            </w:r>
          </w:p>
        </w:tc>
        <w:tc>
          <w:tcPr>
            <w:tcW w:w="37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29"/>
        </w:trPr>
        <w:tc>
          <w:tcPr>
            <w:tcW w:w="304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Ocean Watch</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2</w:t>
            </w:r>
          </w:p>
        </w:tc>
        <w:tc>
          <w:tcPr>
            <w:tcW w:w="14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Horry</w:t>
            </w:r>
          </w:p>
        </w:tc>
        <w:tc>
          <w:tcPr>
            <w:tcW w:w="52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SC</w:t>
            </w:r>
          </w:p>
        </w:tc>
        <w:tc>
          <w:tcPr>
            <w:tcW w:w="37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42"/>
        </w:trPr>
        <w:tc>
          <w:tcPr>
            <w:tcW w:w="304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Ocean Watch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67</w:t>
            </w:r>
          </w:p>
        </w:tc>
        <w:tc>
          <w:tcPr>
            <w:tcW w:w="1440" w:type="dxa"/>
            <w:vAlign w:val="bottom"/>
            <w:tcBorders>
              <w:bottom w:val="single" w:sz="8" w:color="auto"/>
              <w:right w:val="single" w:sz="8" w:color="auto"/>
            </w:tcBorders>
            <w:shd w:val="clear" w:color="auto" w:fill="BFBFBF"/>
          </w:tcPr>
          <w:p>
            <w:pPr>
              <w:spacing w:after="0"/>
              <w:rPr>
                <w:sz w:val="12"/>
                <w:szCs w:val="12"/>
                <w:color w:val="auto"/>
              </w:rPr>
            </w:pPr>
          </w:p>
        </w:tc>
        <w:tc>
          <w:tcPr>
            <w:tcW w:w="520" w:type="dxa"/>
            <w:vAlign w:val="bottom"/>
            <w:tcBorders>
              <w:bottom w:val="single" w:sz="8" w:color="auto"/>
              <w:right w:val="single" w:sz="8" w:color="auto"/>
            </w:tcBorders>
            <w:shd w:val="clear" w:color="auto" w:fill="BFBFBF"/>
          </w:tcPr>
          <w:p>
            <w:pPr>
              <w:spacing w:after="0"/>
              <w:rPr>
                <w:sz w:val="12"/>
                <w:szCs w:val="12"/>
                <w:color w:val="auto"/>
              </w:rPr>
            </w:pPr>
          </w:p>
        </w:tc>
        <w:tc>
          <w:tcPr>
            <w:tcW w:w="37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4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Mountain Side</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6</w:t>
            </w:r>
          </w:p>
        </w:tc>
        <w:tc>
          <w:tcPr>
            <w:tcW w:w="14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Summit</w:t>
            </w:r>
          </w:p>
        </w:tc>
        <w:tc>
          <w:tcPr>
            <w:tcW w:w="52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UT</w:t>
            </w:r>
          </w:p>
        </w:tc>
        <w:tc>
          <w:tcPr>
            <w:tcW w:w="37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42"/>
        </w:trPr>
        <w:tc>
          <w:tcPr>
            <w:tcW w:w="304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Mountain Side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6</w:t>
            </w:r>
          </w:p>
        </w:tc>
        <w:tc>
          <w:tcPr>
            <w:tcW w:w="1440" w:type="dxa"/>
            <w:vAlign w:val="bottom"/>
            <w:tcBorders>
              <w:bottom w:val="single" w:sz="8" w:color="auto"/>
              <w:right w:val="single" w:sz="8" w:color="auto"/>
            </w:tcBorders>
            <w:shd w:val="clear" w:color="auto" w:fill="BFBFBF"/>
          </w:tcPr>
          <w:p>
            <w:pPr>
              <w:spacing w:after="0"/>
              <w:rPr>
                <w:sz w:val="12"/>
                <w:szCs w:val="12"/>
                <w:color w:val="auto"/>
              </w:rPr>
            </w:pPr>
          </w:p>
        </w:tc>
        <w:tc>
          <w:tcPr>
            <w:tcW w:w="520" w:type="dxa"/>
            <w:vAlign w:val="bottom"/>
            <w:tcBorders>
              <w:bottom w:val="single" w:sz="8" w:color="auto"/>
              <w:right w:val="single" w:sz="8" w:color="auto"/>
            </w:tcBorders>
            <w:shd w:val="clear" w:color="auto" w:fill="BFBFBF"/>
          </w:tcPr>
          <w:p>
            <w:pPr>
              <w:spacing w:after="0"/>
              <w:rPr>
                <w:sz w:val="12"/>
                <w:szCs w:val="12"/>
                <w:color w:val="auto"/>
              </w:rPr>
            </w:pPr>
          </w:p>
        </w:tc>
        <w:tc>
          <w:tcPr>
            <w:tcW w:w="37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4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Summit Watch</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w:t>
            </w:r>
          </w:p>
        </w:tc>
        <w:tc>
          <w:tcPr>
            <w:tcW w:w="14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Summit</w:t>
            </w:r>
          </w:p>
        </w:tc>
        <w:tc>
          <w:tcPr>
            <w:tcW w:w="52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UT</w:t>
            </w:r>
          </w:p>
        </w:tc>
        <w:tc>
          <w:tcPr>
            <w:tcW w:w="37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17"/>
        </w:trPr>
        <w:tc>
          <w:tcPr>
            <w:tcW w:w="304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21"/>
              <w:spacing w:after="0" w:line="117" w:lineRule="exact"/>
              <w:rPr>
                <w:sz w:val="20"/>
                <w:szCs w:val="20"/>
                <w:color w:val="auto"/>
              </w:rPr>
            </w:pPr>
            <w:r>
              <w:rPr>
                <w:rFonts w:ascii="Arial" w:cs="Arial" w:eastAsia="Arial" w:hAnsi="Arial"/>
                <w:sz w:val="12"/>
                <w:szCs w:val="12"/>
                <w:color w:val="auto"/>
                <w:w w:val="96"/>
              </w:rPr>
              <w:t>non-borrowing</w:t>
            </w:r>
          </w:p>
        </w:tc>
        <w:tc>
          <w:tcPr>
            <w:tcW w:w="112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r>
      <w:tr>
        <w:trPr>
          <w:trHeight w:val="160"/>
        </w:trPr>
        <w:tc>
          <w:tcPr>
            <w:tcW w:w="3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Summit Watch - Aquacade</w:t>
            </w:r>
          </w:p>
        </w:tc>
        <w:tc>
          <w:tcPr>
            <w:tcW w:w="15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2"/>
                <w:szCs w:val="12"/>
                <w:color w:val="auto"/>
                <w:w w:val="99"/>
              </w:rPr>
              <w:t>base</w:t>
            </w:r>
          </w:p>
        </w:tc>
        <w:tc>
          <w:tcPr>
            <w:tcW w:w="11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1</w:t>
            </w:r>
          </w:p>
        </w:tc>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Summit</w:t>
            </w:r>
          </w:p>
        </w:tc>
        <w:tc>
          <w:tcPr>
            <w:tcW w:w="5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UT</w:t>
            </w:r>
          </w:p>
        </w:tc>
        <w:tc>
          <w:tcPr>
            <w:tcW w:w="3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Marriott Ownership Resorts, Inc.</w:t>
            </w:r>
          </w:p>
        </w:tc>
      </w:tr>
      <w:tr>
        <w:trPr>
          <w:trHeight w:val="142"/>
        </w:trPr>
        <w:tc>
          <w:tcPr>
            <w:tcW w:w="304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Summit Watch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2</w:t>
            </w:r>
          </w:p>
        </w:tc>
        <w:tc>
          <w:tcPr>
            <w:tcW w:w="1440" w:type="dxa"/>
            <w:vAlign w:val="bottom"/>
            <w:tcBorders>
              <w:bottom w:val="single" w:sz="8" w:color="auto"/>
              <w:right w:val="single" w:sz="8" w:color="auto"/>
            </w:tcBorders>
            <w:shd w:val="clear" w:color="auto" w:fill="BFBFBF"/>
          </w:tcPr>
          <w:p>
            <w:pPr>
              <w:spacing w:after="0"/>
              <w:rPr>
                <w:sz w:val="12"/>
                <w:szCs w:val="12"/>
                <w:color w:val="auto"/>
              </w:rPr>
            </w:pPr>
          </w:p>
        </w:tc>
        <w:tc>
          <w:tcPr>
            <w:tcW w:w="520" w:type="dxa"/>
            <w:vAlign w:val="bottom"/>
            <w:tcBorders>
              <w:bottom w:val="single" w:sz="8" w:color="auto"/>
              <w:right w:val="single" w:sz="8" w:color="auto"/>
            </w:tcBorders>
            <w:shd w:val="clear" w:color="auto" w:fill="BFBFBF"/>
          </w:tcPr>
          <w:p>
            <w:pPr>
              <w:spacing w:after="0"/>
              <w:rPr>
                <w:sz w:val="12"/>
                <w:szCs w:val="12"/>
                <w:color w:val="auto"/>
              </w:rPr>
            </w:pPr>
          </w:p>
        </w:tc>
        <w:tc>
          <w:tcPr>
            <w:tcW w:w="37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4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Manor Club Sequel</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w:t>
            </w:r>
          </w:p>
        </w:tc>
        <w:tc>
          <w:tcPr>
            <w:tcW w:w="14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James City</w:t>
            </w:r>
          </w:p>
        </w:tc>
        <w:tc>
          <w:tcPr>
            <w:tcW w:w="52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VA</w:t>
            </w:r>
          </w:p>
        </w:tc>
        <w:tc>
          <w:tcPr>
            <w:tcW w:w="37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42"/>
        </w:trPr>
        <w:tc>
          <w:tcPr>
            <w:tcW w:w="304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Manor Club Sequel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1</w:t>
            </w:r>
          </w:p>
        </w:tc>
        <w:tc>
          <w:tcPr>
            <w:tcW w:w="1440" w:type="dxa"/>
            <w:vAlign w:val="bottom"/>
            <w:tcBorders>
              <w:bottom w:val="single" w:sz="8" w:color="auto"/>
              <w:right w:val="single" w:sz="8" w:color="auto"/>
            </w:tcBorders>
            <w:shd w:val="clear" w:color="auto" w:fill="BFBFBF"/>
          </w:tcPr>
          <w:p>
            <w:pPr>
              <w:spacing w:after="0"/>
              <w:rPr>
                <w:sz w:val="12"/>
                <w:szCs w:val="12"/>
                <w:color w:val="auto"/>
              </w:rPr>
            </w:pPr>
          </w:p>
        </w:tc>
        <w:tc>
          <w:tcPr>
            <w:tcW w:w="520" w:type="dxa"/>
            <w:vAlign w:val="bottom"/>
            <w:tcBorders>
              <w:bottom w:val="single" w:sz="8" w:color="auto"/>
              <w:right w:val="single" w:sz="8" w:color="auto"/>
            </w:tcBorders>
            <w:shd w:val="clear" w:color="auto" w:fill="BFBFBF"/>
          </w:tcPr>
          <w:p>
            <w:pPr>
              <w:spacing w:after="0"/>
              <w:rPr>
                <w:sz w:val="12"/>
                <w:szCs w:val="12"/>
                <w:color w:val="auto"/>
              </w:rPr>
            </w:pPr>
          </w:p>
        </w:tc>
        <w:tc>
          <w:tcPr>
            <w:tcW w:w="374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29"/>
        </w:trPr>
        <w:tc>
          <w:tcPr>
            <w:tcW w:w="3040" w:type="dxa"/>
            <w:vAlign w:val="bottom"/>
            <w:tcBorders>
              <w:left w:val="single" w:sz="8" w:color="auto"/>
              <w:bottom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color w:val="auto"/>
              </w:rPr>
              <w:t>Manor Club</w:t>
            </w:r>
          </w:p>
        </w:tc>
        <w:tc>
          <w:tcPr>
            <w:tcW w:w="15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96"/>
              </w:rPr>
              <w:t>legacy inventory</w:t>
            </w:r>
          </w:p>
        </w:tc>
        <w:tc>
          <w:tcPr>
            <w:tcW w:w="1120" w:type="dxa"/>
            <w:vAlign w:val="bottom"/>
            <w:tcBorders>
              <w:bottom w:val="single" w:sz="8" w:color="auto"/>
              <w:right w:val="single" w:sz="8" w:color="auto"/>
            </w:tcBorders>
          </w:tcPr>
          <w:p>
            <w:pPr>
              <w:jc w:val="right"/>
              <w:ind w:right="21"/>
              <w:spacing w:after="0" w:line="129" w:lineRule="exact"/>
              <w:rPr>
                <w:sz w:val="20"/>
                <w:szCs w:val="20"/>
                <w:color w:val="auto"/>
              </w:rPr>
            </w:pPr>
            <w:r>
              <w:rPr>
                <w:rFonts w:ascii="Arial" w:cs="Arial" w:eastAsia="Arial" w:hAnsi="Arial"/>
                <w:sz w:val="12"/>
                <w:szCs w:val="12"/>
                <w:color w:val="auto"/>
              </w:rPr>
              <w:t>1</w:t>
            </w:r>
          </w:p>
        </w:tc>
        <w:tc>
          <w:tcPr>
            <w:tcW w:w="14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James City</w:t>
            </w:r>
          </w:p>
        </w:tc>
        <w:tc>
          <w:tcPr>
            <w:tcW w:w="520" w:type="dxa"/>
            <w:vAlign w:val="bottom"/>
            <w:tcBorders>
              <w:bottom w:val="single" w:sz="8" w:color="auto"/>
              <w:right w:val="single" w:sz="8" w:color="auto"/>
            </w:tcBorders>
          </w:tcPr>
          <w:p>
            <w:pPr>
              <w:ind w:left="220"/>
              <w:spacing w:after="0" w:line="129" w:lineRule="exact"/>
              <w:rPr>
                <w:sz w:val="20"/>
                <w:szCs w:val="20"/>
                <w:color w:val="auto"/>
              </w:rPr>
            </w:pPr>
            <w:r>
              <w:rPr>
                <w:rFonts w:ascii="Arial" w:cs="Arial" w:eastAsia="Arial" w:hAnsi="Arial"/>
                <w:sz w:val="12"/>
                <w:szCs w:val="12"/>
                <w:color w:val="auto"/>
              </w:rPr>
              <w:t>VA</w:t>
            </w:r>
          </w:p>
        </w:tc>
        <w:tc>
          <w:tcPr>
            <w:tcW w:w="37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Marriott Ownership Resorts, Inc.</w:t>
            </w:r>
          </w:p>
        </w:tc>
      </w:tr>
      <w:tr>
        <w:trPr>
          <w:trHeight w:val="142"/>
        </w:trPr>
        <w:tc>
          <w:tcPr>
            <w:tcW w:w="304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2"/>
                <w:szCs w:val="12"/>
                <w:b w:val="1"/>
                <w:bCs w:val="1"/>
                <w:color w:val="auto"/>
              </w:rPr>
              <w:t>Manor Club Total</w:t>
            </w:r>
          </w:p>
        </w:tc>
        <w:tc>
          <w:tcPr>
            <w:tcW w:w="1580" w:type="dxa"/>
            <w:vAlign w:val="bottom"/>
            <w:tcBorders>
              <w:bottom w:val="single" w:sz="8" w:color="auto"/>
              <w:right w:val="single" w:sz="8" w:color="auto"/>
            </w:tcBorders>
            <w:shd w:val="clear" w:color="auto" w:fill="BFBFBF"/>
          </w:tcPr>
          <w:p>
            <w:pPr>
              <w:spacing w:after="0"/>
              <w:rPr>
                <w:sz w:val="12"/>
                <w:szCs w:val="12"/>
                <w:color w:val="auto"/>
              </w:rPr>
            </w:pPr>
          </w:p>
        </w:tc>
        <w:tc>
          <w:tcPr>
            <w:tcW w:w="1120" w:type="dxa"/>
            <w:vAlign w:val="bottom"/>
            <w:tcBorders>
              <w:bottom w:val="single" w:sz="8" w:color="auto"/>
              <w:right w:val="single" w:sz="8" w:color="auto"/>
            </w:tcBorders>
            <w:shd w:val="clear" w:color="auto" w:fill="BFBFBF"/>
          </w:tcPr>
          <w:p>
            <w:pPr>
              <w:jc w:val="right"/>
              <w:ind w:right="21"/>
              <w:spacing w:after="0"/>
              <w:rPr>
                <w:sz w:val="20"/>
                <w:szCs w:val="20"/>
                <w:color w:val="auto"/>
              </w:rPr>
            </w:pPr>
            <w:r>
              <w:rPr>
                <w:rFonts w:ascii="Arial" w:cs="Arial" w:eastAsia="Arial" w:hAnsi="Arial"/>
                <w:sz w:val="12"/>
                <w:szCs w:val="12"/>
                <w:b w:val="1"/>
                <w:bCs w:val="1"/>
                <w:color w:val="auto"/>
              </w:rPr>
              <w:t>1</w:t>
            </w:r>
          </w:p>
        </w:tc>
        <w:tc>
          <w:tcPr>
            <w:tcW w:w="1440" w:type="dxa"/>
            <w:vAlign w:val="bottom"/>
            <w:tcBorders>
              <w:bottom w:val="single" w:sz="8" w:color="auto"/>
              <w:right w:val="single" w:sz="8" w:color="auto"/>
            </w:tcBorders>
            <w:shd w:val="clear" w:color="auto" w:fill="BFBFBF"/>
          </w:tcPr>
          <w:p>
            <w:pPr>
              <w:spacing w:after="0"/>
              <w:rPr>
                <w:sz w:val="12"/>
                <w:szCs w:val="12"/>
                <w:color w:val="auto"/>
              </w:rPr>
            </w:pPr>
          </w:p>
        </w:tc>
        <w:tc>
          <w:tcPr>
            <w:tcW w:w="520" w:type="dxa"/>
            <w:vAlign w:val="bottom"/>
            <w:tcBorders>
              <w:bottom w:val="single" w:sz="8" w:color="auto"/>
              <w:right w:val="single" w:sz="8" w:color="auto"/>
            </w:tcBorders>
            <w:shd w:val="clear" w:color="auto" w:fill="BFBFBF"/>
          </w:tcPr>
          <w:p>
            <w:pPr>
              <w:spacing w:after="0"/>
              <w:rPr>
                <w:sz w:val="12"/>
                <w:szCs w:val="12"/>
                <w:color w:val="auto"/>
              </w:rPr>
            </w:pPr>
          </w:p>
        </w:tc>
        <w:tc>
          <w:tcPr>
            <w:tcW w:w="3740" w:type="dxa"/>
            <w:vAlign w:val="bottom"/>
            <w:tcBorders>
              <w:bottom w:val="single" w:sz="8" w:color="auto"/>
              <w:right w:val="single" w:sz="8" w:color="auto"/>
            </w:tcBorders>
            <w:shd w:val="clear" w:color="auto" w:fill="BFBFBF"/>
          </w:tcPr>
          <w:p>
            <w:pPr>
              <w:spacing w:after="0"/>
              <w:rPr>
                <w:sz w:val="12"/>
                <w:szCs w:val="12"/>
                <w:color w:val="auto"/>
              </w:rPr>
            </w:pPr>
          </w:p>
        </w:tc>
      </w:tr>
    </w:tbl>
    <w:p>
      <w:pPr>
        <w:spacing w:after="0" w:line="204" w:lineRule="exact"/>
        <w:rPr>
          <w:sz w:val="20"/>
          <w:szCs w:val="20"/>
          <w:color w:val="auto"/>
        </w:rPr>
      </w:pPr>
    </w:p>
    <w:p>
      <w:pPr>
        <w:spacing w:after="0"/>
        <w:tabs>
          <w:tab w:leader="none" w:pos="380" w:val="left"/>
        </w:tabs>
        <w:rPr>
          <w:sz w:val="20"/>
          <w:szCs w:val="20"/>
          <w:color w:val="auto"/>
        </w:rPr>
      </w:pPr>
      <w:r>
        <w:rPr>
          <w:rFonts w:ascii="Arial" w:cs="Arial" w:eastAsia="Arial" w:hAnsi="Arial"/>
          <w:sz w:val="12"/>
          <w:szCs w:val="12"/>
          <w:b w:val="1"/>
          <w:bCs w:val="1"/>
          <w:i w:val="1"/>
          <w:iCs w:val="1"/>
          <w:color w:val="auto"/>
        </w:rPr>
        <w:t>Note:</w:t>
      </w:r>
      <w:r>
        <w:rPr>
          <w:sz w:val="20"/>
          <w:szCs w:val="20"/>
          <w:color w:val="auto"/>
        </w:rPr>
        <w:tab/>
      </w:r>
      <w:r>
        <w:rPr>
          <w:rFonts w:ascii="Arial" w:cs="Arial" w:eastAsia="Arial" w:hAnsi="Arial"/>
          <w:sz w:val="11"/>
          <w:szCs w:val="11"/>
          <w:color w:val="auto"/>
        </w:rPr>
        <w:t>Schedule 1.1 C includes inventory that may have been released in the normal course of business after June 19, 2015.</w:t>
      </w:r>
    </w:p>
    <w:p>
      <w:pPr>
        <w:sectPr>
          <w:pgSz w:w="11900" w:h="16838" w:orient="portrait"/>
          <w:cols w:equalWidth="0" w:num="1">
            <w:col w:w="11440"/>
          </w:cols>
          <w:pgMar w:left="240" w:top="266" w:right="219" w:bottom="1440" w:gutter="0" w:footer="0" w:header="0"/>
        </w:sectPr>
      </w:pPr>
    </w:p>
    <w:bookmarkStart w:id="207" w:name="page208"/>
    <w:bookmarkEnd w:id="207"/>
    <w:tbl>
      <w:tblPr>
        <w:tblLayout w:type="fixed"/>
        <w:tblInd w:w="10" w:type="dxa"/>
        <w:tblCellMar>
          <w:top w:w="0" w:type="dxa"/>
          <w:left w:w="0" w:type="dxa"/>
          <w:bottom w:w="0" w:type="dxa"/>
          <w:right w:w="0" w:type="dxa"/>
        </w:tblCellMar>
      </w:tblPr>
      <w:tr>
        <w:trPr>
          <w:trHeight w:val="262"/>
        </w:trPr>
        <w:tc>
          <w:tcPr>
            <w:tcW w:w="286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Exhibit D</w:t>
            </w:r>
          </w:p>
        </w:tc>
      </w:tr>
      <w:tr>
        <w:trPr>
          <w:trHeight w:val="446"/>
        </w:trPr>
        <w:tc>
          <w:tcPr>
            <w:tcW w:w="2860" w:type="dxa"/>
            <w:vAlign w:val="bottom"/>
          </w:tcPr>
          <w:p>
            <w:pPr>
              <w:spacing w:after="0"/>
              <w:rPr>
                <w:sz w:val="24"/>
                <w:szCs w:val="24"/>
                <w:color w:val="auto"/>
              </w:rPr>
            </w:pPr>
          </w:p>
        </w:tc>
        <w:tc>
          <w:tcPr>
            <w:tcW w:w="5620" w:type="dxa"/>
            <w:vAlign w:val="bottom"/>
          </w:tcPr>
          <w:p>
            <w:pPr>
              <w:ind w:left="2280"/>
              <w:spacing w:after="0"/>
              <w:rPr>
                <w:sz w:val="20"/>
                <w:szCs w:val="20"/>
                <w:color w:val="auto"/>
              </w:rPr>
            </w:pPr>
            <w:r>
              <w:rPr>
                <w:rFonts w:ascii="Times New Roman" w:cs="Times New Roman" w:eastAsia="Times New Roman" w:hAnsi="Times New Roman"/>
                <w:sz w:val="20"/>
                <w:szCs w:val="20"/>
                <w:b w:val="1"/>
                <w:bCs w:val="1"/>
                <w:color w:val="auto"/>
              </w:rPr>
              <w:t>Schedule 4.21</w:t>
            </w: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6"/>
        </w:trPr>
        <w:tc>
          <w:tcPr>
            <w:tcW w:w="2860" w:type="dxa"/>
            <w:vAlign w:val="bottom"/>
          </w:tcPr>
          <w:p>
            <w:pPr>
              <w:spacing w:after="0"/>
              <w:rPr>
                <w:sz w:val="24"/>
                <w:szCs w:val="24"/>
                <w:color w:val="auto"/>
              </w:rPr>
            </w:pPr>
          </w:p>
        </w:tc>
        <w:tc>
          <w:tcPr>
            <w:tcW w:w="5620" w:type="dxa"/>
            <w:vAlign w:val="bottom"/>
          </w:tcPr>
          <w:p>
            <w:pPr>
              <w:ind w:left="1620"/>
              <w:spacing w:after="0"/>
              <w:rPr>
                <w:sz w:val="20"/>
                <w:szCs w:val="20"/>
                <w:color w:val="auto"/>
              </w:rPr>
            </w:pPr>
            <w:r>
              <w:rPr>
                <w:rFonts w:ascii="Times New Roman" w:cs="Times New Roman" w:eastAsia="Times New Roman" w:hAnsi="Times New Roman"/>
                <w:sz w:val="20"/>
                <w:szCs w:val="20"/>
                <w:b w:val="1"/>
                <w:bCs w:val="1"/>
                <w:color w:val="auto"/>
              </w:rPr>
              <w:t>Real Property in Flood Areas</w:t>
            </w: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286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196"/>
        </w:trPr>
        <w:tc>
          <w:tcPr>
            <w:tcW w:w="2860" w:type="dxa"/>
            <w:vAlign w:val="bottom"/>
            <w:tcBorders>
              <w:left w:val="single" w:sz="8" w:color="auto"/>
              <w:right w:val="single" w:sz="8" w:color="auto"/>
            </w:tcBorders>
            <w:shd w:val="clear" w:color="auto" w:fill="7F7F7F"/>
          </w:tcPr>
          <w:p>
            <w:pPr>
              <w:ind w:left="820"/>
              <w:spacing w:after="0" w:line="196" w:lineRule="exact"/>
              <w:rPr>
                <w:sz w:val="20"/>
                <w:szCs w:val="20"/>
                <w:color w:val="auto"/>
              </w:rPr>
            </w:pPr>
            <w:r>
              <w:rPr>
                <w:rFonts w:ascii="Times New Roman" w:cs="Times New Roman" w:eastAsia="Times New Roman" w:hAnsi="Times New Roman"/>
                <w:sz w:val="20"/>
                <w:szCs w:val="20"/>
                <w:b w:val="1"/>
                <w:bCs w:val="1"/>
                <w:color w:val="auto"/>
              </w:rPr>
              <w:t>Resort/Property</w:t>
            </w:r>
          </w:p>
        </w:tc>
        <w:tc>
          <w:tcPr>
            <w:tcW w:w="5620" w:type="dxa"/>
            <w:vAlign w:val="bottom"/>
            <w:tcBorders>
              <w:right w:val="single" w:sz="8" w:color="auto"/>
            </w:tcBorders>
            <w:shd w:val="clear" w:color="auto" w:fill="7F7F7F"/>
          </w:tcPr>
          <w:p>
            <w:pPr>
              <w:ind w:left="2540"/>
              <w:spacing w:after="0" w:line="196" w:lineRule="exact"/>
              <w:rPr>
                <w:sz w:val="20"/>
                <w:szCs w:val="20"/>
                <w:color w:val="auto"/>
              </w:rPr>
            </w:pPr>
            <w:r>
              <w:rPr>
                <w:rFonts w:ascii="Times New Roman" w:cs="Times New Roman" w:eastAsia="Times New Roman" w:hAnsi="Times New Roman"/>
                <w:sz w:val="20"/>
                <w:szCs w:val="20"/>
                <w:b w:val="1"/>
                <w:bCs w:val="1"/>
                <w:color w:val="auto"/>
              </w:rPr>
              <w:t>Building</w:t>
            </w:r>
          </w:p>
        </w:tc>
        <w:tc>
          <w:tcPr>
            <w:tcW w:w="1360" w:type="dxa"/>
            <w:vAlign w:val="bottom"/>
            <w:tcBorders>
              <w:right w:val="single" w:sz="8" w:color="auto"/>
            </w:tcBorders>
            <w:shd w:val="clear" w:color="auto" w:fill="7F7F7F"/>
          </w:tcPr>
          <w:p>
            <w:pPr>
              <w:ind w:left="460"/>
              <w:spacing w:after="0" w:line="196" w:lineRule="exact"/>
              <w:rPr>
                <w:sz w:val="20"/>
                <w:szCs w:val="20"/>
                <w:color w:val="auto"/>
              </w:rPr>
            </w:pPr>
            <w:r>
              <w:rPr>
                <w:rFonts w:ascii="Times New Roman" w:cs="Times New Roman" w:eastAsia="Times New Roman" w:hAnsi="Times New Roman"/>
                <w:sz w:val="20"/>
                <w:szCs w:val="20"/>
                <w:b w:val="1"/>
                <w:bCs w:val="1"/>
                <w:color w:val="auto"/>
              </w:rPr>
              <w:t>County</w:t>
            </w:r>
          </w:p>
        </w:tc>
        <w:tc>
          <w:tcPr>
            <w:tcW w:w="740" w:type="dxa"/>
            <w:vAlign w:val="bottom"/>
            <w:tcBorders>
              <w:right w:val="single" w:sz="8" w:color="auto"/>
            </w:tcBorders>
            <w:shd w:val="clear" w:color="auto" w:fill="7F7F7F"/>
          </w:tcPr>
          <w:p>
            <w:pPr>
              <w:ind w:left="200"/>
              <w:spacing w:after="0" w:line="196" w:lineRule="exact"/>
              <w:rPr>
                <w:sz w:val="20"/>
                <w:szCs w:val="20"/>
                <w:color w:val="auto"/>
              </w:rPr>
            </w:pPr>
            <w:r>
              <w:rPr>
                <w:rFonts w:ascii="Times New Roman" w:cs="Times New Roman" w:eastAsia="Times New Roman" w:hAnsi="Times New Roman"/>
                <w:sz w:val="20"/>
                <w:szCs w:val="20"/>
                <w:b w:val="1"/>
                <w:bCs w:val="1"/>
                <w:color w:val="auto"/>
              </w:rPr>
              <w:t>State</w:t>
            </w:r>
          </w:p>
        </w:tc>
        <w:tc>
          <w:tcPr>
            <w:tcW w:w="860" w:type="dxa"/>
            <w:vAlign w:val="bottom"/>
            <w:tcBorders>
              <w:right w:val="single" w:sz="8" w:color="auto"/>
            </w:tcBorders>
            <w:shd w:val="clear" w:color="auto" w:fill="7F7F7F"/>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auto"/>
              </w:rPr>
              <w:t>Flood</w:t>
            </w:r>
          </w:p>
        </w:tc>
      </w:tr>
      <w:tr>
        <w:trPr>
          <w:trHeight w:val="256"/>
        </w:trPr>
        <w:tc>
          <w:tcPr>
            <w:tcW w:w="2860" w:type="dxa"/>
            <w:vAlign w:val="bottom"/>
            <w:tcBorders>
              <w:left w:val="single" w:sz="8" w:color="auto"/>
              <w:bottom w:val="single" w:sz="8" w:color="auto"/>
              <w:right w:val="single" w:sz="8" w:color="auto"/>
            </w:tcBorders>
            <w:shd w:val="clear" w:color="auto" w:fill="7F7F7F"/>
          </w:tcPr>
          <w:p>
            <w:pPr>
              <w:spacing w:after="0"/>
              <w:rPr>
                <w:sz w:val="22"/>
                <w:szCs w:val="22"/>
                <w:color w:val="auto"/>
              </w:rPr>
            </w:pPr>
          </w:p>
        </w:tc>
        <w:tc>
          <w:tcPr>
            <w:tcW w:w="5620" w:type="dxa"/>
            <w:vAlign w:val="bottom"/>
            <w:tcBorders>
              <w:bottom w:val="single" w:sz="8" w:color="auto"/>
              <w:right w:val="single" w:sz="8" w:color="auto"/>
            </w:tcBorders>
            <w:shd w:val="clear" w:color="auto" w:fill="7F7F7F"/>
          </w:tcPr>
          <w:p>
            <w:pPr>
              <w:spacing w:after="0"/>
              <w:rPr>
                <w:sz w:val="22"/>
                <w:szCs w:val="22"/>
                <w:color w:val="auto"/>
              </w:rPr>
            </w:pPr>
          </w:p>
        </w:tc>
        <w:tc>
          <w:tcPr>
            <w:tcW w:w="1360" w:type="dxa"/>
            <w:vAlign w:val="bottom"/>
            <w:tcBorders>
              <w:bottom w:val="single" w:sz="8" w:color="auto"/>
              <w:right w:val="single" w:sz="8" w:color="auto"/>
            </w:tcBorders>
            <w:shd w:val="clear" w:color="auto" w:fill="7F7F7F"/>
          </w:tcPr>
          <w:p>
            <w:pPr>
              <w:spacing w:after="0"/>
              <w:rPr>
                <w:sz w:val="22"/>
                <w:szCs w:val="22"/>
                <w:color w:val="auto"/>
              </w:rPr>
            </w:pPr>
          </w:p>
        </w:tc>
        <w:tc>
          <w:tcPr>
            <w:tcW w:w="740" w:type="dxa"/>
            <w:vAlign w:val="bottom"/>
            <w:tcBorders>
              <w:bottom w:val="single" w:sz="8" w:color="auto"/>
              <w:right w:val="single" w:sz="8" w:color="auto"/>
            </w:tcBorders>
            <w:shd w:val="clear" w:color="auto" w:fill="7F7F7F"/>
          </w:tcPr>
          <w:p>
            <w:pPr>
              <w:spacing w:after="0"/>
              <w:rPr>
                <w:sz w:val="22"/>
                <w:szCs w:val="22"/>
                <w:color w:val="auto"/>
              </w:rPr>
            </w:pPr>
          </w:p>
        </w:tc>
        <w:tc>
          <w:tcPr>
            <w:tcW w:w="860" w:type="dxa"/>
            <w:vAlign w:val="bottom"/>
            <w:tcBorders>
              <w:bottom w:val="single" w:sz="8" w:color="auto"/>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Zone</w:t>
            </w:r>
          </w:p>
        </w:tc>
      </w:tr>
      <w:tr>
        <w:trPr>
          <w:trHeight w:val="223"/>
        </w:trPr>
        <w:tc>
          <w:tcPr>
            <w:tcW w:w="286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Mountain Valley Lodge</w:t>
            </w:r>
          </w:p>
        </w:tc>
        <w:tc>
          <w:tcPr>
            <w:tcW w:w="5620" w:type="dxa"/>
            <w:vAlign w:val="bottom"/>
            <w:tcBorders>
              <w:bottom w:val="single" w:sz="8" w:color="auto"/>
              <w:right w:val="single" w:sz="8" w:color="auto"/>
            </w:tcBorders>
          </w:tcPr>
          <w:p>
            <w:pPr>
              <w:ind w:left="180"/>
              <w:spacing w:after="0" w:line="223" w:lineRule="exact"/>
              <w:rPr>
                <w:sz w:val="20"/>
                <w:szCs w:val="20"/>
                <w:color w:val="auto"/>
              </w:rPr>
            </w:pPr>
            <w:r>
              <w:rPr>
                <w:rFonts w:ascii="Times New Roman" w:cs="Times New Roman" w:eastAsia="Times New Roman" w:hAnsi="Times New Roman"/>
                <w:sz w:val="20"/>
                <w:szCs w:val="20"/>
                <w:color w:val="auto"/>
              </w:rPr>
              <w:t>Creekside, Downhill, Eagle</w:t>
            </w:r>
          </w:p>
        </w:tc>
        <w:tc>
          <w:tcPr>
            <w:tcW w:w="1360" w:type="dxa"/>
            <w:vAlign w:val="bottom"/>
            <w:tcBorders>
              <w:bottom w:val="single" w:sz="8" w:color="auto"/>
              <w:right w:val="single" w:sz="8" w:color="auto"/>
            </w:tcBorders>
          </w:tcPr>
          <w:p>
            <w:pPr>
              <w:ind w:left="200"/>
              <w:spacing w:after="0" w:line="223" w:lineRule="exact"/>
              <w:rPr>
                <w:sz w:val="20"/>
                <w:szCs w:val="20"/>
                <w:color w:val="auto"/>
              </w:rPr>
            </w:pPr>
            <w:r>
              <w:rPr>
                <w:rFonts w:ascii="Times New Roman" w:cs="Times New Roman" w:eastAsia="Times New Roman" w:hAnsi="Times New Roman"/>
                <w:sz w:val="20"/>
                <w:szCs w:val="20"/>
                <w:color w:val="auto"/>
              </w:rPr>
              <w:t>Summit</w:t>
            </w:r>
          </w:p>
        </w:tc>
        <w:tc>
          <w:tcPr>
            <w:tcW w:w="74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rPr>
              <w:t>CO</w:t>
            </w:r>
          </w:p>
        </w:tc>
        <w:tc>
          <w:tcPr>
            <w:tcW w:w="860" w:type="dxa"/>
            <w:vAlign w:val="bottom"/>
            <w:tcBorders>
              <w:bottom w:val="single" w:sz="8" w:color="auto"/>
              <w:right w:val="single" w:sz="8" w:color="auto"/>
            </w:tcBorders>
          </w:tcPr>
          <w:p>
            <w:pPr>
              <w:jc w:val="center"/>
              <w:ind w:left="101"/>
              <w:spacing w:after="0" w:line="223" w:lineRule="exact"/>
              <w:rPr>
                <w:sz w:val="20"/>
                <w:szCs w:val="20"/>
                <w:color w:val="auto"/>
              </w:rPr>
            </w:pPr>
            <w:r>
              <w:rPr>
                <w:rFonts w:ascii="Times New Roman" w:cs="Times New Roman" w:eastAsia="Times New Roman" w:hAnsi="Times New Roman"/>
                <w:sz w:val="20"/>
                <w:szCs w:val="20"/>
                <w:color w:val="auto"/>
                <w:w w:val="97"/>
              </w:rPr>
              <w:t>AE</w:t>
            </w:r>
          </w:p>
        </w:tc>
      </w:tr>
      <w:tr>
        <w:trPr>
          <w:trHeight w:val="223"/>
        </w:trPr>
        <w:tc>
          <w:tcPr>
            <w:tcW w:w="286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Beach Place</w:t>
            </w:r>
          </w:p>
        </w:tc>
        <w:tc>
          <w:tcPr>
            <w:tcW w:w="5620" w:type="dxa"/>
            <w:vAlign w:val="bottom"/>
            <w:tcBorders>
              <w:bottom w:val="single" w:sz="8" w:color="auto"/>
              <w:right w:val="single" w:sz="8" w:color="auto"/>
            </w:tcBorders>
          </w:tcPr>
          <w:p>
            <w:pPr>
              <w:ind w:left="180"/>
              <w:spacing w:after="0" w:line="223" w:lineRule="exact"/>
              <w:rPr>
                <w:sz w:val="20"/>
                <w:szCs w:val="20"/>
                <w:color w:val="auto"/>
              </w:rPr>
            </w:pPr>
            <w:r>
              <w:rPr>
                <w:rFonts w:ascii="Times New Roman" w:cs="Times New Roman" w:eastAsia="Times New Roman" w:hAnsi="Times New Roman"/>
                <w:sz w:val="20"/>
                <w:szCs w:val="20"/>
                <w:color w:val="auto"/>
              </w:rPr>
              <w:t>1</w:t>
            </w:r>
          </w:p>
        </w:tc>
        <w:tc>
          <w:tcPr>
            <w:tcW w:w="1360" w:type="dxa"/>
            <w:vAlign w:val="bottom"/>
            <w:tcBorders>
              <w:bottom w:val="single" w:sz="8" w:color="auto"/>
              <w:right w:val="single" w:sz="8" w:color="auto"/>
            </w:tcBorders>
          </w:tcPr>
          <w:p>
            <w:pPr>
              <w:ind w:left="200"/>
              <w:spacing w:after="0" w:line="223" w:lineRule="exact"/>
              <w:rPr>
                <w:sz w:val="20"/>
                <w:szCs w:val="20"/>
                <w:color w:val="auto"/>
              </w:rPr>
            </w:pPr>
            <w:r>
              <w:rPr>
                <w:rFonts w:ascii="Times New Roman" w:cs="Times New Roman" w:eastAsia="Times New Roman" w:hAnsi="Times New Roman"/>
                <w:sz w:val="20"/>
                <w:szCs w:val="20"/>
                <w:color w:val="auto"/>
              </w:rPr>
              <w:t>Broward</w:t>
            </w:r>
          </w:p>
        </w:tc>
        <w:tc>
          <w:tcPr>
            <w:tcW w:w="74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rPr>
              <w:t>FL</w:t>
            </w:r>
          </w:p>
        </w:tc>
        <w:tc>
          <w:tcPr>
            <w:tcW w:w="86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w w:val="96"/>
              </w:rPr>
              <w:t>AO</w:t>
            </w:r>
          </w:p>
        </w:tc>
      </w:tr>
      <w:tr>
        <w:trPr>
          <w:trHeight w:val="223"/>
        </w:trPr>
        <w:tc>
          <w:tcPr>
            <w:tcW w:w="286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Crystal Shores</w:t>
            </w:r>
          </w:p>
        </w:tc>
        <w:tc>
          <w:tcPr>
            <w:tcW w:w="5620" w:type="dxa"/>
            <w:vAlign w:val="bottom"/>
            <w:tcBorders>
              <w:bottom w:val="single" w:sz="8" w:color="auto"/>
              <w:right w:val="single" w:sz="8" w:color="auto"/>
            </w:tcBorders>
          </w:tcPr>
          <w:p>
            <w:pPr>
              <w:ind w:left="180"/>
              <w:spacing w:after="0" w:line="223" w:lineRule="exact"/>
              <w:rPr>
                <w:sz w:val="20"/>
                <w:szCs w:val="20"/>
                <w:color w:val="auto"/>
              </w:rPr>
            </w:pPr>
            <w:r>
              <w:rPr>
                <w:rFonts w:ascii="Times New Roman" w:cs="Times New Roman" w:eastAsia="Times New Roman" w:hAnsi="Times New Roman"/>
                <w:sz w:val="20"/>
                <w:szCs w:val="20"/>
                <w:color w:val="auto"/>
              </w:rPr>
              <w:t>A, B, Stilts Restaurant, CFB</w:t>
            </w:r>
          </w:p>
        </w:tc>
        <w:tc>
          <w:tcPr>
            <w:tcW w:w="1360" w:type="dxa"/>
            <w:vAlign w:val="bottom"/>
            <w:tcBorders>
              <w:bottom w:val="single" w:sz="8" w:color="auto"/>
              <w:right w:val="single" w:sz="8" w:color="auto"/>
            </w:tcBorders>
          </w:tcPr>
          <w:p>
            <w:pPr>
              <w:ind w:left="200"/>
              <w:spacing w:after="0" w:line="223" w:lineRule="exact"/>
              <w:rPr>
                <w:sz w:val="20"/>
                <w:szCs w:val="20"/>
                <w:color w:val="auto"/>
              </w:rPr>
            </w:pPr>
            <w:r>
              <w:rPr>
                <w:rFonts w:ascii="Times New Roman" w:cs="Times New Roman" w:eastAsia="Times New Roman" w:hAnsi="Times New Roman"/>
                <w:sz w:val="20"/>
                <w:szCs w:val="20"/>
                <w:color w:val="auto"/>
              </w:rPr>
              <w:t>Collier</w:t>
            </w:r>
          </w:p>
        </w:tc>
        <w:tc>
          <w:tcPr>
            <w:tcW w:w="74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rPr>
              <w:t>FL</w:t>
            </w:r>
          </w:p>
        </w:tc>
        <w:tc>
          <w:tcPr>
            <w:tcW w:w="860" w:type="dxa"/>
            <w:vAlign w:val="bottom"/>
            <w:tcBorders>
              <w:bottom w:val="single" w:sz="8" w:color="auto"/>
              <w:right w:val="single" w:sz="8" w:color="auto"/>
            </w:tcBorders>
          </w:tcPr>
          <w:p>
            <w:pPr>
              <w:jc w:val="center"/>
              <w:ind w:left="101"/>
              <w:spacing w:after="0" w:line="223" w:lineRule="exact"/>
              <w:rPr>
                <w:sz w:val="20"/>
                <w:szCs w:val="20"/>
                <w:color w:val="auto"/>
              </w:rPr>
            </w:pPr>
            <w:r>
              <w:rPr>
                <w:rFonts w:ascii="Times New Roman" w:cs="Times New Roman" w:eastAsia="Times New Roman" w:hAnsi="Times New Roman"/>
                <w:sz w:val="20"/>
                <w:szCs w:val="20"/>
                <w:color w:val="auto"/>
                <w:w w:val="97"/>
              </w:rPr>
              <w:t>AE</w:t>
            </w:r>
          </w:p>
        </w:tc>
      </w:tr>
      <w:tr>
        <w:trPr>
          <w:trHeight w:val="223"/>
        </w:trPr>
        <w:tc>
          <w:tcPr>
            <w:tcW w:w="286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Cypress Harbour</w:t>
            </w:r>
          </w:p>
        </w:tc>
        <w:tc>
          <w:tcPr>
            <w:tcW w:w="5620" w:type="dxa"/>
            <w:vAlign w:val="bottom"/>
            <w:tcBorders>
              <w:bottom w:val="single" w:sz="8" w:color="auto"/>
              <w:right w:val="single" w:sz="8" w:color="auto"/>
            </w:tcBorders>
          </w:tcPr>
          <w:p>
            <w:pPr>
              <w:ind w:left="180"/>
              <w:spacing w:after="0" w:line="223" w:lineRule="exact"/>
              <w:rPr>
                <w:sz w:val="20"/>
                <w:szCs w:val="20"/>
                <w:color w:val="auto"/>
              </w:rPr>
            </w:pPr>
            <w:r>
              <w:rPr>
                <w:rFonts w:ascii="Times New Roman" w:cs="Times New Roman" w:eastAsia="Times New Roman" w:hAnsi="Times New Roman"/>
                <w:sz w:val="20"/>
                <w:szCs w:val="20"/>
                <w:color w:val="auto"/>
              </w:rPr>
              <w:t>53, 54, 55, 63, 64, 65, TEC Building</w:t>
            </w:r>
          </w:p>
        </w:tc>
        <w:tc>
          <w:tcPr>
            <w:tcW w:w="1360" w:type="dxa"/>
            <w:vAlign w:val="bottom"/>
            <w:tcBorders>
              <w:bottom w:val="single" w:sz="8" w:color="auto"/>
              <w:right w:val="single" w:sz="8" w:color="auto"/>
            </w:tcBorders>
          </w:tcPr>
          <w:p>
            <w:pPr>
              <w:ind w:left="200"/>
              <w:spacing w:after="0" w:line="223" w:lineRule="exact"/>
              <w:rPr>
                <w:sz w:val="20"/>
                <w:szCs w:val="20"/>
                <w:color w:val="auto"/>
              </w:rPr>
            </w:pPr>
            <w:r>
              <w:rPr>
                <w:rFonts w:ascii="Times New Roman" w:cs="Times New Roman" w:eastAsia="Times New Roman" w:hAnsi="Times New Roman"/>
                <w:sz w:val="20"/>
                <w:szCs w:val="20"/>
                <w:color w:val="auto"/>
              </w:rPr>
              <w:t>Orange</w:t>
            </w:r>
          </w:p>
        </w:tc>
        <w:tc>
          <w:tcPr>
            <w:tcW w:w="74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rPr>
              <w:t>FL</w:t>
            </w:r>
          </w:p>
        </w:tc>
        <w:tc>
          <w:tcPr>
            <w:tcW w:w="860" w:type="dxa"/>
            <w:vAlign w:val="bottom"/>
            <w:tcBorders>
              <w:bottom w:val="single" w:sz="8" w:color="auto"/>
              <w:right w:val="single" w:sz="8" w:color="auto"/>
            </w:tcBorders>
          </w:tcPr>
          <w:p>
            <w:pPr>
              <w:jc w:val="center"/>
              <w:ind w:left="101"/>
              <w:spacing w:after="0" w:line="223" w:lineRule="exact"/>
              <w:rPr>
                <w:sz w:val="20"/>
                <w:szCs w:val="20"/>
                <w:color w:val="auto"/>
              </w:rPr>
            </w:pPr>
            <w:r>
              <w:rPr>
                <w:rFonts w:ascii="Times New Roman" w:cs="Times New Roman" w:eastAsia="Times New Roman" w:hAnsi="Times New Roman"/>
                <w:sz w:val="20"/>
                <w:szCs w:val="20"/>
                <w:color w:val="auto"/>
                <w:w w:val="96"/>
              </w:rPr>
              <w:t>A</w:t>
            </w:r>
          </w:p>
        </w:tc>
      </w:tr>
      <w:tr>
        <w:trPr>
          <w:trHeight w:val="223"/>
        </w:trPr>
        <w:tc>
          <w:tcPr>
            <w:tcW w:w="286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Legends Edge</w:t>
            </w:r>
          </w:p>
        </w:tc>
        <w:tc>
          <w:tcPr>
            <w:tcW w:w="5620" w:type="dxa"/>
            <w:vAlign w:val="bottom"/>
            <w:tcBorders>
              <w:bottom w:val="single" w:sz="8" w:color="auto"/>
              <w:right w:val="single" w:sz="8" w:color="auto"/>
            </w:tcBorders>
          </w:tcPr>
          <w:p>
            <w:pPr>
              <w:ind w:left="180"/>
              <w:spacing w:after="0" w:line="223" w:lineRule="exact"/>
              <w:rPr>
                <w:sz w:val="20"/>
                <w:szCs w:val="20"/>
                <w:color w:val="auto"/>
              </w:rPr>
            </w:pPr>
            <w:r>
              <w:rPr>
                <w:rFonts w:ascii="Times New Roman" w:cs="Times New Roman" w:eastAsia="Times New Roman" w:hAnsi="Times New Roman"/>
                <w:sz w:val="20"/>
                <w:szCs w:val="20"/>
                <w:color w:val="auto"/>
              </w:rPr>
              <w:t>CFB</w:t>
            </w:r>
          </w:p>
        </w:tc>
        <w:tc>
          <w:tcPr>
            <w:tcW w:w="1360" w:type="dxa"/>
            <w:vAlign w:val="bottom"/>
            <w:tcBorders>
              <w:bottom w:val="single" w:sz="8" w:color="auto"/>
              <w:right w:val="single" w:sz="8" w:color="auto"/>
            </w:tcBorders>
          </w:tcPr>
          <w:p>
            <w:pPr>
              <w:ind w:left="200"/>
              <w:spacing w:after="0" w:line="223" w:lineRule="exact"/>
              <w:rPr>
                <w:sz w:val="20"/>
                <w:szCs w:val="20"/>
                <w:color w:val="auto"/>
              </w:rPr>
            </w:pPr>
            <w:r>
              <w:rPr>
                <w:rFonts w:ascii="Times New Roman" w:cs="Times New Roman" w:eastAsia="Times New Roman" w:hAnsi="Times New Roman"/>
                <w:sz w:val="20"/>
                <w:szCs w:val="20"/>
                <w:color w:val="auto"/>
              </w:rPr>
              <w:t>Bay</w:t>
            </w:r>
          </w:p>
        </w:tc>
        <w:tc>
          <w:tcPr>
            <w:tcW w:w="74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rPr>
              <w:t>FL</w:t>
            </w:r>
          </w:p>
        </w:tc>
        <w:tc>
          <w:tcPr>
            <w:tcW w:w="860" w:type="dxa"/>
            <w:vAlign w:val="bottom"/>
            <w:tcBorders>
              <w:bottom w:val="single" w:sz="8" w:color="auto"/>
              <w:right w:val="single" w:sz="8" w:color="auto"/>
            </w:tcBorders>
          </w:tcPr>
          <w:p>
            <w:pPr>
              <w:jc w:val="center"/>
              <w:ind w:left="101"/>
              <w:spacing w:after="0" w:line="223" w:lineRule="exact"/>
              <w:rPr>
                <w:sz w:val="20"/>
                <w:szCs w:val="20"/>
                <w:color w:val="auto"/>
              </w:rPr>
            </w:pPr>
            <w:r>
              <w:rPr>
                <w:rFonts w:ascii="Times New Roman" w:cs="Times New Roman" w:eastAsia="Times New Roman" w:hAnsi="Times New Roman"/>
                <w:sz w:val="20"/>
                <w:szCs w:val="20"/>
                <w:color w:val="auto"/>
                <w:w w:val="97"/>
              </w:rPr>
              <w:t>AE</w:t>
            </w:r>
          </w:p>
        </w:tc>
      </w:tr>
      <w:tr>
        <w:trPr>
          <w:trHeight w:val="223"/>
        </w:trPr>
        <w:tc>
          <w:tcPr>
            <w:tcW w:w="286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Oceana Palms</w:t>
            </w:r>
          </w:p>
        </w:tc>
        <w:tc>
          <w:tcPr>
            <w:tcW w:w="5620" w:type="dxa"/>
            <w:vAlign w:val="bottom"/>
            <w:tcBorders>
              <w:bottom w:val="single" w:sz="8" w:color="auto"/>
              <w:right w:val="single" w:sz="8" w:color="auto"/>
            </w:tcBorders>
          </w:tcPr>
          <w:p>
            <w:pPr>
              <w:ind w:left="180"/>
              <w:spacing w:after="0" w:line="223" w:lineRule="exact"/>
              <w:rPr>
                <w:sz w:val="20"/>
                <w:szCs w:val="20"/>
                <w:color w:val="auto"/>
              </w:rPr>
            </w:pPr>
            <w:r>
              <w:rPr>
                <w:rFonts w:ascii="Times New Roman" w:cs="Times New Roman" w:eastAsia="Times New Roman" w:hAnsi="Times New Roman"/>
                <w:sz w:val="20"/>
                <w:szCs w:val="20"/>
                <w:color w:val="auto"/>
              </w:rPr>
              <w:t>A</w:t>
            </w:r>
          </w:p>
        </w:tc>
        <w:tc>
          <w:tcPr>
            <w:tcW w:w="1360" w:type="dxa"/>
            <w:vAlign w:val="bottom"/>
            <w:tcBorders>
              <w:bottom w:val="single" w:sz="8" w:color="auto"/>
              <w:right w:val="single" w:sz="8" w:color="auto"/>
            </w:tcBorders>
          </w:tcPr>
          <w:p>
            <w:pPr>
              <w:ind w:left="200"/>
              <w:spacing w:after="0" w:line="223" w:lineRule="exact"/>
              <w:rPr>
                <w:sz w:val="20"/>
                <w:szCs w:val="20"/>
                <w:color w:val="auto"/>
              </w:rPr>
            </w:pPr>
            <w:r>
              <w:rPr>
                <w:rFonts w:ascii="Times New Roman" w:cs="Times New Roman" w:eastAsia="Times New Roman" w:hAnsi="Times New Roman"/>
                <w:sz w:val="20"/>
                <w:szCs w:val="20"/>
                <w:color w:val="auto"/>
              </w:rPr>
              <w:t>Palm Beach</w:t>
            </w:r>
          </w:p>
        </w:tc>
        <w:tc>
          <w:tcPr>
            <w:tcW w:w="74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rPr>
              <w:t>FL</w:t>
            </w:r>
          </w:p>
        </w:tc>
        <w:tc>
          <w:tcPr>
            <w:tcW w:w="86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w w:val="97"/>
              </w:rPr>
              <w:t>V8</w:t>
            </w:r>
          </w:p>
        </w:tc>
      </w:tr>
      <w:tr>
        <w:trPr>
          <w:trHeight w:val="223"/>
        </w:trPr>
        <w:tc>
          <w:tcPr>
            <w:tcW w:w="286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Ocean Pointe</w:t>
            </w:r>
          </w:p>
        </w:tc>
        <w:tc>
          <w:tcPr>
            <w:tcW w:w="5620" w:type="dxa"/>
            <w:vAlign w:val="bottom"/>
            <w:tcBorders>
              <w:bottom w:val="single" w:sz="8" w:color="auto"/>
              <w:right w:val="single" w:sz="8" w:color="auto"/>
            </w:tcBorders>
          </w:tcPr>
          <w:p>
            <w:pPr>
              <w:ind w:left="180"/>
              <w:spacing w:after="0" w:line="223" w:lineRule="exact"/>
              <w:rPr>
                <w:sz w:val="20"/>
                <w:szCs w:val="20"/>
                <w:color w:val="auto"/>
              </w:rPr>
            </w:pPr>
            <w:r>
              <w:rPr>
                <w:rFonts w:ascii="Times New Roman" w:cs="Times New Roman" w:eastAsia="Times New Roman" w:hAnsi="Times New Roman"/>
                <w:sz w:val="20"/>
                <w:szCs w:val="20"/>
                <w:color w:val="auto"/>
              </w:rPr>
              <w:t>D, E</w:t>
            </w:r>
          </w:p>
        </w:tc>
        <w:tc>
          <w:tcPr>
            <w:tcW w:w="1360" w:type="dxa"/>
            <w:vAlign w:val="bottom"/>
            <w:tcBorders>
              <w:bottom w:val="single" w:sz="8" w:color="auto"/>
              <w:right w:val="single" w:sz="8" w:color="auto"/>
            </w:tcBorders>
          </w:tcPr>
          <w:p>
            <w:pPr>
              <w:ind w:left="200"/>
              <w:spacing w:after="0" w:line="223" w:lineRule="exact"/>
              <w:rPr>
                <w:sz w:val="20"/>
                <w:szCs w:val="20"/>
                <w:color w:val="auto"/>
              </w:rPr>
            </w:pPr>
            <w:r>
              <w:rPr>
                <w:rFonts w:ascii="Times New Roman" w:cs="Times New Roman" w:eastAsia="Times New Roman" w:hAnsi="Times New Roman"/>
                <w:sz w:val="20"/>
                <w:szCs w:val="20"/>
                <w:color w:val="auto"/>
              </w:rPr>
              <w:t>Palm Beach</w:t>
            </w:r>
          </w:p>
        </w:tc>
        <w:tc>
          <w:tcPr>
            <w:tcW w:w="74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rPr>
              <w:t>FL</w:t>
            </w:r>
          </w:p>
        </w:tc>
        <w:tc>
          <w:tcPr>
            <w:tcW w:w="86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w w:val="97"/>
              </w:rPr>
              <w:t>A7</w:t>
            </w:r>
          </w:p>
        </w:tc>
      </w:tr>
      <w:tr>
        <w:trPr>
          <w:trHeight w:val="200"/>
        </w:trPr>
        <w:tc>
          <w:tcPr>
            <w:tcW w:w="2860" w:type="dxa"/>
            <w:vAlign w:val="bottom"/>
            <w:tcBorders>
              <w:left w:val="single" w:sz="8" w:color="auto"/>
              <w:right w:val="single" w:sz="8" w:color="auto"/>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Waiohai Beach Club</w:t>
            </w:r>
          </w:p>
        </w:tc>
        <w:tc>
          <w:tcPr>
            <w:tcW w:w="5620" w:type="dxa"/>
            <w:vAlign w:val="bottom"/>
            <w:tcBorders>
              <w:right w:val="single" w:sz="8" w:color="auto"/>
            </w:tcBorders>
          </w:tcPr>
          <w:p>
            <w:pPr>
              <w:ind w:left="180"/>
              <w:spacing w:after="0" w:line="200" w:lineRule="exact"/>
              <w:rPr>
                <w:sz w:val="20"/>
                <w:szCs w:val="20"/>
                <w:color w:val="auto"/>
              </w:rPr>
            </w:pPr>
            <w:r>
              <w:rPr>
                <w:rFonts w:ascii="Times New Roman" w:cs="Times New Roman" w:eastAsia="Times New Roman" w:hAnsi="Times New Roman"/>
                <w:sz w:val="20"/>
                <w:szCs w:val="20"/>
                <w:color w:val="auto"/>
              </w:rPr>
              <w:t>1000, 2000, 3000, 4000, 5000,</w:t>
            </w:r>
          </w:p>
        </w:tc>
        <w:tc>
          <w:tcPr>
            <w:tcW w:w="1360" w:type="dxa"/>
            <w:vAlign w:val="bottom"/>
            <w:tcBorders>
              <w:right w:val="single" w:sz="8" w:color="auto"/>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Kauai</w:t>
            </w:r>
          </w:p>
        </w:tc>
        <w:tc>
          <w:tcPr>
            <w:tcW w:w="740" w:type="dxa"/>
            <w:vAlign w:val="bottom"/>
            <w:tcBorders>
              <w:right w:val="single" w:sz="8" w:color="auto"/>
            </w:tcBorders>
          </w:tcPr>
          <w:p>
            <w:pPr>
              <w:jc w:val="center"/>
              <w:ind w:left="81"/>
              <w:spacing w:after="0" w:line="200" w:lineRule="exact"/>
              <w:rPr>
                <w:sz w:val="20"/>
                <w:szCs w:val="20"/>
                <w:color w:val="auto"/>
              </w:rPr>
            </w:pPr>
            <w:r>
              <w:rPr>
                <w:rFonts w:ascii="Times New Roman" w:cs="Times New Roman" w:eastAsia="Times New Roman" w:hAnsi="Times New Roman"/>
                <w:sz w:val="20"/>
                <w:szCs w:val="20"/>
                <w:color w:val="auto"/>
                <w:w w:val="94"/>
              </w:rPr>
              <w:t>HI</w:t>
            </w:r>
          </w:p>
        </w:tc>
        <w:tc>
          <w:tcPr>
            <w:tcW w:w="860" w:type="dxa"/>
            <w:vAlign w:val="bottom"/>
            <w:tcBorders>
              <w:right w:val="single" w:sz="8" w:color="auto"/>
            </w:tcBorders>
          </w:tcPr>
          <w:p>
            <w:pPr>
              <w:jc w:val="center"/>
              <w:ind w:left="101"/>
              <w:spacing w:after="0" w:line="200" w:lineRule="exact"/>
              <w:rPr>
                <w:sz w:val="20"/>
                <w:szCs w:val="20"/>
                <w:color w:val="auto"/>
              </w:rPr>
            </w:pPr>
            <w:r>
              <w:rPr>
                <w:rFonts w:ascii="Times New Roman" w:cs="Times New Roman" w:eastAsia="Times New Roman" w:hAnsi="Times New Roman"/>
                <w:sz w:val="20"/>
                <w:szCs w:val="20"/>
                <w:color w:val="auto"/>
                <w:w w:val="97"/>
              </w:rPr>
              <w:t>AE</w:t>
            </w:r>
          </w:p>
        </w:tc>
      </w:tr>
      <w:tr>
        <w:trPr>
          <w:trHeight w:val="230"/>
        </w:trPr>
        <w:tc>
          <w:tcPr>
            <w:tcW w:w="2860" w:type="dxa"/>
            <w:vAlign w:val="bottom"/>
            <w:tcBorders>
              <w:left w:val="single" w:sz="8" w:color="auto"/>
              <w:right w:val="single" w:sz="8" w:color="auto"/>
            </w:tcBorders>
          </w:tcPr>
          <w:p>
            <w:pPr>
              <w:spacing w:after="0"/>
              <w:rPr>
                <w:sz w:val="19"/>
                <w:szCs w:val="19"/>
                <w:color w:val="auto"/>
              </w:rPr>
            </w:pPr>
          </w:p>
        </w:tc>
        <w:tc>
          <w:tcPr>
            <w:tcW w:w="56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6000, 7000, 8000, Pool Bar/Towel</w:t>
            </w:r>
          </w:p>
        </w:tc>
        <w:tc>
          <w:tcPr>
            <w:tcW w:w="136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r>
      <w:tr>
        <w:trPr>
          <w:trHeight w:val="262"/>
        </w:trPr>
        <w:tc>
          <w:tcPr>
            <w:tcW w:w="2860" w:type="dxa"/>
            <w:vAlign w:val="bottom"/>
            <w:tcBorders>
              <w:left w:val="single" w:sz="8" w:color="auto"/>
              <w:bottom w:val="single" w:sz="8" w:color="auto"/>
              <w:right w:val="single" w:sz="8" w:color="auto"/>
            </w:tcBorders>
          </w:tcPr>
          <w:p>
            <w:pPr>
              <w:spacing w:after="0"/>
              <w:rPr>
                <w:sz w:val="22"/>
                <w:szCs w:val="22"/>
                <w:color w:val="auto"/>
              </w:rPr>
            </w:pPr>
          </w:p>
        </w:tc>
        <w:tc>
          <w:tcPr>
            <w:tcW w:w="56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Hut (commercial unit C)</w:t>
            </w:r>
          </w:p>
        </w:tc>
        <w:tc>
          <w:tcPr>
            <w:tcW w:w="136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r>
      <w:tr>
        <w:trPr>
          <w:trHeight w:val="227"/>
        </w:trPr>
        <w:tc>
          <w:tcPr>
            <w:tcW w:w="2860" w:type="dxa"/>
            <w:vAlign w:val="bottom"/>
            <w:tcBorders>
              <w:left w:val="single" w:sz="8" w:color="auto"/>
              <w:bottom w:val="single" w:sz="8" w:color="auto"/>
              <w:right w:val="single" w:sz="8" w:color="auto"/>
            </w:tcBorders>
          </w:tcPr>
          <w:p>
            <w:pPr>
              <w:ind w:left="160"/>
              <w:spacing w:after="0" w:line="227" w:lineRule="exact"/>
              <w:rPr>
                <w:sz w:val="20"/>
                <w:szCs w:val="20"/>
                <w:color w:val="auto"/>
              </w:rPr>
            </w:pPr>
            <w:r>
              <w:rPr>
                <w:rFonts w:ascii="Times New Roman" w:cs="Times New Roman" w:eastAsia="Times New Roman" w:hAnsi="Times New Roman"/>
                <w:sz w:val="20"/>
                <w:szCs w:val="20"/>
                <w:color w:val="auto"/>
              </w:rPr>
              <w:t>Barony Beach Club</w:t>
            </w:r>
          </w:p>
        </w:tc>
        <w:tc>
          <w:tcPr>
            <w:tcW w:w="5620" w:type="dxa"/>
            <w:vAlign w:val="bottom"/>
            <w:tcBorders>
              <w:bottom w:val="single" w:sz="8" w:color="auto"/>
              <w:right w:val="single" w:sz="8" w:color="auto"/>
            </w:tcBorders>
          </w:tcPr>
          <w:p>
            <w:pPr>
              <w:ind w:left="180"/>
              <w:spacing w:after="0" w:line="227" w:lineRule="exact"/>
              <w:rPr>
                <w:sz w:val="20"/>
                <w:szCs w:val="20"/>
                <w:color w:val="auto"/>
              </w:rPr>
            </w:pPr>
            <w:r>
              <w:rPr>
                <w:rFonts w:ascii="Times New Roman" w:cs="Times New Roman" w:eastAsia="Times New Roman" w:hAnsi="Times New Roman"/>
                <w:sz w:val="20"/>
                <w:szCs w:val="20"/>
                <w:color w:val="auto"/>
              </w:rPr>
              <w:t>A, B, C, D, F, G, CFB</w:t>
            </w:r>
          </w:p>
        </w:tc>
        <w:tc>
          <w:tcPr>
            <w:tcW w:w="1360" w:type="dxa"/>
            <w:vAlign w:val="bottom"/>
            <w:tcBorders>
              <w:bottom w:val="single" w:sz="8" w:color="auto"/>
              <w:right w:val="single" w:sz="8" w:color="auto"/>
            </w:tcBorders>
          </w:tcPr>
          <w:p>
            <w:pPr>
              <w:ind w:left="200"/>
              <w:spacing w:after="0" w:line="227" w:lineRule="exact"/>
              <w:rPr>
                <w:sz w:val="20"/>
                <w:szCs w:val="20"/>
                <w:color w:val="auto"/>
              </w:rPr>
            </w:pPr>
            <w:r>
              <w:rPr>
                <w:rFonts w:ascii="Times New Roman" w:cs="Times New Roman" w:eastAsia="Times New Roman" w:hAnsi="Times New Roman"/>
                <w:sz w:val="20"/>
                <w:szCs w:val="20"/>
                <w:color w:val="auto"/>
              </w:rPr>
              <w:t>Beaufort</w:t>
            </w:r>
          </w:p>
        </w:tc>
        <w:tc>
          <w:tcPr>
            <w:tcW w:w="740" w:type="dxa"/>
            <w:vAlign w:val="bottom"/>
            <w:tcBorders>
              <w:bottom w:val="single" w:sz="8" w:color="auto"/>
              <w:right w:val="single" w:sz="8" w:color="auto"/>
            </w:tcBorders>
          </w:tcPr>
          <w:p>
            <w:pPr>
              <w:jc w:val="center"/>
              <w:ind w:left="81"/>
              <w:spacing w:after="0" w:line="227" w:lineRule="exact"/>
              <w:rPr>
                <w:sz w:val="20"/>
                <w:szCs w:val="20"/>
                <w:color w:val="auto"/>
              </w:rPr>
            </w:pPr>
            <w:r>
              <w:rPr>
                <w:rFonts w:ascii="Times New Roman" w:cs="Times New Roman" w:eastAsia="Times New Roman" w:hAnsi="Times New Roman"/>
                <w:sz w:val="20"/>
                <w:szCs w:val="20"/>
                <w:color w:val="auto"/>
                <w:w w:val="97"/>
              </w:rPr>
              <w:t>SC</w:t>
            </w:r>
          </w:p>
        </w:tc>
        <w:tc>
          <w:tcPr>
            <w:tcW w:w="860" w:type="dxa"/>
            <w:vAlign w:val="bottom"/>
            <w:tcBorders>
              <w:bottom w:val="single" w:sz="8" w:color="auto"/>
              <w:right w:val="single" w:sz="8" w:color="auto"/>
            </w:tcBorders>
          </w:tcPr>
          <w:p>
            <w:pPr>
              <w:jc w:val="center"/>
              <w:ind w:left="81"/>
              <w:spacing w:after="0" w:line="227" w:lineRule="exact"/>
              <w:rPr>
                <w:sz w:val="20"/>
                <w:szCs w:val="20"/>
                <w:color w:val="auto"/>
              </w:rPr>
            </w:pPr>
            <w:r>
              <w:rPr>
                <w:rFonts w:ascii="Times New Roman" w:cs="Times New Roman" w:eastAsia="Times New Roman" w:hAnsi="Times New Roman"/>
                <w:sz w:val="20"/>
                <w:szCs w:val="20"/>
                <w:color w:val="auto"/>
                <w:w w:val="97"/>
              </w:rPr>
              <w:t>A7</w:t>
            </w:r>
          </w:p>
        </w:tc>
      </w:tr>
      <w:tr>
        <w:trPr>
          <w:trHeight w:val="223"/>
        </w:trPr>
        <w:tc>
          <w:tcPr>
            <w:tcW w:w="286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Grande Ocean</w:t>
            </w:r>
          </w:p>
        </w:tc>
        <w:tc>
          <w:tcPr>
            <w:tcW w:w="5620" w:type="dxa"/>
            <w:vAlign w:val="bottom"/>
            <w:tcBorders>
              <w:bottom w:val="single" w:sz="8" w:color="auto"/>
              <w:right w:val="single" w:sz="8" w:color="auto"/>
            </w:tcBorders>
          </w:tcPr>
          <w:p>
            <w:pPr>
              <w:ind w:left="180"/>
              <w:spacing w:after="0" w:line="223" w:lineRule="exact"/>
              <w:rPr>
                <w:sz w:val="20"/>
                <w:szCs w:val="20"/>
                <w:color w:val="auto"/>
              </w:rPr>
            </w:pPr>
            <w:r>
              <w:rPr>
                <w:rFonts w:ascii="Times New Roman" w:cs="Times New Roman" w:eastAsia="Times New Roman" w:hAnsi="Times New Roman"/>
                <w:sz w:val="20"/>
                <w:szCs w:val="20"/>
                <w:color w:val="auto"/>
              </w:rPr>
              <w:t>A, B, C, D, E, F, G, H, J, K, CFB</w:t>
            </w:r>
          </w:p>
        </w:tc>
        <w:tc>
          <w:tcPr>
            <w:tcW w:w="1360" w:type="dxa"/>
            <w:vAlign w:val="bottom"/>
            <w:tcBorders>
              <w:bottom w:val="single" w:sz="8" w:color="auto"/>
              <w:right w:val="single" w:sz="8" w:color="auto"/>
            </w:tcBorders>
          </w:tcPr>
          <w:p>
            <w:pPr>
              <w:ind w:left="200"/>
              <w:spacing w:after="0" w:line="223" w:lineRule="exact"/>
              <w:rPr>
                <w:sz w:val="20"/>
                <w:szCs w:val="20"/>
                <w:color w:val="auto"/>
              </w:rPr>
            </w:pPr>
            <w:r>
              <w:rPr>
                <w:rFonts w:ascii="Times New Roman" w:cs="Times New Roman" w:eastAsia="Times New Roman" w:hAnsi="Times New Roman"/>
                <w:sz w:val="20"/>
                <w:szCs w:val="20"/>
                <w:color w:val="auto"/>
              </w:rPr>
              <w:t>Beaufort</w:t>
            </w:r>
          </w:p>
        </w:tc>
        <w:tc>
          <w:tcPr>
            <w:tcW w:w="74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w w:val="97"/>
              </w:rPr>
              <w:t>SC</w:t>
            </w:r>
          </w:p>
        </w:tc>
        <w:tc>
          <w:tcPr>
            <w:tcW w:w="86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w w:val="97"/>
              </w:rPr>
              <w:t>A7</w:t>
            </w:r>
          </w:p>
        </w:tc>
      </w:tr>
      <w:tr>
        <w:trPr>
          <w:trHeight w:val="223"/>
        </w:trPr>
        <w:tc>
          <w:tcPr>
            <w:tcW w:w="286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Harbour Club</w:t>
            </w:r>
          </w:p>
        </w:tc>
        <w:tc>
          <w:tcPr>
            <w:tcW w:w="5620" w:type="dxa"/>
            <w:vAlign w:val="bottom"/>
            <w:tcBorders>
              <w:bottom w:val="single" w:sz="8" w:color="auto"/>
              <w:right w:val="single" w:sz="8" w:color="auto"/>
            </w:tcBorders>
          </w:tcPr>
          <w:p>
            <w:pPr>
              <w:ind w:left="180"/>
              <w:spacing w:after="0" w:line="223" w:lineRule="exact"/>
              <w:rPr>
                <w:sz w:val="20"/>
                <w:szCs w:val="20"/>
                <w:color w:val="auto"/>
              </w:rPr>
            </w:pPr>
            <w:r>
              <w:rPr>
                <w:rFonts w:ascii="Times New Roman" w:cs="Times New Roman" w:eastAsia="Times New Roman" w:hAnsi="Times New Roman"/>
                <w:sz w:val="20"/>
                <w:szCs w:val="20"/>
                <w:color w:val="auto"/>
              </w:rPr>
              <w:t>A</w:t>
            </w:r>
          </w:p>
        </w:tc>
        <w:tc>
          <w:tcPr>
            <w:tcW w:w="1360" w:type="dxa"/>
            <w:vAlign w:val="bottom"/>
            <w:tcBorders>
              <w:bottom w:val="single" w:sz="8" w:color="auto"/>
              <w:right w:val="single" w:sz="8" w:color="auto"/>
            </w:tcBorders>
          </w:tcPr>
          <w:p>
            <w:pPr>
              <w:ind w:left="200"/>
              <w:spacing w:after="0" w:line="223" w:lineRule="exact"/>
              <w:rPr>
                <w:sz w:val="20"/>
                <w:szCs w:val="20"/>
                <w:color w:val="auto"/>
              </w:rPr>
            </w:pPr>
            <w:r>
              <w:rPr>
                <w:rFonts w:ascii="Times New Roman" w:cs="Times New Roman" w:eastAsia="Times New Roman" w:hAnsi="Times New Roman"/>
                <w:sz w:val="20"/>
                <w:szCs w:val="20"/>
                <w:color w:val="auto"/>
              </w:rPr>
              <w:t>Beaufort</w:t>
            </w:r>
          </w:p>
        </w:tc>
        <w:tc>
          <w:tcPr>
            <w:tcW w:w="74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w w:val="97"/>
              </w:rPr>
              <w:t>SC</w:t>
            </w:r>
          </w:p>
        </w:tc>
        <w:tc>
          <w:tcPr>
            <w:tcW w:w="86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w w:val="97"/>
              </w:rPr>
              <w:t>A7</w:t>
            </w:r>
          </w:p>
        </w:tc>
      </w:tr>
      <w:tr>
        <w:trPr>
          <w:trHeight w:val="223"/>
        </w:trPr>
        <w:tc>
          <w:tcPr>
            <w:tcW w:w="286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Harbour Point</w:t>
            </w:r>
          </w:p>
        </w:tc>
        <w:tc>
          <w:tcPr>
            <w:tcW w:w="5620" w:type="dxa"/>
            <w:vAlign w:val="bottom"/>
            <w:tcBorders>
              <w:bottom w:val="single" w:sz="8" w:color="auto"/>
              <w:right w:val="single" w:sz="8" w:color="auto"/>
            </w:tcBorders>
          </w:tcPr>
          <w:p>
            <w:pPr>
              <w:ind w:left="180"/>
              <w:spacing w:after="0" w:line="223" w:lineRule="exact"/>
              <w:rPr>
                <w:sz w:val="20"/>
                <w:szCs w:val="20"/>
                <w:color w:val="auto"/>
              </w:rPr>
            </w:pPr>
            <w:r>
              <w:rPr>
                <w:rFonts w:ascii="Times New Roman" w:cs="Times New Roman" w:eastAsia="Times New Roman" w:hAnsi="Times New Roman"/>
                <w:sz w:val="20"/>
                <w:szCs w:val="20"/>
                <w:color w:val="auto"/>
              </w:rPr>
              <w:t>Heron, Osprey, Pelican</w:t>
            </w:r>
          </w:p>
        </w:tc>
        <w:tc>
          <w:tcPr>
            <w:tcW w:w="1360" w:type="dxa"/>
            <w:vAlign w:val="bottom"/>
            <w:tcBorders>
              <w:bottom w:val="single" w:sz="8" w:color="auto"/>
              <w:right w:val="single" w:sz="8" w:color="auto"/>
            </w:tcBorders>
          </w:tcPr>
          <w:p>
            <w:pPr>
              <w:ind w:left="200"/>
              <w:spacing w:after="0" w:line="223" w:lineRule="exact"/>
              <w:rPr>
                <w:sz w:val="20"/>
                <w:szCs w:val="20"/>
                <w:color w:val="auto"/>
              </w:rPr>
            </w:pPr>
            <w:r>
              <w:rPr>
                <w:rFonts w:ascii="Times New Roman" w:cs="Times New Roman" w:eastAsia="Times New Roman" w:hAnsi="Times New Roman"/>
                <w:sz w:val="20"/>
                <w:szCs w:val="20"/>
                <w:color w:val="auto"/>
              </w:rPr>
              <w:t>Beaufort</w:t>
            </w:r>
          </w:p>
        </w:tc>
        <w:tc>
          <w:tcPr>
            <w:tcW w:w="74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w w:val="97"/>
              </w:rPr>
              <w:t>SC</w:t>
            </w:r>
          </w:p>
        </w:tc>
        <w:tc>
          <w:tcPr>
            <w:tcW w:w="86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w w:val="97"/>
              </w:rPr>
              <w:t>A7</w:t>
            </w:r>
          </w:p>
        </w:tc>
      </w:tr>
      <w:tr>
        <w:trPr>
          <w:trHeight w:val="223"/>
        </w:trPr>
        <w:tc>
          <w:tcPr>
            <w:tcW w:w="286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Heritage Club</w:t>
            </w:r>
          </w:p>
        </w:tc>
        <w:tc>
          <w:tcPr>
            <w:tcW w:w="5620" w:type="dxa"/>
            <w:vAlign w:val="bottom"/>
            <w:tcBorders>
              <w:bottom w:val="single" w:sz="8" w:color="auto"/>
              <w:right w:val="single" w:sz="8" w:color="auto"/>
            </w:tcBorders>
          </w:tcPr>
          <w:p>
            <w:pPr>
              <w:ind w:left="180"/>
              <w:spacing w:after="0" w:line="223" w:lineRule="exact"/>
              <w:rPr>
                <w:sz w:val="20"/>
                <w:szCs w:val="20"/>
                <w:color w:val="auto"/>
              </w:rPr>
            </w:pPr>
            <w:r>
              <w:rPr>
                <w:rFonts w:ascii="Times New Roman" w:cs="Times New Roman" w:eastAsia="Times New Roman" w:hAnsi="Times New Roman"/>
                <w:sz w:val="20"/>
                <w:szCs w:val="20"/>
                <w:color w:val="auto"/>
              </w:rPr>
              <w:t>A</w:t>
            </w:r>
          </w:p>
        </w:tc>
        <w:tc>
          <w:tcPr>
            <w:tcW w:w="1360" w:type="dxa"/>
            <w:vAlign w:val="bottom"/>
            <w:tcBorders>
              <w:bottom w:val="single" w:sz="8" w:color="auto"/>
              <w:right w:val="single" w:sz="8" w:color="auto"/>
            </w:tcBorders>
          </w:tcPr>
          <w:p>
            <w:pPr>
              <w:ind w:left="200"/>
              <w:spacing w:after="0" w:line="223" w:lineRule="exact"/>
              <w:rPr>
                <w:sz w:val="20"/>
                <w:szCs w:val="20"/>
                <w:color w:val="auto"/>
              </w:rPr>
            </w:pPr>
            <w:r>
              <w:rPr>
                <w:rFonts w:ascii="Times New Roman" w:cs="Times New Roman" w:eastAsia="Times New Roman" w:hAnsi="Times New Roman"/>
                <w:sz w:val="20"/>
                <w:szCs w:val="20"/>
                <w:color w:val="auto"/>
              </w:rPr>
              <w:t>Beaufort</w:t>
            </w:r>
          </w:p>
        </w:tc>
        <w:tc>
          <w:tcPr>
            <w:tcW w:w="74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w w:val="97"/>
              </w:rPr>
              <w:t>SC</w:t>
            </w:r>
          </w:p>
        </w:tc>
        <w:tc>
          <w:tcPr>
            <w:tcW w:w="86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w w:val="97"/>
              </w:rPr>
              <w:t>A7</w:t>
            </w:r>
          </w:p>
        </w:tc>
      </w:tr>
      <w:tr>
        <w:trPr>
          <w:trHeight w:val="223"/>
        </w:trPr>
        <w:tc>
          <w:tcPr>
            <w:tcW w:w="286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Hilton Head</w:t>
            </w:r>
          </w:p>
        </w:tc>
        <w:tc>
          <w:tcPr>
            <w:tcW w:w="5620" w:type="dxa"/>
            <w:vAlign w:val="bottom"/>
            <w:tcBorders>
              <w:bottom w:val="single" w:sz="8" w:color="auto"/>
              <w:right w:val="single" w:sz="8" w:color="auto"/>
            </w:tcBorders>
          </w:tcPr>
          <w:p>
            <w:pPr>
              <w:ind w:left="180"/>
              <w:spacing w:after="0" w:line="223" w:lineRule="exact"/>
              <w:rPr>
                <w:sz w:val="20"/>
                <w:szCs w:val="20"/>
                <w:color w:val="auto"/>
              </w:rPr>
            </w:pPr>
            <w:r>
              <w:rPr>
                <w:rFonts w:ascii="Times New Roman" w:cs="Times New Roman" w:eastAsia="Times New Roman" w:hAnsi="Times New Roman"/>
                <w:sz w:val="20"/>
                <w:szCs w:val="20"/>
                <w:color w:val="auto"/>
              </w:rPr>
              <w:t>Welcome Center</w:t>
            </w:r>
          </w:p>
        </w:tc>
        <w:tc>
          <w:tcPr>
            <w:tcW w:w="1360" w:type="dxa"/>
            <w:vAlign w:val="bottom"/>
            <w:tcBorders>
              <w:bottom w:val="single" w:sz="8" w:color="auto"/>
              <w:right w:val="single" w:sz="8" w:color="auto"/>
            </w:tcBorders>
          </w:tcPr>
          <w:p>
            <w:pPr>
              <w:ind w:left="200"/>
              <w:spacing w:after="0" w:line="223" w:lineRule="exact"/>
              <w:rPr>
                <w:sz w:val="20"/>
                <w:szCs w:val="20"/>
                <w:color w:val="auto"/>
              </w:rPr>
            </w:pPr>
            <w:r>
              <w:rPr>
                <w:rFonts w:ascii="Times New Roman" w:cs="Times New Roman" w:eastAsia="Times New Roman" w:hAnsi="Times New Roman"/>
                <w:sz w:val="20"/>
                <w:szCs w:val="20"/>
                <w:color w:val="auto"/>
              </w:rPr>
              <w:t>Beaufort</w:t>
            </w:r>
          </w:p>
        </w:tc>
        <w:tc>
          <w:tcPr>
            <w:tcW w:w="74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w w:val="97"/>
              </w:rPr>
              <w:t>SC</w:t>
            </w:r>
          </w:p>
        </w:tc>
        <w:tc>
          <w:tcPr>
            <w:tcW w:w="86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w w:val="97"/>
              </w:rPr>
              <w:t>A7</w:t>
            </w:r>
          </w:p>
        </w:tc>
      </w:tr>
      <w:tr>
        <w:trPr>
          <w:trHeight w:val="223"/>
        </w:trPr>
        <w:tc>
          <w:tcPr>
            <w:tcW w:w="286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Monarch</w:t>
            </w:r>
          </w:p>
        </w:tc>
        <w:tc>
          <w:tcPr>
            <w:tcW w:w="5620" w:type="dxa"/>
            <w:vAlign w:val="bottom"/>
            <w:tcBorders>
              <w:bottom w:val="single" w:sz="8" w:color="auto"/>
              <w:right w:val="single" w:sz="8" w:color="auto"/>
            </w:tcBorders>
          </w:tcPr>
          <w:p>
            <w:pPr>
              <w:ind w:left="180"/>
              <w:spacing w:after="0" w:line="223" w:lineRule="exact"/>
              <w:rPr>
                <w:sz w:val="20"/>
                <w:szCs w:val="20"/>
                <w:color w:val="auto"/>
              </w:rPr>
            </w:pPr>
            <w:r>
              <w:rPr>
                <w:rFonts w:ascii="Times New Roman" w:cs="Times New Roman" w:eastAsia="Times New Roman" w:hAnsi="Times New Roman"/>
                <w:sz w:val="20"/>
                <w:szCs w:val="20"/>
                <w:color w:val="auto"/>
              </w:rPr>
              <w:t>A, B, C, D</w:t>
            </w:r>
          </w:p>
        </w:tc>
        <w:tc>
          <w:tcPr>
            <w:tcW w:w="1360" w:type="dxa"/>
            <w:vAlign w:val="bottom"/>
            <w:tcBorders>
              <w:bottom w:val="single" w:sz="8" w:color="auto"/>
              <w:right w:val="single" w:sz="8" w:color="auto"/>
            </w:tcBorders>
          </w:tcPr>
          <w:p>
            <w:pPr>
              <w:ind w:left="200"/>
              <w:spacing w:after="0" w:line="223" w:lineRule="exact"/>
              <w:rPr>
                <w:sz w:val="20"/>
                <w:szCs w:val="20"/>
                <w:color w:val="auto"/>
              </w:rPr>
            </w:pPr>
            <w:r>
              <w:rPr>
                <w:rFonts w:ascii="Times New Roman" w:cs="Times New Roman" w:eastAsia="Times New Roman" w:hAnsi="Times New Roman"/>
                <w:sz w:val="20"/>
                <w:szCs w:val="20"/>
                <w:color w:val="auto"/>
              </w:rPr>
              <w:t>Beaufort</w:t>
            </w:r>
          </w:p>
        </w:tc>
        <w:tc>
          <w:tcPr>
            <w:tcW w:w="74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w w:val="97"/>
              </w:rPr>
              <w:t>SC</w:t>
            </w:r>
          </w:p>
        </w:tc>
        <w:tc>
          <w:tcPr>
            <w:tcW w:w="86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w w:val="97"/>
              </w:rPr>
              <w:t>A7</w:t>
            </w:r>
          </w:p>
        </w:tc>
      </w:tr>
      <w:tr>
        <w:trPr>
          <w:trHeight w:val="223"/>
        </w:trPr>
        <w:tc>
          <w:tcPr>
            <w:tcW w:w="286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Sunset Pointe</w:t>
            </w:r>
          </w:p>
        </w:tc>
        <w:tc>
          <w:tcPr>
            <w:tcW w:w="5620" w:type="dxa"/>
            <w:vAlign w:val="bottom"/>
            <w:tcBorders>
              <w:bottom w:val="single" w:sz="8" w:color="auto"/>
              <w:right w:val="single" w:sz="8" w:color="auto"/>
            </w:tcBorders>
          </w:tcPr>
          <w:p>
            <w:pPr>
              <w:ind w:left="180"/>
              <w:spacing w:after="0" w:line="223" w:lineRule="exact"/>
              <w:rPr>
                <w:sz w:val="20"/>
                <w:szCs w:val="20"/>
                <w:color w:val="auto"/>
              </w:rPr>
            </w:pPr>
            <w:r>
              <w:rPr>
                <w:rFonts w:ascii="Times New Roman" w:cs="Times New Roman" w:eastAsia="Times New Roman" w:hAnsi="Times New Roman"/>
                <w:sz w:val="20"/>
                <w:szCs w:val="20"/>
                <w:color w:val="auto"/>
              </w:rPr>
              <w:t>Marsh, Sunset</w:t>
            </w:r>
          </w:p>
        </w:tc>
        <w:tc>
          <w:tcPr>
            <w:tcW w:w="1360" w:type="dxa"/>
            <w:vAlign w:val="bottom"/>
            <w:tcBorders>
              <w:bottom w:val="single" w:sz="8" w:color="auto"/>
              <w:right w:val="single" w:sz="8" w:color="auto"/>
            </w:tcBorders>
          </w:tcPr>
          <w:p>
            <w:pPr>
              <w:ind w:left="200"/>
              <w:spacing w:after="0" w:line="223" w:lineRule="exact"/>
              <w:rPr>
                <w:sz w:val="20"/>
                <w:szCs w:val="20"/>
                <w:color w:val="auto"/>
              </w:rPr>
            </w:pPr>
            <w:r>
              <w:rPr>
                <w:rFonts w:ascii="Times New Roman" w:cs="Times New Roman" w:eastAsia="Times New Roman" w:hAnsi="Times New Roman"/>
                <w:sz w:val="20"/>
                <w:szCs w:val="20"/>
                <w:color w:val="auto"/>
              </w:rPr>
              <w:t>Beaufort</w:t>
            </w:r>
          </w:p>
        </w:tc>
        <w:tc>
          <w:tcPr>
            <w:tcW w:w="74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w w:val="97"/>
              </w:rPr>
              <w:t>SC</w:t>
            </w:r>
          </w:p>
        </w:tc>
        <w:tc>
          <w:tcPr>
            <w:tcW w:w="86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w w:val="97"/>
              </w:rPr>
              <w:t>A7</w:t>
            </w:r>
          </w:p>
        </w:tc>
      </w:tr>
      <w:tr>
        <w:trPr>
          <w:trHeight w:val="223"/>
        </w:trPr>
        <w:tc>
          <w:tcPr>
            <w:tcW w:w="286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Surf Watch</w:t>
            </w:r>
          </w:p>
        </w:tc>
        <w:tc>
          <w:tcPr>
            <w:tcW w:w="5620" w:type="dxa"/>
            <w:vAlign w:val="bottom"/>
            <w:tcBorders>
              <w:bottom w:val="single" w:sz="8" w:color="auto"/>
              <w:right w:val="single" w:sz="8" w:color="auto"/>
            </w:tcBorders>
          </w:tcPr>
          <w:p>
            <w:pPr>
              <w:ind w:left="180"/>
              <w:spacing w:after="0" w:line="223" w:lineRule="exact"/>
              <w:rPr>
                <w:sz w:val="20"/>
                <w:szCs w:val="20"/>
                <w:color w:val="auto"/>
              </w:rPr>
            </w:pPr>
            <w:r>
              <w:rPr>
                <w:rFonts w:ascii="Times New Roman" w:cs="Times New Roman" w:eastAsia="Times New Roman" w:hAnsi="Times New Roman"/>
                <w:sz w:val="20"/>
                <w:szCs w:val="20"/>
                <w:color w:val="auto"/>
              </w:rPr>
              <w:t>A, B, C, D, E, CFB</w:t>
            </w:r>
          </w:p>
        </w:tc>
        <w:tc>
          <w:tcPr>
            <w:tcW w:w="1360" w:type="dxa"/>
            <w:vAlign w:val="bottom"/>
            <w:tcBorders>
              <w:bottom w:val="single" w:sz="8" w:color="auto"/>
              <w:right w:val="single" w:sz="8" w:color="auto"/>
            </w:tcBorders>
          </w:tcPr>
          <w:p>
            <w:pPr>
              <w:ind w:left="200"/>
              <w:spacing w:after="0" w:line="223" w:lineRule="exact"/>
              <w:rPr>
                <w:sz w:val="20"/>
                <w:szCs w:val="20"/>
                <w:color w:val="auto"/>
              </w:rPr>
            </w:pPr>
            <w:r>
              <w:rPr>
                <w:rFonts w:ascii="Times New Roman" w:cs="Times New Roman" w:eastAsia="Times New Roman" w:hAnsi="Times New Roman"/>
                <w:sz w:val="20"/>
                <w:szCs w:val="20"/>
                <w:color w:val="auto"/>
              </w:rPr>
              <w:t>Beaufort</w:t>
            </w:r>
          </w:p>
        </w:tc>
        <w:tc>
          <w:tcPr>
            <w:tcW w:w="74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w w:val="97"/>
              </w:rPr>
              <w:t>SC</w:t>
            </w:r>
          </w:p>
        </w:tc>
        <w:tc>
          <w:tcPr>
            <w:tcW w:w="86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w w:val="97"/>
              </w:rPr>
              <w:t>A7</w:t>
            </w:r>
          </w:p>
        </w:tc>
      </w:tr>
      <w:tr>
        <w:trPr>
          <w:trHeight w:val="223"/>
        </w:trPr>
        <w:tc>
          <w:tcPr>
            <w:tcW w:w="286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Ocean Watch</w:t>
            </w:r>
          </w:p>
        </w:tc>
        <w:tc>
          <w:tcPr>
            <w:tcW w:w="5620" w:type="dxa"/>
            <w:vAlign w:val="bottom"/>
            <w:tcBorders>
              <w:bottom w:val="single" w:sz="8" w:color="auto"/>
              <w:right w:val="single" w:sz="8" w:color="auto"/>
            </w:tcBorders>
          </w:tcPr>
          <w:p>
            <w:pPr>
              <w:ind w:left="180"/>
              <w:spacing w:after="0" w:line="223" w:lineRule="exact"/>
              <w:rPr>
                <w:sz w:val="20"/>
                <w:szCs w:val="20"/>
                <w:color w:val="auto"/>
              </w:rPr>
            </w:pPr>
            <w:r>
              <w:rPr>
                <w:rFonts w:ascii="Times New Roman" w:cs="Times New Roman" w:eastAsia="Times New Roman" w:hAnsi="Times New Roman"/>
                <w:sz w:val="20"/>
                <w:szCs w:val="20"/>
                <w:color w:val="auto"/>
              </w:rPr>
              <w:t>A, B, C</w:t>
            </w:r>
          </w:p>
        </w:tc>
        <w:tc>
          <w:tcPr>
            <w:tcW w:w="1360" w:type="dxa"/>
            <w:vAlign w:val="bottom"/>
            <w:tcBorders>
              <w:bottom w:val="single" w:sz="8" w:color="auto"/>
              <w:right w:val="single" w:sz="8" w:color="auto"/>
            </w:tcBorders>
          </w:tcPr>
          <w:p>
            <w:pPr>
              <w:ind w:left="200"/>
              <w:spacing w:after="0" w:line="223" w:lineRule="exact"/>
              <w:rPr>
                <w:sz w:val="20"/>
                <w:szCs w:val="20"/>
                <w:color w:val="auto"/>
              </w:rPr>
            </w:pPr>
            <w:r>
              <w:rPr>
                <w:rFonts w:ascii="Times New Roman" w:cs="Times New Roman" w:eastAsia="Times New Roman" w:hAnsi="Times New Roman"/>
                <w:sz w:val="20"/>
                <w:szCs w:val="20"/>
                <w:color w:val="auto"/>
              </w:rPr>
              <w:t>Horry</w:t>
            </w:r>
          </w:p>
        </w:tc>
        <w:tc>
          <w:tcPr>
            <w:tcW w:w="74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w w:val="97"/>
              </w:rPr>
              <w:t>SC</w:t>
            </w:r>
          </w:p>
        </w:tc>
        <w:tc>
          <w:tcPr>
            <w:tcW w:w="860" w:type="dxa"/>
            <w:vAlign w:val="bottom"/>
            <w:tcBorders>
              <w:bottom w:val="single" w:sz="8" w:color="auto"/>
              <w:right w:val="single" w:sz="8" w:color="auto"/>
            </w:tcBorders>
          </w:tcPr>
          <w:p>
            <w:pPr>
              <w:jc w:val="center"/>
              <w:ind w:left="101"/>
              <w:spacing w:after="0" w:line="223" w:lineRule="exact"/>
              <w:rPr>
                <w:sz w:val="20"/>
                <w:szCs w:val="20"/>
                <w:color w:val="auto"/>
              </w:rPr>
            </w:pPr>
            <w:r>
              <w:rPr>
                <w:rFonts w:ascii="Times New Roman" w:cs="Times New Roman" w:eastAsia="Times New Roman" w:hAnsi="Times New Roman"/>
                <w:sz w:val="20"/>
                <w:szCs w:val="20"/>
                <w:color w:val="auto"/>
                <w:w w:val="97"/>
              </w:rPr>
              <w:t>VE</w:t>
            </w:r>
          </w:p>
        </w:tc>
      </w:tr>
      <w:tr>
        <w:trPr>
          <w:trHeight w:val="223"/>
        </w:trPr>
        <w:tc>
          <w:tcPr>
            <w:tcW w:w="286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Summit Watch</w:t>
            </w:r>
          </w:p>
        </w:tc>
        <w:tc>
          <w:tcPr>
            <w:tcW w:w="5620" w:type="dxa"/>
            <w:vAlign w:val="bottom"/>
            <w:tcBorders>
              <w:bottom w:val="single" w:sz="8" w:color="auto"/>
              <w:right w:val="single" w:sz="8" w:color="auto"/>
            </w:tcBorders>
          </w:tcPr>
          <w:p>
            <w:pPr>
              <w:ind w:left="180"/>
              <w:spacing w:after="0" w:line="223" w:lineRule="exact"/>
              <w:rPr>
                <w:sz w:val="20"/>
                <w:szCs w:val="20"/>
                <w:color w:val="auto"/>
              </w:rPr>
            </w:pPr>
            <w:r>
              <w:rPr>
                <w:rFonts w:ascii="Times New Roman" w:cs="Times New Roman" w:eastAsia="Times New Roman" w:hAnsi="Times New Roman"/>
                <w:sz w:val="20"/>
                <w:szCs w:val="20"/>
                <w:color w:val="auto"/>
              </w:rPr>
              <w:t>702, 710, 780, 804, 890 Main Street</w:t>
            </w:r>
          </w:p>
        </w:tc>
        <w:tc>
          <w:tcPr>
            <w:tcW w:w="1360" w:type="dxa"/>
            <w:vAlign w:val="bottom"/>
            <w:tcBorders>
              <w:bottom w:val="single" w:sz="8" w:color="auto"/>
              <w:right w:val="single" w:sz="8" w:color="auto"/>
            </w:tcBorders>
          </w:tcPr>
          <w:p>
            <w:pPr>
              <w:ind w:left="200"/>
              <w:spacing w:after="0" w:line="223" w:lineRule="exact"/>
              <w:rPr>
                <w:sz w:val="20"/>
                <w:szCs w:val="20"/>
                <w:color w:val="auto"/>
              </w:rPr>
            </w:pPr>
            <w:r>
              <w:rPr>
                <w:rFonts w:ascii="Times New Roman" w:cs="Times New Roman" w:eastAsia="Times New Roman" w:hAnsi="Times New Roman"/>
                <w:sz w:val="20"/>
                <w:szCs w:val="20"/>
                <w:color w:val="auto"/>
              </w:rPr>
              <w:t>Summit</w:t>
            </w:r>
          </w:p>
        </w:tc>
        <w:tc>
          <w:tcPr>
            <w:tcW w:w="74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rPr>
              <w:t>UT</w:t>
            </w:r>
          </w:p>
        </w:tc>
        <w:tc>
          <w:tcPr>
            <w:tcW w:w="86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w w:val="96"/>
              </w:rPr>
              <w:t>AO</w:t>
            </w:r>
          </w:p>
        </w:tc>
      </w:tr>
      <w:tr>
        <w:trPr>
          <w:trHeight w:val="223"/>
        </w:trPr>
        <w:tc>
          <w:tcPr>
            <w:tcW w:w="286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Summit Watch</w:t>
            </w:r>
          </w:p>
        </w:tc>
        <w:tc>
          <w:tcPr>
            <w:tcW w:w="5620" w:type="dxa"/>
            <w:vAlign w:val="bottom"/>
            <w:tcBorders>
              <w:bottom w:val="single" w:sz="8" w:color="auto"/>
              <w:right w:val="single" w:sz="8" w:color="auto"/>
            </w:tcBorders>
          </w:tcPr>
          <w:p>
            <w:pPr>
              <w:ind w:left="180"/>
              <w:spacing w:after="0" w:line="223" w:lineRule="exact"/>
              <w:rPr>
                <w:sz w:val="20"/>
                <w:szCs w:val="20"/>
                <w:color w:val="auto"/>
              </w:rPr>
            </w:pPr>
            <w:r>
              <w:rPr>
                <w:rFonts w:ascii="Times New Roman" w:cs="Times New Roman" w:eastAsia="Times New Roman" w:hAnsi="Times New Roman"/>
                <w:sz w:val="20"/>
                <w:szCs w:val="20"/>
                <w:color w:val="auto"/>
              </w:rPr>
              <w:t>738, 900 Main Street</w:t>
            </w:r>
          </w:p>
        </w:tc>
        <w:tc>
          <w:tcPr>
            <w:tcW w:w="1360" w:type="dxa"/>
            <w:vAlign w:val="bottom"/>
            <w:tcBorders>
              <w:bottom w:val="single" w:sz="8" w:color="auto"/>
              <w:right w:val="single" w:sz="8" w:color="auto"/>
            </w:tcBorders>
          </w:tcPr>
          <w:p>
            <w:pPr>
              <w:ind w:left="200"/>
              <w:spacing w:after="0" w:line="223" w:lineRule="exact"/>
              <w:rPr>
                <w:sz w:val="20"/>
                <w:szCs w:val="20"/>
                <w:color w:val="auto"/>
              </w:rPr>
            </w:pPr>
            <w:r>
              <w:rPr>
                <w:rFonts w:ascii="Times New Roman" w:cs="Times New Roman" w:eastAsia="Times New Roman" w:hAnsi="Times New Roman"/>
                <w:sz w:val="20"/>
                <w:szCs w:val="20"/>
                <w:color w:val="auto"/>
              </w:rPr>
              <w:t>Summit</w:t>
            </w:r>
          </w:p>
        </w:tc>
        <w:tc>
          <w:tcPr>
            <w:tcW w:w="740" w:type="dxa"/>
            <w:vAlign w:val="bottom"/>
            <w:tcBorders>
              <w:bottom w:val="single" w:sz="8" w:color="auto"/>
              <w:right w:val="single" w:sz="8" w:color="auto"/>
            </w:tcBorders>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rPr>
              <w:t>UT</w:t>
            </w:r>
          </w:p>
        </w:tc>
        <w:tc>
          <w:tcPr>
            <w:tcW w:w="860" w:type="dxa"/>
            <w:vAlign w:val="bottom"/>
            <w:tcBorders>
              <w:bottom w:val="single" w:sz="8" w:color="auto"/>
              <w:right w:val="single" w:sz="8" w:color="auto"/>
            </w:tcBorders>
          </w:tcPr>
          <w:p>
            <w:pPr>
              <w:jc w:val="center"/>
              <w:ind w:left="101"/>
              <w:spacing w:after="0" w:line="223" w:lineRule="exact"/>
              <w:rPr>
                <w:sz w:val="20"/>
                <w:szCs w:val="20"/>
                <w:color w:val="auto"/>
              </w:rPr>
            </w:pPr>
            <w:r>
              <w:rPr>
                <w:rFonts w:ascii="Times New Roman" w:cs="Times New Roman" w:eastAsia="Times New Roman" w:hAnsi="Times New Roman"/>
                <w:sz w:val="20"/>
                <w:szCs w:val="20"/>
                <w:color w:val="auto"/>
                <w:w w:val="97"/>
              </w:rPr>
              <w:t>AE</w:t>
            </w:r>
          </w:p>
        </w:tc>
      </w:tr>
      <w:tr>
        <w:trPr>
          <w:trHeight w:val="223"/>
        </w:trPr>
        <w:tc>
          <w:tcPr>
            <w:tcW w:w="286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Ritz-Carlton Club, St Thomas</w:t>
            </w:r>
          </w:p>
        </w:tc>
        <w:tc>
          <w:tcPr>
            <w:tcW w:w="5620" w:type="dxa"/>
            <w:vAlign w:val="bottom"/>
            <w:tcBorders>
              <w:bottom w:val="single" w:sz="8" w:color="auto"/>
              <w:right w:val="single" w:sz="8" w:color="auto"/>
            </w:tcBorders>
          </w:tcPr>
          <w:p>
            <w:pPr>
              <w:ind w:left="180"/>
              <w:spacing w:after="0" w:line="223" w:lineRule="exact"/>
              <w:rPr>
                <w:sz w:val="20"/>
                <w:szCs w:val="20"/>
                <w:color w:val="auto"/>
              </w:rPr>
            </w:pPr>
            <w:r>
              <w:rPr>
                <w:rFonts w:ascii="Times New Roman" w:cs="Times New Roman" w:eastAsia="Times New Roman" w:hAnsi="Times New Roman"/>
                <w:sz w:val="20"/>
                <w:szCs w:val="20"/>
                <w:color w:val="auto"/>
              </w:rPr>
              <w:t>Jasmine, Kava</w:t>
            </w:r>
          </w:p>
        </w:tc>
        <w:tc>
          <w:tcPr>
            <w:tcW w:w="136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center"/>
              <w:ind w:left="21"/>
              <w:spacing w:after="0" w:line="223" w:lineRule="exact"/>
              <w:rPr>
                <w:sz w:val="20"/>
                <w:szCs w:val="20"/>
                <w:color w:val="auto"/>
              </w:rPr>
            </w:pPr>
            <w:r>
              <w:rPr>
                <w:rFonts w:ascii="Times New Roman" w:cs="Times New Roman" w:eastAsia="Times New Roman" w:hAnsi="Times New Roman"/>
                <w:sz w:val="20"/>
                <w:szCs w:val="20"/>
                <w:color w:val="auto"/>
                <w:w w:val="98"/>
              </w:rPr>
              <w:t>USVI</w:t>
            </w:r>
          </w:p>
        </w:tc>
        <w:tc>
          <w:tcPr>
            <w:tcW w:w="860" w:type="dxa"/>
            <w:vAlign w:val="bottom"/>
            <w:tcBorders>
              <w:bottom w:val="single" w:sz="8" w:color="auto"/>
              <w:right w:val="single" w:sz="8" w:color="auto"/>
            </w:tcBorders>
          </w:tcPr>
          <w:p>
            <w:pPr>
              <w:jc w:val="center"/>
              <w:ind w:left="101"/>
              <w:spacing w:after="0" w:line="223" w:lineRule="exact"/>
              <w:rPr>
                <w:sz w:val="20"/>
                <w:szCs w:val="20"/>
                <w:color w:val="auto"/>
              </w:rPr>
            </w:pPr>
            <w:r>
              <w:rPr>
                <w:rFonts w:ascii="Times New Roman" w:cs="Times New Roman" w:eastAsia="Times New Roman" w:hAnsi="Times New Roman"/>
                <w:sz w:val="20"/>
                <w:szCs w:val="20"/>
                <w:color w:val="auto"/>
                <w:w w:val="97"/>
              </w:rPr>
              <w:t>AE</w:t>
            </w:r>
          </w:p>
        </w:tc>
      </w:tr>
      <w:tr>
        <w:trPr>
          <w:trHeight w:val="223"/>
        </w:trPr>
        <w:tc>
          <w:tcPr>
            <w:tcW w:w="286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Ritz-Carlton Club, St Thomas</w:t>
            </w:r>
          </w:p>
        </w:tc>
        <w:tc>
          <w:tcPr>
            <w:tcW w:w="5620" w:type="dxa"/>
            <w:vAlign w:val="bottom"/>
            <w:tcBorders>
              <w:bottom w:val="single" w:sz="8" w:color="auto"/>
              <w:right w:val="single" w:sz="8" w:color="auto"/>
            </w:tcBorders>
          </w:tcPr>
          <w:p>
            <w:pPr>
              <w:ind w:left="180"/>
              <w:spacing w:after="0" w:line="223" w:lineRule="exact"/>
              <w:rPr>
                <w:sz w:val="20"/>
                <w:szCs w:val="20"/>
                <w:color w:val="auto"/>
              </w:rPr>
            </w:pPr>
            <w:r>
              <w:rPr>
                <w:rFonts w:ascii="Times New Roman" w:cs="Times New Roman" w:eastAsia="Times New Roman" w:hAnsi="Times New Roman"/>
                <w:sz w:val="20"/>
                <w:szCs w:val="20"/>
                <w:color w:val="auto"/>
              </w:rPr>
              <w:t>Lily</w:t>
            </w:r>
          </w:p>
        </w:tc>
        <w:tc>
          <w:tcPr>
            <w:tcW w:w="136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center"/>
              <w:ind w:left="21"/>
              <w:spacing w:after="0" w:line="223" w:lineRule="exact"/>
              <w:rPr>
                <w:sz w:val="20"/>
                <w:szCs w:val="20"/>
                <w:color w:val="auto"/>
              </w:rPr>
            </w:pPr>
            <w:r>
              <w:rPr>
                <w:rFonts w:ascii="Times New Roman" w:cs="Times New Roman" w:eastAsia="Times New Roman" w:hAnsi="Times New Roman"/>
                <w:sz w:val="20"/>
                <w:szCs w:val="20"/>
                <w:color w:val="auto"/>
                <w:w w:val="98"/>
              </w:rPr>
              <w:t>USVI</w:t>
            </w:r>
          </w:p>
        </w:tc>
        <w:tc>
          <w:tcPr>
            <w:tcW w:w="860" w:type="dxa"/>
            <w:vAlign w:val="bottom"/>
            <w:tcBorders>
              <w:bottom w:val="single" w:sz="8" w:color="auto"/>
              <w:right w:val="single" w:sz="8" w:color="auto"/>
            </w:tcBorders>
          </w:tcPr>
          <w:p>
            <w:pPr>
              <w:jc w:val="center"/>
              <w:ind w:left="101"/>
              <w:spacing w:after="0" w:line="223" w:lineRule="exact"/>
              <w:rPr>
                <w:sz w:val="20"/>
                <w:szCs w:val="20"/>
                <w:color w:val="auto"/>
              </w:rPr>
            </w:pPr>
            <w:r>
              <w:rPr>
                <w:rFonts w:ascii="Times New Roman" w:cs="Times New Roman" w:eastAsia="Times New Roman" w:hAnsi="Times New Roman"/>
                <w:sz w:val="20"/>
                <w:szCs w:val="20"/>
                <w:color w:val="auto"/>
                <w:w w:val="97"/>
              </w:rPr>
              <w:t>VE</w:t>
            </w:r>
          </w:p>
        </w:tc>
      </w:tr>
    </w:tbl>
    <w:p>
      <w:pPr>
        <w:jc w:val="center"/>
        <w:ind w:left="101"/>
        <w:spacing w:after="0" w:line="223" w:lineRule="exact"/>
        <w:rPr>
          <w:sz w:val="20"/>
          <w:szCs w:val="20"/>
          <w:color w:val="auto"/>
        </w:rPr>
        <w:sectPr>
          <w:pgSz w:w="11900" w:h="16838" w:orient="portrait"/>
          <w:cols w:equalWidth="0" w:num="1">
            <w:col w:w="11440"/>
          </w:cols>
          <w:pgMar w:left="240" w:top="262"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P. Weisz, certify that:</w:t>
      </w:r>
    </w:p>
    <w:p>
      <w:pPr>
        <w:spacing w:after="0" w:line="131" w:lineRule="exact"/>
        <w:rPr>
          <w:sz w:val="20"/>
          <w:szCs w:val="20"/>
          <w:color w:val="auto"/>
        </w:rPr>
      </w:pPr>
    </w:p>
    <w:p>
      <w:pPr>
        <w:ind w:left="580" w:hanging="572"/>
        <w:spacing w:after="0"/>
        <w:tabs>
          <w:tab w:leader="none" w:pos="5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Marriott Vacations Worldwide Corporation;</w:t>
      </w:r>
    </w:p>
    <w:p>
      <w:pPr>
        <w:spacing w:after="0" w:line="130" w:lineRule="exact"/>
        <w:rPr>
          <w:rFonts w:ascii="Times New Roman" w:cs="Times New Roman" w:eastAsia="Times New Roman" w:hAnsi="Times New Roman"/>
          <w:sz w:val="18"/>
          <w:szCs w:val="18"/>
          <w:color w:val="auto"/>
        </w:rPr>
      </w:pPr>
    </w:p>
    <w:p>
      <w:pPr>
        <w:jc w:val="both"/>
        <w:ind w:left="580" w:right="380" w:hanging="572"/>
        <w:spacing w:after="0" w:line="266" w:lineRule="auto"/>
        <w:tabs>
          <w:tab w:leader="none" w:pos="5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580" w:right="340" w:hanging="572"/>
        <w:spacing w:after="0" w:line="282" w:lineRule="auto"/>
        <w:tabs>
          <w:tab w:leader="none" w:pos="5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580" w:right="360" w:hanging="572"/>
        <w:spacing w:after="0" w:line="266" w:lineRule="auto"/>
        <w:tabs>
          <w:tab w:leader="none" w:pos="5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1140" w:right="60" w:hanging="565"/>
        <w:spacing w:after="0" w:line="266" w:lineRule="auto"/>
        <w:tabs>
          <w:tab w:leader="none" w:pos="114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140" w:right="380" w:hanging="565"/>
        <w:spacing w:after="0" w:line="266" w:lineRule="auto"/>
        <w:tabs>
          <w:tab w:leader="none" w:pos="114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140" w:right="540" w:hanging="565"/>
        <w:spacing w:after="0" w:line="282" w:lineRule="auto"/>
        <w:tabs>
          <w:tab w:leader="none" w:pos="114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140" w:right="60" w:hanging="565"/>
        <w:spacing w:after="0" w:line="266" w:lineRule="auto"/>
        <w:tabs>
          <w:tab w:leader="none" w:pos="114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580" w:right="80" w:hanging="572"/>
        <w:spacing w:after="0" w:line="282" w:lineRule="auto"/>
        <w:tabs>
          <w:tab w:leader="none" w:pos="5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140" w:right="800" w:hanging="565"/>
        <w:spacing w:after="0" w:line="282" w:lineRule="auto"/>
        <w:tabs>
          <w:tab w:leader="none" w:pos="114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140" w:right="480" w:hanging="565"/>
        <w:spacing w:after="0" w:line="282" w:lineRule="auto"/>
        <w:tabs>
          <w:tab w:leader="none" w:pos="114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23, 2015</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17145</wp:posOffset>
            </wp:positionV>
            <wp:extent cx="296735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Stephen P. Weisz</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 Geller, Jr., certify that:</w:t>
      </w:r>
    </w:p>
    <w:p>
      <w:pPr>
        <w:spacing w:after="0" w:line="131" w:lineRule="exact"/>
        <w:rPr>
          <w:sz w:val="20"/>
          <w:szCs w:val="20"/>
          <w:color w:val="auto"/>
        </w:rPr>
      </w:pPr>
    </w:p>
    <w:p>
      <w:pPr>
        <w:ind w:left="580" w:hanging="572"/>
        <w:spacing w:after="0"/>
        <w:tabs>
          <w:tab w:leader="none" w:pos="5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Marriott Vacations Worldwide Corporation;</w:t>
      </w:r>
    </w:p>
    <w:p>
      <w:pPr>
        <w:spacing w:after="0" w:line="130" w:lineRule="exact"/>
        <w:rPr>
          <w:rFonts w:ascii="Times New Roman" w:cs="Times New Roman" w:eastAsia="Times New Roman" w:hAnsi="Times New Roman"/>
          <w:sz w:val="18"/>
          <w:szCs w:val="18"/>
          <w:color w:val="auto"/>
        </w:rPr>
      </w:pPr>
    </w:p>
    <w:p>
      <w:pPr>
        <w:jc w:val="both"/>
        <w:ind w:left="580" w:right="380" w:hanging="572"/>
        <w:spacing w:after="0" w:line="266" w:lineRule="auto"/>
        <w:tabs>
          <w:tab w:leader="none" w:pos="5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580" w:right="340" w:hanging="572"/>
        <w:spacing w:after="0" w:line="282" w:lineRule="auto"/>
        <w:tabs>
          <w:tab w:leader="none" w:pos="5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580" w:right="360" w:hanging="572"/>
        <w:spacing w:after="0" w:line="266" w:lineRule="auto"/>
        <w:tabs>
          <w:tab w:leader="none" w:pos="5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1140" w:right="60" w:hanging="565"/>
        <w:spacing w:after="0" w:line="266" w:lineRule="auto"/>
        <w:tabs>
          <w:tab w:leader="none" w:pos="114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140" w:right="380" w:hanging="565"/>
        <w:spacing w:after="0" w:line="266" w:lineRule="auto"/>
        <w:tabs>
          <w:tab w:leader="none" w:pos="114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140" w:right="540" w:hanging="565"/>
        <w:spacing w:after="0" w:line="282" w:lineRule="auto"/>
        <w:tabs>
          <w:tab w:leader="none" w:pos="114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140" w:right="60" w:hanging="565"/>
        <w:spacing w:after="0" w:line="266" w:lineRule="auto"/>
        <w:tabs>
          <w:tab w:leader="none" w:pos="114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580" w:right="80" w:hanging="572"/>
        <w:spacing w:after="0" w:line="282" w:lineRule="auto"/>
        <w:tabs>
          <w:tab w:leader="none" w:pos="5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140" w:right="800" w:hanging="565"/>
        <w:spacing w:after="0" w:line="282" w:lineRule="auto"/>
        <w:tabs>
          <w:tab w:leader="none" w:pos="114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140" w:right="480" w:hanging="565"/>
        <w:spacing w:after="0" w:line="282" w:lineRule="auto"/>
        <w:tabs>
          <w:tab w:leader="none" w:pos="114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23, 2015</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17145</wp:posOffset>
            </wp:positionV>
            <wp:extent cx="296735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John E. Geller, Jr.</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17" w:right="2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Sections 1350(a) and (b))</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Stephen P. Weisz, President and Chief Executive Officer of Marriott Vacations Worldwide Corporation (the “Company”) certify that:</w:t>
      </w:r>
    </w:p>
    <w:p>
      <w:pPr>
        <w:spacing w:after="0" w:line="131" w:lineRule="exact"/>
        <w:rPr>
          <w:sz w:val="20"/>
          <w:szCs w:val="20"/>
          <w:color w:val="auto"/>
        </w:rPr>
      </w:pPr>
    </w:p>
    <w:p>
      <w:pPr>
        <w:ind w:left="580" w:right="960" w:hanging="572"/>
        <w:spacing w:after="0" w:line="282" w:lineRule="auto"/>
        <w:tabs>
          <w:tab w:leader="none" w:pos="5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June 19, 2015 (the “Quarterly Report”), fully complies with the requirements of section 13(a) or 15(d) of the Securities Exchange Act of 1934 (15 U.S.C. 78m or 78o(d)); and</w:t>
      </w:r>
    </w:p>
    <w:p>
      <w:pPr>
        <w:spacing w:after="0" w:line="67" w:lineRule="exact"/>
        <w:rPr>
          <w:rFonts w:ascii="Times New Roman" w:cs="Times New Roman" w:eastAsia="Times New Roman" w:hAnsi="Times New Roman"/>
          <w:sz w:val="18"/>
          <w:szCs w:val="18"/>
          <w:color w:val="auto"/>
        </w:rPr>
      </w:pPr>
    </w:p>
    <w:p>
      <w:pPr>
        <w:ind w:left="580" w:right="500" w:hanging="572"/>
        <w:spacing w:after="0" w:line="282" w:lineRule="auto"/>
        <w:tabs>
          <w:tab w:leader="none" w:pos="5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23, 2015</w:t>
      </w:r>
    </w:p>
    <w:p>
      <w:pPr>
        <w:spacing w:after="0" w:line="252"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17145</wp:posOffset>
            </wp:positionV>
            <wp:extent cx="30359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Stephen P. Weisz</w:t>
      </w:r>
    </w:p>
    <w:p>
      <w:pPr>
        <w:spacing w:after="0" w:line="2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Sections 1350(a) and (b))</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John E. Geller, Jr., Executive Vice President and Chief Financial Officer of Marriott Vacations Worldwide Corporation (the “Company”) certify that:</w:t>
      </w:r>
    </w:p>
    <w:p>
      <w:pPr>
        <w:spacing w:after="0" w:line="131" w:lineRule="exact"/>
        <w:rPr>
          <w:sz w:val="20"/>
          <w:szCs w:val="20"/>
          <w:color w:val="auto"/>
        </w:rPr>
      </w:pPr>
    </w:p>
    <w:p>
      <w:pPr>
        <w:ind w:left="580" w:right="960" w:hanging="572"/>
        <w:spacing w:after="0" w:line="282" w:lineRule="auto"/>
        <w:tabs>
          <w:tab w:leader="none" w:pos="5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June 19, 2015 (the “Quarterly Report”), fully complies with the requirements of section 13(a) or 15(d) of the Securities Exchange Act of 1934 (15 U.S.C. 78m or 78o(d)); and</w:t>
      </w:r>
    </w:p>
    <w:p>
      <w:pPr>
        <w:spacing w:after="0" w:line="67" w:lineRule="exact"/>
        <w:rPr>
          <w:rFonts w:ascii="Times New Roman" w:cs="Times New Roman" w:eastAsia="Times New Roman" w:hAnsi="Times New Roman"/>
          <w:sz w:val="18"/>
          <w:szCs w:val="18"/>
          <w:color w:val="auto"/>
        </w:rPr>
      </w:pPr>
    </w:p>
    <w:p>
      <w:pPr>
        <w:ind w:left="580" w:right="500" w:hanging="572"/>
        <w:spacing w:after="0" w:line="282" w:lineRule="auto"/>
        <w:tabs>
          <w:tab w:leader="none" w:pos="5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23, 2015</w:t>
      </w:r>
    </w:p>
    <w:p>
      <w:pPr>
        <w:spacing w:after="0" w:line="252"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17145</wp:posOffset>
            </wp:positionV>
            <wp:extent cx="30359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John E. Geller, Jr.</w:t>
      </w:r>
    </w:p>
    <w:p>
      <w:pPr>
        <w:spacing w:after="0" w:line="2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88AC1A"/>
    <w:multiLevelType w:val="hybridMultilevel"/>
    <w:lvl w:ilvl="0">
      <w:lvlJc w:val="left"/>
      <w:lvlText w:val="☒"/>
      <w:numFmt w:val="bullet"/>
      <w:start w:val="1"/>
    </w:lvl>
  </w:abstractNum>
  <w:abstractNum w:abstractNumId="1">
    <w:nsid w:val="5FB8011C"/>
    <w:multiLevelType w:val="hybridMultilevel"/>
    <w:lvl w:ilvl="0">
      <w:lvlJc w:val="left"/>
      <w:lvlText w:val="☐"/>
      <w:numFmt w:val="bullet"/>
      <w:start w:val="1"/>
    </w:lvl>
  </w:abstractNum>
  <w:abstractNum w:abstractNumId="2">
    <w:nsid w:val="6AA78F7F"/>
    <w:multiLevelType w:val="hybridMultilevel"/>
    <w:lvl w:ilvl="0">
      <w:lvlJc w:val="left"/>
      <w:lvlText w:val="(%1)"/>
      <w:numFmt w:val="decimal"/>
      <w:start w:val="4"/>
    </w:lvl>
  </w:abstractNum>
  <w:abstractNum w:abstractNumId="3">
    <w:nsid w:val="7672BD23"/>
    <w:multiLevelType w:val="hybridMultilevel"/>
    <w:lvl w:ilvl="0">
      <w:lvlJc w:val="left"/>
      <w:lvlText w:val="(%1)"/>
      <w:numFmt w:val="decimal"/>
      <w:start w:val="1"/>
    </w:lvl>
  </w:abstractNum>
  <w:abstractNum w:abstractNumId="4">
    <w:nsid w:val="6FC75AF8"/>
    <w:multiLevelType w:val="hybridMultilevel"/>
    <w:lvl w:ilvl="0">
      <w:lvlJc w:val="left"/>
      <w:lvlText w:val="(%1)"/>
      <w:numFmt w:val="decimal"/>
      <w:start w:val="1"/>
    </w:lvl>
  </w:abstractNum>
  <w:abstractNum w:abstractNumId="5">
    <w:nsid w:val="6A5F7029"/>
    <w:multiLevelType w:val="hybridMultilevel"/>
    <w:lvl w:ilvl="0">
      <w:lvlJc w:val="left"/>
      <w:lvlText w:val="(%1)"/>
      <w:numFmt w:val="decimal"/>
      <w:start w:val="1"/>
    </w:lvl>
  </w:abstractNum>
  <w:abstractNum w:abstractNumId="6">
    <w:nsid w:val="7D5E18F8"/>
    <w:multiLevelType w:val="hybridMultilevel"/>
    <w:lvl w:ilvl="0">
      <w:lvlJc w:val="left"/>
      <w:lvlText w:val="(%1)"/>
      <w:numFmt w:val="decimal"/>
      <w:start w:val="1"/>
    </w:lvl>
  </w:abstractNum>
  <w:abstractNum w:abstractNumId="7">
    <w:nsid w:val="5F3534A4"/>
    <w:multiLevelType w:val="hybridMultilevel"/>
    <w:lvl w:ilvl="0">
      <w:lvlJc w:val="left"/>
      <w:lvlText w:val="(%1)"/>
      <w:numFmt w:val="decimal"/>
      <w:start w:val="1"/>
    </w:lvl>
  </w:abstractNum>
  <w:abstractNum w:abstractNumId="8">
    <w:nsid w:val="73A1821B"/>
    <w:multiLevelType w:val="hybridMultilevel"/>
    <w:lvl w:ilvl="0">
      <w:lvlJc w:val="left"/>
      <w:lvlText w:val="•"/>
      <w:numFmt w:val="bullet"/>
      <w:start w:val="1"/>
    </w:lvl>
  </w:abstractNum>
  <w:abstractNum w:abstractNumId="9">
    <w:nsid w:val="7DE67713"/>
    <w:multiLevelType w:val="hybridMultilevel"/>
    <w:lvl w:ilvl="0">
      <w:lvlJc w:val="left"/>
      <w:lvlText w:val="•"/>
      <w:numFmt w:val="bullet"/>
      <w:start w:val="1"/>
    </w:lvl>
  </w:abstractNum>
  <w:abstractNum w:abstractNumId="10">
    <w:nsid w:val="555C55B5"/>
    <w:multiLevelType w:val="hybridMultilevel"/>
    <w:lvl w:ilvl="0">
      <w:lvlJc w:val="left"/>
      <w:lvlText w:val="(%1)"/>
      <w:numFmt w:val="decimal"/>
      <w:start w:val="1"/>
    </w:lvl>
  </w:abstractNum>
  <w:abstractNum w:abstractNumId="11">
    <w:nsid w:val="3FA62ACA"/>
    <w:multiLevelType w:val="hybridMultilevel"/>
    <w:lvl w:ilvl="0">
      <w:lvlJc w:val="left"/>
      <w:lvlText w:val="(%1)"/>
      <w:numFmt w:val="decimal"/>
      <w:start w:val="1"/>
    </w:lvl>
  </w:abstractNum>
  <w:abstractNum w:abstractNumId="12">
    <w:nsid w:val="14FCE74E"/>
    <w:multiLevelType w:val="hybridMultilevel"/>
    <w:lvl w:ilvl="0">
      <w:lvlJc w:val="left"/>
      <w:lvlText w:val="•"/>
      <w:numFmt w:val="bullet"/>
      <w:start w:val="1"/>
    </w:lvl>
  </w:abstractNum>
  <w:abstractNum w:abstractNumId="13">
    <w:nsid w:val="6A3DD3E8"/>
    <w:multiLevelType w:val="hybridMultilevel"/>
    <w:lvl w:ilvl="0">
      <w:lvlJc w:val="left"/>
      <w:lvlText w:val="•"/>
      <w:numFmt w:val="bullet"/>
      <w:start w:val="1"/>
    </w:lvl>
  </w:abstractNum>
  <w:abstractNum w:abstractNumId="14">
    <w:nsid w:val="71C91298"/>
    <w:multiLevelType w:val="hybridMultilevel"/>
    <w:lvl w:ilvl="0">
      <w:lvlJc w:val="left"/>
      <w:lvlText w:val="•"/>
      <w:numFmt w:val="bullet"/>
      <w:start w:val="1"/>
    </w:lvl>
  </w:abstractNum>
  <w:abstractNum w:abstractNumId="15">
    <w:nsid w:val="9DAF632"/>
    <w:multiLevelType w:val="hybridMultilevel"/>
    <w:lvl w:ilvl="0">
      <w:lvlJc w:val="left"/>
      <w:lvlText w:val="(%1)"/>
      <w:numFmt w:val="decimal"/>
      <w:start w:val="1"/>
    </w:lvl>
  </w:abstractNum>
  <w:abstractNum w:abstractNumId="16">
    <w:nsid w:val="53299938"/>
    <w:multiLevelType w:val="hybridMultilevel"/>
    <w:lvl w:ilvl="0">
      <w:lvlJc w:val="left"/>
      <w:lvlText w:val="(%1)"/>
      <w:numFmt w:val="decimal"/>
      <w:start w:val="1"/>
    </w:lvl>
  </w:abstractNum>
  <w:abstractNum w:abstractNumId="17">
    <w:nsid w:val="1FBFE8E0"/>
    <w:multiLevelType w:val="hybridMultilevel"/>
    <w:lvl w:ilvl="0">
      <w:lvlJc w:val="left"/>
      <w:lvlText w:val="•"/>
      <w:numFmt w:val="bullet"/>
      <w:start w:val="1"/>
    </w:lvl>
  </w:abstractNum>
  <w:abstractNum w:abstractNumId="18">
    <w:nsid w:val="5092CA79"/>
    <w:multiLevelType w:val="hybridMultilevel"/>
    <w:lvl w:ilvl="0">
      <w:lvlJc w:val="left"/>
      <w:lvlText w:val="•"/>
      <w:numFmt w:val="bullet"/>
      <w:start w:val="1"/>
    </w:lvl>
  </w:abstractNum>
  <w:abstractNum w:abstractNumId="19">
    <w:nsid w:val="1D545C4D"/>
    <w:multiLevelType w:val="hybridMultilevel"/>
    <w:lvl w:ilvl="0">
      <w:lvlJc w:val="left"/>
      <w:lvlText w:val="(%1)"/>
      <w:numFmt w:val="decimal"/>
      <w:start w:val="1"/>
    </w:lvl>
  </w:abstractNum>
  <w:abstractNum w:abstractNumId="20">
    <w:nsid w:val="59ADEA3D"/>
    <w:multiLevelType w:val="hybridMultilevel"/>
    <w:lvl w:ilvl="0">
      <w:lvlJc w:val="left"/>
      <w:lvlText w:val="(%1)"/>
      <w:numFmt w:val="decimal"/>
      <w:start w:val="1"/>
    </w:lvl>
  </w:abstractNum>
  <w:abstractNum w:abstractNumId="21">
    <w:nsid w:val="288F1A34"/>
    <w:multiLevelType w:val="hybridMultilevel"/>
    <w:lvl w:ilvl="0">
      <w:lvlJc w:val="left"/>
      <w:lvlText w:val="(%1)"/>
      <w:numFmt w:val="decimal"/>
      <w:start w:val="1"/>
    </w:lvl>
  </w:abstractNum>
  <w:abstractNum w:abstractNumId="22">
    <w:nsid w:val="2A155DBC"/>
    <w:multiLevelType w:val="hybridMultilevel"/>
    <w:lvl w:ilvl="0">
      <w:lvlJc w:val="left"/>
      <w:lvlText w:val="(%1)"/>
      <w:numFmt w:val="decimal"/>
      <w:start w:val="1"/>
    </w:lvl>
  </w:abstractNum>
  <w:abstractNum w:abstractNumId="23">
    <w:nsid w:val="1D9F6E5F"/>
    <w:multiLevelType w:val="hybridMultilevel"/>
    <w:lvl w:ilvl="0">
      <w:lvlJc w:val="left"/>
      <w:lvlText w:val="(%1)"/>
      <w:numFmt w:val="decimal"/>
      <w:start w:val="1"/>
    </w:lvl>
  </w:abstractNum>
  <w:abstractNum w:abstractNumId="24">
    <w:nsid w:val="97E1B4E"/>
    <w:multiLevelType w:val="hybridMultilevel"/>
    <w:lvl w:ilvl="0">
      <w:lvlJc w:val="left"/>
      <w:lvlText w:val="•"/>
      <w:numFmt w:val="bullet"/>
      <w:start w:val="1"/>
    </w:lvl>
  </w:abstractNum>
  <w:abstractNum w:abstractNumId="25">
    <w:nsid w:val="51088277"/>
    <w:multiLevelType w:val="hybridMultilevel"/>
    <w:lvl w:ilvl="0">
      <w:lvlJc w:val="left"/>
      <w:lvlText w:val="•"/>
      <w:numFmt w:val="bullet"/>
      <w:start w:val="1"/>
    </w:lvl>
  </w:abstractNum>
  <w:abstractNum w:abstractNumId="26">
    <w:nsid w:val="1CA0C5FA"/>
    <w:multiLevelType w:val="hybridMultilevel"/>
    <w:lvl w:ilvl="0">
      <w:lvlJc w:val="left"/>
      <w:lvlText w:val="(%1)"/>
      <w:numFmt w:val="decimal"/>
      <w:start w:val="1"/>
    </w:lvl>
  </w:abstractNum>
  <w:abstractNum w:abstractNumId="27">
    <w:nsid w:val="53584BCB"/>
    <w:multiLevelType w:val="hybridMultilevel"/>
    <w:lvl w:ilvl="0">
      <w:lvlJc w:val="left"/>
      <w:lvlText w:val="(%1)"/>
      <w:numFmt w:val="decimal"/>
      <w:start w:val="1"/>
    </w:lvl>
  </w:abstractNum>
  <w:abstractNum w:abstractNumId="28">
    <w:nsid w:val="415E286C"/>
    <w:multiLevelType w:val="hybridMultilevel"/>
    <w:lvl w:ilvl="0">
      <w:lvlJc w:val="left"/>
      <w:lvlText w:val="(%1)"/>
      <w:numFmt w:val="decimal"/>
      <w:start w:val="1"/>
    </w:lvl>
  </w:abstractNum>
  <w:abstractNum w:abstractNumId="29">
    <w:nsid w:val="7C58FD05"/>
    <w:multiLevelType w:val="hybridMultilevel"/>
    <w:lvl w:ilvl="0">
      <w:lvlJc w:val="left"/>
      <w:lvlText w:val="(%1)"/>
      <w:numFmt w:val="decimal"/>
      <w:start w:val="1"/>
    </w:lvl>
  </w:abstractNum>
  <w:abstractNum w:abstractNumId="30">
    <w:nsid w:val="23D86AAC"/>
    <w:multiLevelType w:val="hybridMultilevel"/>
    <w:lvl w:ilvl="0">
      <w:lvlJc w:val="left"/>
      <w:lvlText w:val="(%1)"/>
      <w:numFmt w:val="decimal"/>
      <w:start w:val="1"/>
    </w:lvl>
  </w:abstractNum>
  <w:abstractNum w:abstractNumId="31">
    <w:nsid w:val="45E6D486"/>
    <w:multiLevelType w:val="hybridMultilevel"/>
    <w:lvl w:ilvl="0">
      <w:lvlJc w:val="left"/>
      <w:lvlText w:val="(%1)"/>
      <w:numFmt w:val="decimal"/>
      <w:start w:val="1"/>
    </w:lvl>
  </w:abstractNum>
  <w:abstractNum w:abstractNumId="32">
    <w:nsid w:val="5C10FE21"/>
    <w:multiLevelType w:val="hybridMultilevel"/>
    <w:lvl w:ilvl="0">
      <w:lvlJc w:val="left"/>
      <w:lvlText w:val="(%1)"/>
      <w:numFmt w:val="decimal"/>
      <w:start w:val="1"/>
    </w:lvl>
  </w:abstractNum>
  <w:abstractNum w:abstractNumId="33">
    <w:nsid w:val="E7FFA2B"/>
    <w:multiLevelType w:val="hybridMultilevel"/>
    <w:lvl w:ilvl="0">
      <w:lvlJc w:val="left"/>
      <w:lvlText w:val="(%1)"/>
      <w:numFmt w:val="lowerLetter"/>
      <w:start w:val="1"/>
    </w:lvl>
  </w:abstractNum>
  <w:abstractNum w:abstractNumId="34">
    <w:nsid w:val="3C5991AA"/>
    <w:multiLevelType w:val="hybridMultilevel"/>
    <w:lvl w:ilvl="0">
      <w:lvlJc w:val="left"/>
      <w:lvlText w:val="(%1)"/>
      <w:numFmt w:val="lowerLetter"/>
      <w:start w:val="1"/>
    </w:lvl>
  </w:abstractNum>
  <w:abstractNum w:abstractNumId="35">
    <w:nsid w:val="4BD8591A"/>
    <w:multiLevelType w:val="hybridMultilevel"/>
    <w:lvl w:ilvl="0">
      <w:lvlJc w:val="left"/>
      <w:lvlText w:val="(%1)"/>
      <w:numFmt w:val="lowerLetter"/>
      <w:start w:val="2"/>
    </w:lvl>
  </w:abstractNum>
  <w:abstractNum w:abstractNumId="36">
    <w:nsid w:val="78DF6A55"/>
    <w:multiLevelType w:val="hybridMultilevel"/>
    <w:lvl w:ilvl="0">
      <w:lvlJc w:val="left"/>
      <w:lvlText w:val="(%1)"/>
      <w:numFmt w:val="lowerLetter"/>
      <w:start w:val="1"/>
    </w:lvl>
  </w:abstractNum>
  <w:abstractNum w:abstractNumId="37">
    <w:nsid w:val="39B7AAA2"/>
    <w:multiLevelType w:val="hybridMultilevel"/>
    <w:lvl w:ilvl="0">
      <w:lvlJc w:val="left"/>
      <w:lvlText w:val="(%1)"/>
      <w:numFmt w:val="lowerLetter"/>
      <w:start w:val="3"/>
    </w:lvl>
  </w:abstractNum>
  <w:abstractNum w:abstractNumId="38">
    <w:nsid w:val="2B0D8DBE"/>
    <w:multiLevelType w:val="hybridMultilevel"/>
    <w:lvl w:ilvl="0">
      <w:lvlJc w:val="left"/>
      <w:lvlText w:val="(%1)"/>
      <w:numFmt w:val="lowerLetter"/>
      <w:start w:val="2"/>
    </w:lvl>
  </w:abstractNum>
  <w:abstractNum w:abstractNumId="39">
    <w:nsid w:val="6C80EC70"/>
    <w:multiLevelType w:val="hybridMultilevel"/>
    <w:lvl w:ilvl="0">
      <w:lvlJc w:val="left"/>
      <w:lvlText w:val="(%1)"/>
      <w:numFmt w:val="lowerLetter"/>
      <w:start w:val="2"/>
    </w:lvl>
  </w:abstractNum>
  <w:abstractNum w:abstractNumId="40">
    <w:nsid w:val="379E21B5"/>
    <w:multiLevelType w:val="hybridMultilevel"/>
    <w:lvl w:ilvl="0">
      <w:lvlJc w:val="left"/>
      <w:lvlText w:val="A"/>
      <w:numFmt w:val="bullet"/>
      <w:start w:val="1"/>
    </w:lvl>
  </w:abstractNum>
  <w:abstractNum w:abstractNumId="41">
    <w:nsid w:val="69E373"/>
    <w:multiLevelType w:val="hybridMultilevel"/>
    <w:lvl w:ilvl="0">
      <w:lvlJc w:val="left"/>
      <w:lvlText w:val="B"/>
      <w:numFmt w:val="bullet"/>
      <w:start w:val="1"/>
    </w:lvl>
  </w:abstractNum>
  <w:abstractNum w:abstractNumId="42">
    <w:nsid w:val="2C27173B"/>
    <w:multiLevelType w:val="hybridMultilevel"/>
    <w:lvl w:ilvl="0">
      <w:lvlJc w:val="left"/>
      <w:lvlText w:val="*"/>
      <w:numFmt w:val="bullet"/>
      <w:start w:val="1"/>
    </w:lvl>
  </w:abstractNum>
  <w:abstractNum w:abstractNumId="43">
    <w:nsid w:val="4C9B0904"/>
    <w:multiLevelType w:val="hybridMultilevel"/>
    <w:lvl w:ilvl="0">
      <w:lvlJc w:val="left"/>
      <w:lvlText w:val="**"/>
      <w:numFmt w:val="bullet"/>
      <w:start w:val="1"/>
    </w:lvl>
  </w:abstractNum>
  <w:abstractNum w:abstractNumId="44">
    <w:nsid w:val="6AA7B75C"/>
    <w:multiLevelType w:val="hybridMultilevel"/>
    <w:lvl w:ilvl="0">
      <w:lvlJc w:val="left"/>
      <w:lvlText w:val="(%1)"/>
      <w:numFmt w:val="lowerLetter"/>
      <w:start w:val="1"/>
    </w:lvl>
  </w:abstractNum>
  <w:abstractNum w:abstractNumId="45">
    <w:nsid w:val="1DF029D3"/>
    <w:multiLevelType w:val="hybridMultilevel"/>
    <w:lvl w:ilvl="0">
      <w:lvlJc w:val="left"/>
      <w:lvlText w:val="(%1)"/>
      <w:numFmt w:val="lowerLetter"/>
      <w:start w:val="26"/>
    </w:lvl>
  </w:abstractNum>
  <w:abstractNum w:abstractNumId="46">
    <w:nsid w:val="5675FF36"/>
    <w:multiLevelType w:val="hybridMultilevel"/>
    <w:lvl w:ilvl="0">
      <w:lvlJc w:val="left"/>
      <w:lvlText w:val="(%1)"/>
      <w:numFmt w:val="lowerLetter"/>
      <w:start w:val="2"/>
    </w:lvl>
  </w:abstractNum>
  <w:abstractNum w:abstractNumId="47">
    <w:nsid w:val="3DD15094"/>
    <w:multiLevelType w:val="hybridMultilevel"/>
    <w:lvl w:ilvl="0">
      <w:lvlJc w:val="left"/>
      <w:lvlText w:val="(%1)"/>
      <w:numFmt w:val="lowerLetter"/>
      <w:start w:val="1"/>
    </w:lvl>
  </w:abstractNum>
  <w:abstractNum w:abstractNumId="48">
    <w:nsid w:val="3DB012B3"/>
    <w:multiLevelType w:val="hybridMultilevel"/>
    <w:lvl w:ilvl="0">
      <w:lvlJc w:val="left"/>
      <w:lvlText w:val="(%1)"/>
      <w:numFmt w:val="lowerLetter"/>
      <w:start w:val="2"/>
    </w:lvl>
  </w:abstractNum>
  <w:abstractNum w:abstractNumId="49">
    <w:nsid w:val="2708C9AF"/>
    <w:multiLevelType w:val="hybridMultilevel"/>
    <w:lvl w:ilvl="0">
      <w:lvlJc w:val="left"/>
      <w:lvlText w:val="(%1)"/>
      <w:numFmt w:val="lowerLetter"/>
      <w:start w:val="21"/>
    </w:lvl>
  </w:abstractNum>
  <w:abstractNum w:abstractNumId="50">
    <w:nsid w:val="5B25ACE2"/>
    <w:multiLevelType w:val="hybridMultilevel"/>
    <w:lvl w:ilvl="0">
      <w:lvlJc w:val="left"/>
      <w:lvlText w:val="(%1)"/>
      <w:numFmt w:val="lowerLetter"/>
      <w:start w:val="26"/>
    </w:lvl>
  </w:abstractNum>
  <w:abstractNum w:abstractNumId="51">
    <w:nsid w:val="175DFCF0"/>
    <w:multiLevelType w:val="hybridMultilevel"/>
    <w:lvl w:ilvl="0">
      <w:lvlJc w:val="left"/>
      <w:lvlText w:val="(%1)"/>
      <w:numFmt w:val="lowerLetter"/>
      <w:start w:val="1"/>
    </w:lvl>
  </w:abstractNum>
  <w:abstractNum w:abstractNumId="52">
    <w:nsid w:val="4F97E3E4"/>
    <w:multiLevelType w:val="hybridMultilevel"/>
    <w:lvl w:ilvl="0">
      <w:lvlJc w:val="left"/>
      <w:lvlText w:val="(%1)"/>
      <w:numFmt w:val="lowerLetter"/>
      <w:start w:val="2"/>
    </w:lvl>
  </w:abstractNum>
  <w:abstractNum w:abstractNumId="53">
    <w:nsid w:val="53B0A9E"/>
    <w:multiLevelType w:val="hybridMultilevel"/>
    <w:lvl w:ilvl="0">
      <w:lvlJc w:val="left"/>
      <w:lvlText w:val="(%1)"/>
      <w:numFmt w:val="lowerRoman"/>
      <w:start w:val="2"/>
    </w:lvl>
  </w:abstractNum>
  <w:abstractNum w:abstractNumId="54">
    <w:nsid w:val="34FD6B4F"/>
    <w:multiLevelType w:val="hybridMultilevel"/>
    <w:lvl w:ilvl="0">
      <w:lvlJc w:val="left"/>
      <w:lvlText w:val="(%1)"/>
      <w:numFmt w:val="lowerLetter"/>
      <w:start w:val="2"/>
    </w:lvl>
  </w:abstractNum>
  <w:abstractNum w:abstractNumId="55">
    <w:nsid w:val="5915FF32"/>
    <w:multiLevelType w:val="hybridMultilevel"/>
    <w:lvl w:ilvl="0">
      <w:lvlJc w:val="left"/>
      <w:lvlText w:val="(%1)"/>
      <w:numFmt w:val="lowerLetter"/>
      <w:start w:val="4"/>
    </w:lvl>
  </w:abstractNum>
  <w:abstractNum w:abstractNumId="56">
    <w:nsid w:val="56438D1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7">
    <w:nsid w:val="519E3149"/>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1"/>
    </w:lvl>
  </w:abstractNum>
  <w:abstractNum w:abstractNumId="58">
    <w:nsid w:val="2C6E4AFD"/>
    <w:multiLevelType w:val="hybridMultilevel"/>
    <w:lvl w:ilvl="0">
      <w:lvlJc w:val="left"/>
      <w:lvlText w:val="(%1)"/>
      <w:numFmt w:val="lowerLetter"/>
      <w:start w:val="2"/>
    </w:lvl>
  </w:abstractNum>
  <w:abstractNum w:abstractNumId="59">
    <w:nsid w:val="17A1B582"/>
    <w:multiLevelType w:val="hybridMultilevel"/>
    <w:lvl w:ilvl="0">
      <w:lvlJc w:val="left"/>
      <w:lvlText w:val="(%1)"/>
      <w:numFmt w:val="lowerRoman"/>
      <w:start w:val="1"/>
    </w:lvl>
  </w:abstractNum>
  <w:abstractNum w:abstractNumId="60">
    <w:nsid w:val="4DF72E4E"/>
    <w:multiLevelType w:val="hybridMultilevel"/>
    <w:lvl w:ilvl="0">
      <w:lvlJc w:val="left"/>
      <w:lvlText w:val="(%1)"/>
      <w:numFmt w:val="lowerRoman"/>
      <w:start w:val="2"/>
    </w:lvl>
  </w:abstractNum>
  <w:abstractNum w:abstractNumId="61">
    <w:nsid w:val="5046B5A9"/>
    <w:multiLevelType w:val="hybridMultilevel"/>
    <w:lvl w:ilvl="0">
      <w:lvlJc w:val="left"/>
      <w:lvlText w:val="(%1)"/>
      <w:numFmt w:val="lowerLetter"/>
      <w:start w:val="1"/>
    </w:lvl>
  </w:abstractNum>
  <w:abstractNum w:abstractNumId="62">
    <w:nsid w:val="5D888A08"/>
    <w:multiLevelType w:val="hybridMultilevel"/>
    <w:lvl w:ilvl="0">
      <w:lvlJc w:val="left"/>
      <w:lvlText w:val="(%1)"/>
      <w:numFmt w:val="lowerRoman"/>
      <w:start w:val="2"/>
    </w:lvl>
  </w:abstractNum>
  <w:abstractNum w:abstractNumId="63">
    <w:nsid w:val="2A082C70"/>
    <w:multiLevelType w:val="hybridMultilevel"/>
    <w:lvl w:ilvl="0">
      <w:lvlJc w:val="left"/>
      <w:lvlText w:val="(%1)"/>
      <w:numFmt w:val="lowerLetter"/>
      <w:start w:val="1"/>
    </w:lvl>
  </w:abstractNum>
  <w:abstractNum w:abstractNumId="64">
    <w:nsid w:val="5EC6AFD4"/>
    <w:multiLevelType w:val="hybridMultilevel"/>
    <w:lvl w:ilvl="0">
      <w:lvlJc w:val="left"/>
      <w:lvlText w:val="(%1)"/>
      <w:numFmt w:val="lowerRoman"/>
      <w:start w:val="10"/>
    </w:lvl>
  </w:abstractNum>
  <w:abstractNum w:abstractNumId="65">
    <w:nsid w:val="19E21BB2"/>
    <w:multiLevelType w:val="hybridMultilevel"/>
    <w:lvl w:ilvl="0">
      <w:lvlJc w:val="left"/>
      <w:lvlText w:val="(%1)"/>
      <w:numFmt w:val="lowerLetter"/>
      <w:start w:val="1"/>
    </w:lvl>
  </w:abstractNum>
  <w:abstractNum w:abstractNumId="66">
    <w:nsid w:val="75E0858A"/>
    <w:multiLevelType w:val="hybridMultilevel"/>
    <w:lvl w:ilvl="0">
      <w:lvlJc w:val="left"/>
      <w:lvlText w:val="(%1)"/>
      <w:numFmt w:val="lowerLetter"/>
      <w:start w:val="3"/>
    </w:lvl>
  </w:abstractNum>
  <w:abstractNum w:abstractNumId="67">
    <w:nsid w:val="57A61A29"/>
    <w:multiLevelType w:val="hybridMultilevel"/>
    <w:lvl w:ilvl="0">
      <w:lvlJc w:val="left"/>
      <w:lvlText w:val="(%1)"/>
      <w:numFmt w:val="lowerLetter"/>
      <w:start w:val="2"/>
    </w:lvl>
  </w:abstractNum>
  <w:abstractNum w:abstractNumId="68">
    <w:nsid w:val="5399C654"/>
    <w:multiLevelType w:val="hybridMultilevel"/>
    <w:lvl w:ilvl="0">
      <w:lvlJc w:val="left"/>
      <w:lvlText w:val="(%1)"/>
      <w:numFmt w:val="lowerLetter"/>
      <w:start w:val="3"/>
    </w:lvl>
  </w:abstractNum>
  <w:abstractNum w:abstractNumId="69">
    <w:nsid w:val="20EE1348"/>
    <w:multiLevelType w:val="hybridMultilevel"/>
    <w:lvl w:ilvl="0">
      <w:lvlJc w:val="left"/>
      <w:lvlText w:val="(%1)"/>
      <w:numFmt w:val="lowerLetter"/>
      <w:start w:val="1"/>
    </w:lvl>
  </w:abstractNum>
  <w:abstractNum w:abstractNumId="70">
    <w:nsid w:val="4427069A"/>
    <w:multiLevelType w:val="hybridMultilevel"/>
    <w:lvl w:ilvl="0">
      <w:lvlJc w:val="left"/>
      <w:lvlText w:val="(%1)"/>
      <w:numFmt w:val="lowerLetter"/>
      <w:start w:val="1"/>
    </w:lvl>
  </w:abstractNum>
  <w:abstractNum w:abstractNumId="71">
    <w:nsid w:val="B37E80A"/>
    <w:multiLevelType w:val="hybridMultilevel"/>
    <w:lvl w:ilvl="0">
      <w:lvlJc w:val="left"/>
      <w:lvlText w:val="%1"/>
      <w:numFmt w:val="lowerLetter"/>
      <w:start w:val="1"/>
    </w:lvl>
    <w:lvl w:ilvl="1">
      <w:lvlJc w:val="left"/>
      <w:lvlText w:val="(%2)"/>
      <w:numFmt w:val="lowerLetter"/>
      <w:start w:val="2"/>
    </w:lvl>
  </w:abstractNum>
  <w:abstractNum w:abstractNumId="72">
    <w:nsid w:val="2157F6BC"/>
    <w:multiLevelType w:val="hybridMultilevel"/>
    <w:lvl w:ilvl="0">
      <w:lvlJc w:val="left"/>
      <w:lvlText w:val="(%1)"/>
      <w:numFmt w:val="lowerLetter"/>
      <w:start w:val="25"/>
    </w:lvl>
    <w:lvl w:ilvl="1">
      <w:lvlJc w:val="left"/>
      <w:lvlText w:val="%2"/>
      <w:numFmt w:val="lowerLetter"/>
      <w:start w:val="1"/>
    </w:lvl>
  </w:abstractNum>
  <w:abstractNum w:abstractNumId="73">
    <w:nsid w:val="704E1DD5"/>
    <w:multiLevelType w:val="hybridMultilevel"/>
    <w:lvl w:ilvl="0">
      <w:lvlJc w:val="left"/>
      <w:lvlText w:val="(%1)"/>
      <w:numFmt w:val="lowerLetter"/>
      <w:start w:val="2"/>
    </w:lvl>
  </w:abstractNum>
  <w:abstractNum w:abstractNumId="74">
    <w:nsid w:val="57D2F10E"/>
    <w:multiLevelType w:val="hybridMultilevel"/>
    <w:lvl w:ilvl="0">
      <w:lvlJc w:val="left"/>
      <w:lvlText w:val="(%1)"/>
      <w:numFmt w:val="lowerLetter"/>
      <w:start w:val="2"/>
    </w:lvl>
  </w:abstractNum>
  <w:abstractNum w:abstractNumId="75">
    <w:nsid w:val="BFFAE18"/>
    <w:multiLevelType w:val="hybridMultilevel"/>
    <w:lvl w:ilvl="0">
      <w:lvlJc w:val="left"/>
      <w:lvlText w:val="(%1)"/>
      <w:numFmt w:val="lowerLetter"/>
      <w:start w:val="2"/>
    </w:lvl>
  </w:abstractNum>
  <w:abstractNum w:abstractNumId="76">
    <w:nsid w:val="E3E47A8"/>
    <w:multiLevelType w:val="hybridMultilevel"/>
    <w:lvl w:ilvl="0">
      <w:lvlJc w:val="left"/>
      <w:lvlText w:val="(%1)"/>
      <w:numFmt w:val="lowerLetter"/>
      <w:start w:val="2"/>
    </w:lvl>
  </w:abstractNum>
  <w:abstractNum w:abstractNumId="77">
    <w:nsid w:val="2E48F044"/>
    <w:multiLevelType w:val="hybridMultilevel"/>
    <w:lvl w:ilvl="0">
      <w:lvlJc w:val="left"/>
      <w:lvlText w:val="(%1)"/>
      <w:numFmt w:val="lowerLetter"/>
      <w:start w:val="2"/>
    </w:lvl>
  </w:abstractNum>
  <w:abstractNum w:abstractNumId="78">
    <w:nsid w:val="49D0FEAC"/>
    <w:multiLevelType w:val="hybridMultilevel"/>
    <w:lvl w:ilvl="0">
      <w:lvlJc w:val="left"/>
      <w:lvlText w:val="(%1)"/>
      <w:numFmt w:val="lowerLetter"/>
      <w:start w:val="2"/>
    </w:lvl>
  </w:abstractNum>
  <w:abstractNum w:abstractNumId="79">
    <w:nsid w:val="4BEE5A5B"/>
    <w:multiLevelType w:val="hybridMultilevel"/>
    <w:lvl w:ilvl="0">
      <w:lvlJc w:val="left"/>
      <w:lvlText w:val="%1"/>
      <w:numFmt w:val="lowerLetter"/>
      <w:start w:val="1"/>
    </w:lvl>
    <w:lvl w:ilvl="1">
      <w:lvlJc w:val="left"/>
      <w:lvlText w:val="(%2)"/>
      <w:numFmt w:val="lowerLetter"/>
      <w:start w:val="2"/>
    </w:lvl>
  </w:abstractNum>
  <w:abstractNum w:abstractNumId="80">
    <w:nsid w:val="5551B9F3"/>
    <w:multiLevelType w:val="hybridMultilevel"/>
    <w:lvl w:ilvl="0">
      <w:lvlJc w:val="left"/>
      <w:lvlText w:val="(%1)"/>
      <w:numFmt w:val="lowerLetter"/>
      <w:start w:val="3"/>
    </w:lvl>
    <w:lvl w:ilvl="1">
      <w:lvlJc w:val="left"/>
      <w:lvlText w:val="%2"/>
      <w:numFmt w:val="lowerLetter"/>
      <w:start w:val="1"/>
    </w:lvl>
  </w:abstractNum>
  <w:abstractNum w:abstractNumId="81">
    <w:nsid w:val="24F6AB8E"/>
    <w:multiLevelType w:val="hybridMultilevel"/>
    <w:lvl w:ilvl="0">
      <w:lvlJc w:val="left"/>
      <w:lvlText w:val="(%1)"/>
      <w:numFmt w:val="lowerRoman"/>
      <w:start w:val="2"/>
    </w:lvl>
  </w:abstractNum>
  <w:abstractNum w:abstractNumId="82">
    <w:nsid w:val="634C574C"/>
    <w:multiLevelType w:val="hybridMultilevel"/>
    <w:lvl w:ilvl="0">
      <w:lvlJc w:val="left"/>
      <w:lvlText w:val="(%1)"/>
      <w:numFmt w:val="lowerLetter"/>
      <w:start w:val="2"/>
    </w:lvl>
  </w:abstractNum>
  <w:abstractNum w:abstractNumId="83">
    <w:nsid w:val="24E99DD7"/>
    <w:multiLevelType w:val="hybridMultilevel"/>
    <w:lvl w:ilvl="0">
      <w:lvlJc w:val="left"/>
      <w:lvlText w:val="(%1)"/>
      <w:numFmt w:val="lowerRoman"/>
      <w:start w:val="1"/>
    </w:lvl>
  </w:abstractNum>
  <w:abstractNum w:abstractNumId="84">
    <w:nsid w:val="2A31B62D"/>
    <w:multiLevelType w:val="hybridMultilevel"/>
    <w:lvl w:ilvl="0">
      <w:lvlJc w:val="left"/>
      <w:lvlText w:val="(%1)"/>
      <w:numFmt w:val="lowerRoman"/>
      <w:start w:val="1"/>
    </w:lvl>
  </w:abstractNum>
  <w:abstractNum w:abstractNumId="85">
    <w:nsid w:val="1849C29B"/>
    <w:multiLevelType w:val="hybridMultilevel"/>
    <w:lvl w:ilvl="0">
      <w:lvlJc w:val="left"/>
      <w:lvlText w:val="(%1)"/>
      <w:numFmt w:val="lowerLetter"/>
      <w:start w:val="2"/>
    </w:lvl>
  </w:abstractNum>
  <w:abstractNum w:abstractNumId="86">
    <w:nsid w:val="7DFF9D09"/>
    <w:multiLevelType w:val="hybridMultilevel"/>
    <w:lvl w:ilvl="0">
      <w:lvlJc w:val="left"/>
      <w:lvlText w:val="(%1)"/>
      <w:numFmt w:val="lowerLetter"/>
      <w:start w:val="5"/>
    </w:lvl>
  </w:abstractNum>
  <w:abstractNum w:abstractNumId="87">
    <w:nsid w:val="754342"/>
    <w:multiLevelType w:val="hybridMultilevel"/>
    <w:lvl w:ilvl="0">
      <w:lvlJc w:val="left"/>
      <w:lvlText w:val="(%1)"/>
      <w:numFmt w:val="lowerLetter"/>
      <w:start w:val="7"/>
    </w:lvl>
  </w:abstractNum>
  <w:abstractNum w:abstractNumId="88">
    <w:nsid w:val="69E7F3E5"/>
    <w:multiLevelType w:val="hybridMultilevel"/>
    <w:lvl w:ilvl="0">
      <w:lvlJc w:val="left"/>
      <w:lvlText w:val="(%1)"/>
      <w:numFmt w:val="lowerRoman"/>
      <w:start w:val="1"/>
    </w:lvl>
    <w:lvl w:ilvl="1">
      <w:lvlJc w:val="left"/>
      <w:lvlText w:val="(%2)"/>
      <w:numFmt w:val="lowerRoman"/>
      <w:start w:val="3"/>
    </w:lvl>
  </w:abstractNum>
  <w:abstractNum w:abstractNumId="89">
    <w:nsid w:val="2A6DE806"/>
    <w:multiLevelType w:val="hybridMultilevel"/>
    <w:lvl w:ilvl="0">
      <w:lvlJc w:val="left"/>
      <w:lvlText w:val="(%1)"/>
      <w:numFmt w:val="lowerLetter"/>
      <w:start w:val="2"/>
    </w:lvl>
  </w:abstractNum>
  <w:abstractNum w:abstractNumId="90">
    <w:nsid w:val="1816F8C4"/>
    <w:multiLevelType w:val="hybridMultilevel"/>
    <w:lvl w:ilvl="0">
      <w:lvlJc w:val="left"/>
      <w:lvlText w:val="(%1)"/>
      <w:numFmt w:val="lowerLetter"/>
      <w:start w:val="3"/>
    </w:lvl>
  </w:abstractNum>
  <w:abstractNum w:abstractNumId="91">
    <w:nsid w:val="37DF2233"/>
    <w:multiLevelType w:val="hybridMultilevel"/>
    <w:lvl w:ilvl="0">
      <w:lvlJc w:val="left"/>
      <w:lvlText w:val="(%1)"/>
      <w:numFmt w:val="lowerLetter"/>
      <w:start w:val="2"/>
    </w:lvl>
  </w:abstractNum>
  <w:abstractNum w:abstractNumId="92">
    <w:nsid w:val="7AB49D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lvl w:ilvl="3">
      <w:lvlJc w:val="left"/>
      <w:lvlText w:val="%4"/>
      <w:numFmt w:val="upperLetter"/>
      <w:start w:val="1"/>
    </w:lvl>
  </w:abstractNum>
  <w:abstractNum w:abstractNumId="93">
    <w:nsid w:val="759F82CD"/>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lvl w:ilvl="3">
      <w:lvlJc w:val="left"/>
      <w:lvlText w:val="(%4)"/>
      <w:numFmt w:val="upperLetter"/>
      <w:start w:val="1"/>
    </w:lvl>
  </w:abstractNum>
  <w:abstractNum w:abstractNumId="94">
    <w:nsid w:val="61E74E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3"/>
    </w:lvl>
  </w:abstractNum>
  <w:abstractNum w:abstractNumId="95">
    <w:nsid w:val="597B4D8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5"/>
    </w:lvl>
  </w:abstractNum>
  <w:abstractNum w:abstractNumId="96">
    <w:nsid w:val="F819E7F"/>
    <w:multiLevelType w:val="hybridMultilevel"/>
    <w:lvl w:ilvl="0">
      <w:lvlJc w:val="left"/>
      <w:lvlText w:val="(%1)"/>
      <w:numFmt w:val="lowerLetter"/>
      <w:start w:val="61"/>
    </w:lvl>
    <w:lvl w:ilvl="1">
      <w:lvlJc w:val="left"/>
      <w:lvlText w:val="(%2)"/>
      <w:numFmt w:val="lowerLetter"/>
      <w:start w:val="7"/>
    </w:lvl>
    <w:lvl w:ilvl="2">
      <w:lvlJc w:val="left"/>
      <w:lvlText w:val="%3"/>
      <w:numFmt w:val="upperLetter"/>
      <w:start w:val="1"/>
    </w:lvl>
  </w:abstractNum>
  <w:abstractNum w:abstractNumId="97">
    <w:nsid w:val="57C7D42D"/>
    <w:multiLevelType w:val="hybridMultilevel"/>
    <w:lvl w:ilvl="0">
      <w:lvlJc w:val="left"/>
      <w:lvlText w:val="(%1)"/>
      <w:numFmt w:val="lowerLetter"/>
      <w:start w:val="9"/>
    </w:lvl>
  </w:abstractNum>
  <w:abstractNum w:abstractNumId="98">
    <w:nsid w:val="312167AD"/>
    <w:multiLevelType w:val="hybridMultilevel"/>
    <w:lvl w:ilvl="0">
      <w:lvlJc w:val="left"/>
      <w:lvlText w:val="(%1)"/>
      <w:numFmt w:val="lowerRoman"/>
      <w:start w:val="8"/>
    </w:lvl>
  </w:abstractNum>
  <w:abstractNum w:abstractNumId="99">
    <w:nsid w:val="631B64D4"/>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100">
    <w:nsid w:val="78B5E776"/>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101">
    <w:nsid w:val="75486E47"/>
    <w:multiLevelType w:val="hybridMultilevel"/>
    <w:lvl w:ilvl="0">
      <w:lvlJc w:val="left"/>
      <w:lvlText w:val="(%1)"/>
      <w:numFmt w:val="lowerRoman"/>
      <w:start w:val="1"/>
    </w:lvl>
    <w:lvl w:ilvl="1">
      <w:lvlJc w:val="left"/>
      <w:lvlText w:val="(%2)"/>
      <w:numFmt w:val="lowerRoman"/>
      <w:start w:val="3"/>
    </w:lvl>
    <w:lvl w:ilvl="2">
      <w:lvlJc w:val="left"/>
      <w:lvlText w:val="%3"/>
      <w:numFmt w:val="lowerLetter"/>
      <w:start w:val="1"/>
    </w:lvl>
  </w:abstractNum>
  <w:abstractNum w:abstractNumId="102">
    <w:nsid w:val="6E534CDE"/>
    <w:multiLevelType w:val="hybridMultilevel"/>
    <w:lvl w:ilvl="0">
      <w:lvlJc w:val="left"/>
      <w:lvlText w:val="%1"/>
      <w:numFmt w:val="lowerLetter"/>
      <w:start w:val="1"/>
    </w:lvl>
    <w:lvl w:ilvl="1">
      <w:lvlJc w:val="left"/>
      <w:lvlText w:val="(%2)"/>
      <w:numFmt w:val="lowerLetter"/>
      <w:start w:val="22"/>
    </w:lvl>
    <w:lvl w:ilvl="2">
      <w:lvlJc w:val="left"/>
      <w:lvlText w:val="%3"/>
      <w:numFmt w:val="lowerLetter"/>
      <w:start w:val="1"/>
    </w:lvl>
  </w:abstractNum>
  <w:abstractNum w:abstractNumId="103">
    <w:nsid w:val="1A0DDE32"/>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4"/>
    </w:lvl>
  </w:abstractNum>
  <w:abstractNum w:abstractNumId="104">
    <w:nsid w:val="65968C1C"/>
    <w:multiLevelType w:val="hybridMultilevel"/>
    <w:lvl w:ilvl="0">
      <w:lvlJc w:val="left"/>
      <w:lvlText w:val="(%1)"/>
      <w:numFmt w:val="lowerLetter"/>
      <w:start w:val="2"/>
    </w:lvl>
  </w:abstractNum>
  <w:abstractNum w:abstractNumId="105">
    <w:nsid w:val="46263DEC"/>
    <w:multiLevelType w:val="hybridMultilevel"/>
    <w:lvl w:ilvl="0">
      <w:lvlJc w:val="left"/>
      <w:lvlText w:val="(%1)"/>
      <w:numFmt w:val="lowerRoman"/>
      <w:start w:val="1"/>
    </w:lvl>
  </w:abstractNum>
  <w:abstractNum w:abstractNumId="106">
    <w:nsid w:val="260D8C4A"/>
    <w:multiLevelType w:val="hybridMultilevel"/>
    <w:lvl w:ilvl="0">
      <w:lvlJc w:val="left"/>
      <w:lvlText w:val="(%1)"/>
      <w:numFmt w:val="lowerLetter"/>
      <w:start w:val="2"/>
    </w:lvl>
  </w:abstractNum>
  <w:abstractNum w:abstractNumId="107">
    <w:nsid w:val="73D4D3C4"/>
    <w:multiLevelType w:val="hybridMultilevel"/>
    <w:lvl w:ilvl="0">
      <w:lvlJc w:val="left"/>
      <w:lvlText w:val="(%1)"/>
      <w:numFmt w:val="lowerLetter"/>
      <w:start w:val="2"/>
    </w:lvl>
  </w:abstractNum>
  <w:abstractNum w:abstractNumId="108">
    <w:nsid w:val="746F2E30"/>
    <w:multiLevelType w:val="hybridMultilevel"/>
    <w:lvl w:ilvl="0">
      <w:lvlJc w:val="left"/>
      <w:lvlText w:val="(%1)"/>
      <w:numFmt w:val="lowerLetter"/>
      <w:start w:val="2"/>
    </w:lvl>
  </w:abstractNum>
  <w:abstractNum w:abstractNumId="109">
    <w:nsid w:val="6FDE8AF6"/>
    <w:multiLevelType w:val="hybridMultilevel"/>
    <w:lvl w:ilvl="0">
      <w:lvlJc w:val="left"/>
      <w:lvlText w:val="(%1)"/>
      <w:numFmt w:val="lowerLetter"/>
      <w:start w:val="2"/>
    </w:lvl>
  </w:abstractNum>
  <w:abstractNum w:abstractNumId="110">
    <w:nsid w:val="3FC32E20"/>
    <w:multiLevelType w:val="hybridMultilevel"/>
    <w:lvl w:ilvl="0">
      <w:lvlJc w:val="left"/>
      <w:lvlText w:val="(%1)"/>
      <w:numFmt w:val="lowerLetter"/>
      <w:start w:val="2"/>
    </w:lvl>
  </w:abstractNum>
  <w:abstractNum w:abstractNumId="111">
    <w:nsid w:val="49C0E823"/>
    <w:multiLevelType w:val="hybridMultilevel"/>
    <w:lvl w:ilvl="0">
      <w:lvlJc w:val="left"/>
      <w:lvlText w:val="(%1)"/>
      <w:numFmt w:val="lowerLetter"/>
      <w:start w:val="2"/>
    </w:lvl>
  </w:abstractNum>
  <w:abstractNum w:abstractNumId="112">
    <w:nsid w:val="14D53685"/>
    <w:multiLevelType w:val="hybridMultilevel"/>
    <w:lvl w:ilvl="0">
      <w:lvlJc w:val="left"/>
      <w:lvlText w:val="(%1)"/>
      <w:numFmt w:val="lowerLetter"/>
      <w:start w:val="1"/>
    </w:lvl>
  </w:abstractNum>
  <w:abstractNum w:abstractNumId="113">
    <w:nsid w:val="230F856C"/>
    <w:multiLevelType w:val="hybridMultilevel"/>
    <w:lvl w:ilvl="0">
      <w:lvlJc w:val="left"/>
      <w:lvlText w:val="(%1)"/>
      <w:numFmt w:val="lowerLetter"/>
      <w:start w:val="1"/>
    </w:lvl>
  </w:abstractNum>
  <w:abstractNum w:abstractNumId="114">
    <w:nsid w:val="6EAA85FB"/>
    <w:multiLevelType w:val="hybridMultilevel"/>
    <w:lvl w:ilvl="0">
      <w:lvlJc w:val="left"/>
      <w:lvlText w:val="(%1)"/>
      <w:numFmt w:val="lowerLetter"/>
      <w:start w:val="5"/>
    </w:lvl>
  </w:abstractNum>
  <w:abstractNum w:abstractNumId="115">
    <w:nsid w:val="3F06ECB2"/>
    <w:multiLevelType w:val="hybridMultilevel"/>
    <w:lvl w:ilvl="0">
      <w:lvlJc w:val="left"/>
      <w:lvlText w:val="(%1)"/>
      <w:numFmt w:val="lowerLetter"/>
      <w:start w:val="2"/>
    </w:lvl>
  </w:abstractNum>
  <w:abstractNum w:abstractNumId="116">
    <w:nsid w:val="3B594807"/>
    <w:multiLevelType w:val="hybridMultilevel"/>
    <w:lvl w:ilvl="0">
      <w:lvlJc w:val="left"/>
      <w:lvlText w:val="%1"/>
      <w:numFmt w:val="lowerRoman"/>
      <w:start w:val="1"/>
    </w:lvl>
    <w:lvl w:ilvl="1">
      <w:lvlJc w:val="left"/>
      <w:lvlText w:val="(%2)"/>
      <w:numFmt w:val="lowerLetter"/>
      <w:start w:val="1"/>
    </w:lvl>
  </w:abstractNum>
  <w:abstractNum w:abstractNumId="117">
    <w:nsid w:val="6CAA2304"/>
    <w:multiLevelType w:val="hybridMultilevel"/>
    <w:lvl w:ilvl="0">
      <w:lvlJc w:val="left"/>
      <w:lvlText w:val="(%1)"/>
      <w:numFmt w:val="lowerRoman"/>
      <w:start w:val="1"/>
    </w:lvl>
    <w:lvl w:ilvl="1">
      <w:lvlJc w:val="left"/>
      <w:lvlText w:val="(%2)"/>
      <w:numFmt w:val="lowerLetter"/>
      <w:start w:val="3"/>
    </w:lvl>
  </w:abstractNum>
  <w:abstractNum w:abstractNumId="118">
    <w:nsid w:val="3F7C2FF4"/>
    <w:multiLevelType w:val="hybridMultilevel"/>
    <w:lvl w:ilvl="0">
      <w:lvlJc w:val="left"/>
      <w:lvlText w:val="%1"/>
      <w:numFmt w:val="lowerRoman"/>
      <w:start w:val="1"/>
    </w:lvl>
    <w:lvl w:ilvl="1">
      <w:lvlJc w:val="left"/>
      <w:lvlText w:val="(%2)"/>
      <w:numFmt w:val="lowerLetter"/>
      <w:start w:val="4"/>
    </w:lvl>
  </w:abstractNum>
  <w:abstractNum w:abstractNumId="119">
    <w:nsid w:val="25413BEC"/>
    <w:multiLevelType w:val="hybridMultilevel"/>
    <w:lvl w:ilvl="0">
      <w:lvlJc w:val="left"/>
      <w:lvlText w:val="(%1)"/>
      <w:numFmt w:val="lowerRoman"/>
      <w:start w:val="1"/>
    </w:lvl>
    <w:lvl w:ilvl="1">
      <w:lvlJc w:val="left"/>
      <w:lvlText w:val="%2"/>
      <w:numFmt w:val="lowerLetter"/>
      <w:start w:val="1"/>
    </w:lvl>
  </w:abstractNum>
  <w:abstractNum w:abstractNumId="120">
    <w:nsid w:val="17180B0B"/>
    <w:multiLevelType w:val="hybridMultilevel"/>
    <w:lvl w:ilvl="0">
      <w:lvlJc w:val="left"/>
      <w:lvlText w:val="(%1)"/>
      <w:numFmt w:val="lowerRoman"/>
      <w:start w:val="3"/>
    </w:lvl>
  </w:abstractNum>
  <w:abstractNum w:abstractNumId="121">
    <w:nsid w:val="579328B9"/>
    <w:multiLevelType w:val="hybridMultilevel"/>
    <w:lvl w:ilvl="0">
      <w:lvlJc w:val="left"/>
      <w:lvlText w:val="(%1)"/>
      <w:numFmt w:val="lowerLetter"/>
      <w:start w:val="9"/>
    </w:lvl>
  </w:abstractNum>
  <w:abstractNum w:abstractNumId="122">
    <w:nsid w:val="5D205E20"/>
    <w:multiLevelType w:val="hybridMultilevel"/>
    <w:lvl w:ilvl="0">
      <w:lvlJc w:val="left"/>
      <w:lvlText w:val="%1"/>
      <w:numFmt w:val="lowerLetter"/>
      <w:start w:val="1"/>
    </w:lvl>
    <w:lvl w:ilvl="1">
      <w:lvlJc w:val="left"/>
      <w:lvlText w:val="(%2)"/>
      <w:numFmt w:val="lowerLetter"/>
      <w:start w:val="11"/>
    </w:lvl>
  </w:abstractNum>
  <w:abstractNum w:abstractNumId="123">
    <w:nsid w:val="11CCA8BA"/>
    <w:multiLevelType w:val="hybridMultilevel"/>
    <w:lvl w:ilvl="0">
      <w:lvlJc w:val="left"/>
      <w:lvlText w:val="(%1)"/>
      <w:numFmt w:val="lowerLetter"/>
      <w:start w:val="35"/>
    </w:lvl>
    <w:lvl w:ilvl="1">
      <w:lvlJc w:val="left"/>
      <w:lvlText w:val="%2"/>
      <w:numFmt w:val="lowerLetter"/>
      <w:start w:val="1"/>
    </w:lvl>
  </w:abstractNum>
  <w:abstractNum w:abstractNumId="124">
    <w:nsid w:val="4D32AB86"/>
    <w:multiLevelType w:val="hybridMultilevel"/>
    <w:lvl w:ilvl="0">
      <w:lvlJc w:val="left"/>
      <w:lvlText w:val="(%1)"/>
      <w:numFmt w:val="lowerRoman"/>
      <w:start w:val="3"/>
    </w:lvl>
    <w:lvl w:ilvl="1">
      <w:lvlJc w:val="left"/>
      <w:lvlText w:val="(%2)"/>
      <w:numFmt w:val="lowerLetter"/>
      <w:start w:val="12"/>
    </w:lvl>
  </w:abstractNum>
  <w:abstractNum w:abstractNumId="125">
    <w:nsid w:val="3F07ACC3"/>
    <w:multiLevelType w:val="hybridMultilevel"/>
    <w:lvl w:ilvl="0">
      <w:lvlJc w:val="left"/>
      <w:lvlText w:val="(%1)"/>
      <w:numFmt w:val="lowerLetter"/>
      <w:start w:val="1"/>
    </w:lvl>
  </w:abstractNum>
  <w:abstractNum w:abstractNumId="126">
    <w:nsid w:val="6B47F63E"/>
    <w:multiLevelType w:val="hybridMultilevel"/>
    <w:lvl w:ilvl="0">
      <w:lvlJc w:val="left"/>
      <w:lvlText w:val="%1"/>
      <w:numFmt w:val="lowerLetter"/>
      <w:start w:val="1"/>
    </w:lvl>
    <w:lvl w:ilvl="1">
      <w:lvlJc w:val="left"/>
      <w:lvlText w:val="(%2)"/>
      <w:numFmt w:val="lowerLetter"/>
      <w:start w:val="2"/>
    </w:lvl>
  </w:abstractNum>
  <w:abstractNum w:abstractNumId="127">
    <w:nsid w:val="5CB44A05"/>
    <w:multiLevelType w:val="hybridMultilevel"/>
    <w:lvl w:ilvl="0">
      <w:lvlJc w:val="left"/>
      <w:lvlText w:val="(%1)"/>
      <w:numFmt w:val="lowerLetter"/>
      <w:start w:val="24"/>
    </w:lvl>
    <w:lvl w:ilvl="1">
      <w:lvlJc w:val="left"/>
      <w:lvlText w:val="%2"/>
      <w:numFmt w:val="lowerLetter"/>
      <w:start w:val="1"/>
    </w:lvl>
  </w:abstractNum>
  <w:abstractNum w:abstractNumId="128">
    <w:nsid w:val="16CF80F1"/>
    <w:multiLevelType w:val="hybridMultilevel"/>
    <w:lvl w:ilvl="0">
      <w:lvlJc w:val="left"/>
      <w:lvlText w:val="(%1)"/>
      <w:numFmt w:val="lowerLetter"/>
      <w:start w:val="1"/>
    </w:lvl>
  </w:abstractNum>
  <w:abstractNum w:abstractNumId="129">
    <w:nsid w:val="1C695DEC"/>
    <w:multiLevelType w:val="hybridMultilevel"/>
    <w:lvl w:ilvl="0">
      <w:lvlJc w:val="left"/>
      <w:lvlText w:val="(%1)"/>
      <w:numFmt w:val="lowerLetter"/>
      <w:start w:val="1"/>
    </w:lvl>
  </w:abstractNum>
  <w:abstractNum w:abstractNumId="130">
    <w:nsid w:val="3FCFAED9"/>
    <w:multiLevelType w:val="hybridMultilevel"/>
    <w:lvl w:ilvl="0">
      <w:lvlJc w:val="left"/>
      <w:lvlText w:val="%1"/>
      <w:numFmt w:val="lowerLetter"/>
      <w:start w:val="1"/>
    </w:lvl>
    <w:lvl w:ilvl="1">
      <w:lvlJc w:val="left"/>
      <w:lvlText w:val="(%2)"/>
      <w:numFmt w:val="lowerLetter"/>
      <w:start w:val="6"/>
    </w:lvl>
  </w:abstractNum>
  <w:abstractNum w:abstractNumId="131">
    <w:nsid w:val="F856867"/>
    <w:multiLevelType w:val="hybridMultilevel"/>
    <w:lvl w:ilvl="0">
      <w:lvlJc w:val="left"/>
      <w:lvlText w:val="(%1)"/>
      <w:numFmt w:val="lowerLetter"/>
      <w:start w:val="22"/>
    </w:lvl>
    <w:lvl w:ilvl="1">
      <w:lvlJc w:val="left"/>
      <w:lvlText w:val="(%2)"/>
      <w:numFmt w:val="lowerLetter"/>
      <w:start w:val="13"/>
    </w:lvl>
  </w:abstractNum>
  <w:abstractNum w:abstractNumId="132">
    <w:nsid w:val="11B1CC33"/>
    <w:multiLevelType w:val="hybridMultilevel"/>
    <w:lvl w:ilvl="0">
      <w:lvlJc w:val="left"/>
      <w:lvlText w:val="(%1)"/>
      <w:numFmt w:val="lowerLetter"/>
      <w:start w:val="1"/>
    </w:lvl>
  </w:abstractNum>
  <w:abstractNum w:abstractNumId="133">
    <w:nsid w:val="2E22FBB7"/>
    <w:multiLevelType w:val="hybridMultilevel"/>
    <w:lvl w:ilvl="0">
      <w:lvlJc w:val="left"/>
      <w:lvlText w:val="(%1)"/>
      <w:numFmt w:val="lowerLetter"/>
      <w:start w:val="2"/>
    </w:lvl>
  </w:abstractNum>
  <w:abstractNum w:abstractNumId="134">
    <w:nsid w:val="29934699"/>
    <w:multiLevelType w:val="hybridMultilevel"/>
    <w:lvl w:ilvl="0">
      <w:lvlJc w:val="left"/>
      <w:lvlText w:val="(%1)"/>
      <w:numFmt w:val="lowerRoman"/>
      <w:start w:val="1"/>
    </w:lvl>
    <w:lvl w:ilvl="1">
      <w:lvlJc w:val="left"/>
      <w:lvlText w:val="(%2)"/>
      <w:numFmt w:val="lowerLetter"/>
      <w:start w:val="3"/>
    </w:lvl>
  </w:abstractNum>
  <w:abstractNum w:abstractNumId="135">
    <w:nsid w:val="77485850"/>
    <w:multiLevelType w:val="hybridMultilevel"/>
    <w:lvl w:ilvl="0">
      <w:lvlJc w:val="left"/>
      <w:lvlText w:val="(%1)"/>
      <w:numFmt w:val="lowerLetter"/>
      <w:start w:val="35"/>
    </w:lvl>
    <w:lvl w:ilvl="1">
      <w:lvlJc w:val="left"/>
      <w:lvlText w:val="(%2)"/>
      <w:numFmt w:val="lowerLetter"/>
      <w:start w:val="5"/>
    </w:lvl>
  </w:abstractNum>
  <w:abstractNum w:abstractNumId="136">
    <w:nsid w:val="744939A3"/>
    <w:multiLevelType w:val="hybridMultilevel"/>
    <w:lvl w:ilvl="0">
      <w:lvlJc w:val="left"/>
      <w:lvlText w:val="(%1)"/>
      <w:numFmt w:val="lowerLetter"/>
      <w:start w:val="1"/>
    </w:lvl>
  </w:abstractNum>
  <w:abstractNum w:abstractNumId="137">
    <w:nsid w:val="4FA0D2E3"/>
    <w:multiLevelType w:val="hybridMultilevel"/>
    <w:lvl w:ilvl="0">
      <w:lvlJc w:val="left"/>
      <w:lvlText w:val="(%1)"/>
      <w:numFmt w:val="lowerLetter"/>
      <w:start w:val="2"/>
    </w:lvl>
  </w:abstractNum>
  <w:abstractNum w:abstractNumId="138">
    <w:nsid w:val="6B1D2C14"/>
    <w:multiLevelType w:val="hybridMultilevel"/>
    <w:lvl w:ilvl="0">
      <w:lvlJc w:val="left"/>
      <w:lvlText w:val="(%1)"/>
      <w:numFmt w:val="lowerLetter"/>
      <w:start w:val="23"/>
    </w:lvl>
    <w:lvl w:ilvl="1">
      <w:lvlJc w:val="left"/>
      <w:lvlText w:val="%2"/>
      <w:numFmt w:val="lowerRoman"/>
      <w:start w:val="1"/>
    </w:lvl>
    <w:lvl w:ilvl="2">
      <w:lvlJc w:val="left"/>
      <w:lvlText w:val="%3"/>
      <w:numFmt w:val="lowerLetter"/>
      <w:start w:val="1"/>
    </w:lvl>
    <w:lvl w:ilvl="3">
      <w:lvlJc w:val="left"/>
      <w:lvlText w:val="%4"/>
      <w:numFmt w:val="upperLetter"/>
      <w:start w:val="1"/>
    </w:lvl>
  </w:abstractNum>
  <w:abstractNum w:abstractNumId="139">
    <w:nsid w:val="68B867D3"/>
    <w:multiLevelType w:val="hybridMultilevel"/>
    <w:lvl w:ilvl="0">
      <w:lvlJc w:val="left"/>
      <w:lvlText w:val="(%1)"/>
      <w:numFmt w:val="lowerLetter"/>
      <w:start w:val="35"/>
    </w:lvl>
    <w:lvl w:ilvl="1">
      <w:lvlJc w:val="left"/>
      <w:lvlText w:val="(%2)"/>
      <w:numFmt w:val="lowerRoman"/>
    </w:lvl>
    <w:lvl w:ilvl="2">
      <w:lvlJc w:val="left"/>
      <w:lvlText w:val="(%3)"/>
      <w:numFmt w:val="lowerLetter"/>
      <w:start w:val="2"/>
    </w:lvl>
    <w:lvl w:ilvl="3">
      <w:lvlJc w:val="left"/>
      <w:lvlText w:val="(%4)"/>
      <w:numFmt w:val="upperLetter"/>
      <w:start w:val="2"/>
    </w:lvl>
  </w:abstractNum>
  <w:abstractNum w:abstractNumId="140">
    <w:nsid w:val="3F7F5DD9"/>
    <w:multiLevelType w:val="hybridMultilevel"/>
    <w:lvl w:ilvl="0">
      <w:lvlJc w:val="left"/>
      <w:lvlText w:val="(%1)"/>
      <w:numFmt w:val="lowerRoman"/>
      <w:start w:val="3"/>
    </w:lvl>
  </w:abstractNum>
  <w:abstractNum w:abstractNumId="141">
    <w:nsid w:val="2AE05A34"/>
    <w:multiLevelType w:val="hybridMultilevel"/>
    <w:lvl w:ilvl="0">
      <w:lvlJc w:val="left"/>
      <w:lvlText w:val="%1"/>
      <w:numFmt w:val="upperLetter"/>
      <w:start w:val="1"/>
    </w:lvl>
    <w:lvl w:ilvl="1">
      <w:lvlJc w:val="left"/>
      <w:lvlText w:val="(%2)"/>
      <w:numFmt w:val="lowerLetter"/>
      <w:start w:val="4"/>
    </w:lvl>
  </w:abstractNum>
  <w:abstractNum w:abstractNumId="142">
    <w:nsid w:val="32794FF7"/>
    <w:multiLevelType w:val="hybridMultilevel"/>
    <w:lvl w:ilvl="0">
      <w:lvlJc w:val="left"/>
      <w:lvlText w:val="(%1)"/>
      <w:numFmt w:val="upperLetter"/>
      <w:start w:val="3"/>
    </w:lvl>
    <w:lvl w:ilvl="1">
      <w:lvlJc w:val="left"/>
      <w:lvlText w:val="(%2)"/>
      <w:numFmt w:val="lowerLetter"/>
      <w:start w:val="5"/>
    </w:lvl>
  </w:abstractNum>
  <w:abstractNum w:abstractNumId="143">
    <w:nsid w:val="5454945E"/>
    <w:multiLevelType w:val="hybridMultilevel"/>
    <w:lvl w:ilvl="0">
      <w:lvlJc w:val="left"/>
      <w:lvlText w:val="%1"/>
      <w:numFmt w:val="lowerRoman"/>
      <w:start w:val="1"/>
    </w:lvl>
    <w:lvl w:ilvl="1">
      <w:lvlJc w:val="left"/>
      <w:lvlText w:val="(%2)"/>
      <w:numFmt w:val="lowerLetter"/>
      <w:start w:val="1"/>
    </w:lvl>
  </w:abstractNum>
  <w:abstractNum w:abstractNumId="144">
    <w:nsid w:val="4DEFDFA0"/>
    <w:multiLevelType w:val="hybridMultilevel"/>
    <w:lvl w:ilvl="0">
      <w:lvlJc w:val="left"/>
      <w:lvlText w:val="(%1)"/>
      <w:numFmt w:val="lowerRoman"/>
      <w:start w:val="1"/>
    </w:lvl>
    <w:lvl w:ilvl="1">
      <w:lvlJc w:val="left"/>
      <w:lvlText w:val="(%2)"/>
      <w:numFmt w:val="lowerLetter"/>
      <w:start w:val="2"/>
    </w:lvl>
  </w:abstractNum>
  <w:abstractNum w:abstractNumId="145">
    <w:nsid w:val="2123D5F2"/>
    <w:multiLevelType w:val="hybridMultilevel"/>
    <w:lvl w:ilvl="0">
      <w:lvlJc w:val="left"/>
      <w:lvlText w:val="(%1)"/>
      <w:numFmt w:val="lowerLetter"/>
      <w:start w:val="1"/>
    </w:lvl>
  </w:abstractNum>
  <w:abstractNum w:abstractNumId="146">
    <w:nsid w:val="135B8110"/>
    <w:multiLevelType w:val="hybridMultilevel"/>
    <w:lvl w:ilvl="0">
      <w:lvlJc w:val="left"/>
      <w:lvlText w:val="(%1)"/>
      <w:numFmt w:val="lowerLetter"/>
      <w:start w:val="2"/>
    </w:lvl>
  </w:abstractNum>
  <w:abstractNum w:abstractNumId="147">
    <w:nsid w:val="94927A8"/>
    <w:multiLevelType w:val="hybridMultilevel"/>
    <w:lvl w:ilvl="0">
      <w:lvlJc w:val="left"/>
      <w:lvlText w:val="(%1)"/>
      <w:numFmt w:val="lowerLetter"/>
      <w:start w:val="1"/>
    </w:lvl>
  </w:abstractNum>
  <w:abstractNum w:abstractNumId="148">
    <w:nsid w:val="DCDF8F6"/>
    <w:multiLevelType w:val="hybridMultilevel"/>
    <w:lvl w:ilvl="0">
      <w:lvlJc w:val="left"/>
      <w:lvlText w:val="(%1)"/>
      <w:numFmt w:val="lowerLetter"/>
      <w:start w:val="2"/>
    </w:lvl>
  </w:abstractNum>
  <w:abstractNum w:abstractNumId="149">
    <w:nsid w:val="52D7B105"/>
    <w:multiLevelType w:val="hybridMultilevel"/>
    <w:lvl w:ilvl="0">
      <w:lvlJc w:val="left"/>
      <w:lvlText w:val="%1"/>
      <w:numFmt w:val="lowerLetter"/>
      <w:start w:val="1"/>
    </w:lvl>
    <w:lvl w:ilvl="1">
      <w:lvlJc w:val="left"/>
      <w:lvlText w:val="(%2)"/>
      <w:numFmt w:val="lowerLetter"/>
      <w:start w:val="17"/>
    </w:lvl>
  </w:abstractNum>
  <w:abstractNum w:abstractNumId="150">
    <w:nsid w:val="2E8A6394"/>
    <w:multiLevelType w:val="hybridMultilevel"/>
    <w:lvl w:ilvl="0">
      <w:lvlJc w:val="left"/>
      <w:lvlText w:val="(%1)"/>
      <w:numFmt w:val="lowerLetter"/>
      <w:start w:val="24"/>
    </w:lvl>
    <w:lvl w:ilvl="1">
      <w:lvlJc w:val="left"/>
      <w:lvlText w:val="(%2)"/>
      <w:numFmt w:val="lowerLetter"/>
      <w:start w:val="20"/>
    </w:lvl>
  </w:abstractNum>
  <w:abstractNum w:abstractNumId="151">
    <w:nsid w:val="24E60401"/>
    <w:multiLevelType w:val="hybridMultilevel"/>
    <w:lvl w:ilvl="0">
      <w:lvlJc w:val="left"/>
      <w:lvlText w:val="(%1)"/>
      <w:numFmt w:val="lowerRoman"/>
      <w:start w:val="10"/>
    </w:lvl>
  </w:abstractNum>
  <w:abstractNum w:abstractNumId="152">
    <w:nsid w:val="2A6AD9BE"/>
    <w:multiLevelType w:val="hybridMultilevel"/>
    <w:lvl w:ilvl="0">
      <w:lvlJc w:val="left"/>
      <w:lvlText w:val="(%1)"/>
      <w:numFmt w:val="lowerLetter"/>
      <w:start w:val="1"/>
    </w:lvl>
  </w:abstractNum>
  <w:abstractNum w:abstractNumId="153">
    <w:nsid w:val="BAAC1B4"/>
    <w:multiLevelType w:val="hybridMultilevel"/>
    <w:lvl w:ilvl="0">
      <w:lvlJc w:val="left"/>
      <w:lvlText w:val="(%1)"/>
      <w:numFmt w:val="lowerLetter"/>
      <w:start w:val="11"/>
    </w:lvl>
  </w:abstractNum>
  <w:abstractNum w:abstractNumId="154">
    <w:nsid w:val="36B2ACBC"/>
    <w:multiLevelType w:val="hybridMultilevel"/>
    <w:lvl w:ilvl="0">
      <w:lvlJc w:val="left"/>
      <w:lvlText w:val="(%1)"/>
      <w:numFmt w:val="lowerLetter"/>
      <w:start w:val="1"/>
    </w:lvl>
  </w:abstractNum>
  <w:abstractNum w:abstractNumId="155">
    <w:nsid w:val="779D8544"/>
    <w:multiLevelType w:val="hybridMultilevel"/>
    <w:lvl w:ilvl="0">
      <w:lvlJc w:val="left"/>
      <w:lvlText w:val="(%1)"/>
      <w:numFmt w:val="lowerLetter"/>
      <w:start w:val="1"/>
    </w:lvl>
  </w:abstractNum>
  <w:abstractNum w:abstractNumId="156">
    <w:nsid w:val="4AB26E78"/>
    <w:multiLevelType w:val="hybridMultilevel"/>
    <w:lvl w:ilvl="0">
      <w:lvlJc w:val="left"/>
      <w:lvlText w:val="(%1)"/>
      <w:numFmt w:val="lowerLetter"/>
      <w:start w:val="1"/>
    </w:lvl>
  </w:abstractNum>
  <w:abstractNum w:abstractNumId="157">
    <w:nsid w:val="21FAA2FA"/>
    <w:multiLevelType w:val="hybridMultilevel"/>
    <w:lvl w:ilvl="0">
      <w:lvlJc w:val="left"/>
      <w:lvlText w:val="(%1)"/>
      <w:numFmt w:val="lowerLetter"/>
      <w:start w:val="1"/>
    </w:lvl>
  </w:abstractNum>
  <w:abstractNum w:abstractNumId="158">
    <w:nsid w:val="5451CF49"/>
    <w:multiLevelType w:val="hybridMultilevel"/>
    <w:lvl w:ilvl="0">
      <w:lvlJc w:val="left"/>
      <w:lvlText w:val="(%1)"/>
      <w:numFmt w:val="lowerLetter"/>
      <w:start w:val="2"/>
    </w:lvl>
  </w:abstractNum>
  <w:abstractNum w:abstractNumId="159">
    <w:nsid w:val="6181EF69"/>
    <w:multiLevelType w:val="hybridMultilevel"/>
    <w:lvl w:ilvl="0">
      <w:lvlJc w:val="left"/>
      <w:lvlText w:val="%1"/>
      <w:numFmt w:val="lowerRoman"/>
      <w:start w:val="1"/>
    </w:lvl>
    <w:lvl w:ilvl="1">
      <w:lvlJc w:val="left"/>
      <w:lvlText w:val="(%2)"/>
      <w:numFmt w:val="lowerRoman"/>
      <w:start w:val="2"/>
    </w:lvl>
  </w:abstractNum>
  <w:abstractNum w:abstractNumId="160">
    <w:nsid w:val="3E6400E6"/>
    <w:multiLevelType w:val="hybridMultilevel"/>
    <w:lvl w:ilvl="0">
      <w:lvlJc w:val="left"/>
      <w:lvlText w:val="(%1)"/>
      <w:numFmt w:val="lowerRoman"/>
      <w:start w:val="2"/>
    </w:lvl>
    <w:lvl w:ilvl="1">
      <w:lvlJc w:val="left"/>
      <w:lvlText w:val="%2"/>
      <w:numFmt w:val="lowerRoman"/>
      <w:start w:val="1"/>
    </w:lvl>
  </w:abstractNum>
  <w:abstractNum w:abstractNumId="161">
    <w:nsid w:val="14217E23"/>
    <w:multiLevelType w:val="hybridMultilevel"/>
    <w:lvl w:ilvl="0">
      <w:lvlJc w:val="left"/>
      <w:lvlText w:val="(%1)"/>
      <w:numFmt w:val="lowerLetter"/>
      <w:start w:val="7"/>
    </w:lvl>
  </w:abstractNum>
  <w:abstractNum w:abstractNumId="162">
    <w:nsid w:val="710757D0"/>
    <w:multiLevelType w:val="hybridMultilevel"/>
    <w:lvl w:ilvl="0">
      <w:lvlJc w:val="left"/>
      <w:lvlText w:val="(%1)"/>
      <w:numFmt w:val="lowerLetter"/>
      <w:start w:val="10"/>
    </w:lvl>
  </w:abstractNum>
  <w:abstractNum w:abstractNumId="163">
    <w:nsid w:val="5015CD1A"/>
    <w:multiLevelType w:val="hybridMultilevel"/>
    <w:lvl w:ilvl="0">
      <w:lvlJc w:val="left"/>
      <w:lvlText w:val="(%1)"/>
      <w:numFmt w:val="lowerRoman"/>
      <w:start w:val="4"/>
    </w:lvl>
  </w:abstractNum>
  <w:abstractNum w:abstractNumId="164">
    <w:nsid w:val="424479DA"/>
    <w:multiLevelType w:val="hybridMultilevel"/>
    <w:lvl w:ilvl="0">
      <w:lvlJc w:val="left"/>
      <w:lvlText w:val="(%1)"/>
      <w:numFmt w:val="lowerRoman"/>
      <w:start w:val="6"/>
    </w:lvl>
  </w:abstractNum>
  <w:abstractNum w:abstractNumId="165">
    <w:nsid w:val="1A9A9E69"/>
    <w:multiLevelType w:val="hybridMultilevel"/>
    <w:lvl w:ilvl="0">
      <w:lvlJc w:val="left"/>
      <w:lvlText w:val="(%1)"/>
      <w:numFmt w:val="lowerLetter"/>
      <w:start w:val="1"/>
    </w:lvl>
  </w:abstractNum>
  <w:abstractNum w:abstractNumId="166">
    <w:nsid w:val="475E256A"/>
    <w:multiLevelType w:val="hybridMultilevel"/>
    <w:lvl w:ilvl="0">
      <w:lvlJc w:val="left"/>
      <w:lvlText w:val="(%1)"/>
      <w:numFmt w:val="lowerLetter"/>
      <w:start w:val="2"/>
    </w:lvl>
  </w:abstractNum>
  <w:abstractNum w:abstractNumId="167">
    <w:nsid w:val="368DB37E"/>
    <w:multiLevelType w:val="hybridMultilevel"/>
    <w:lvl w:ilvl="0">
      <w:lvlJc w:val="left"/>
      <w:lvlText w:val="(%1)"/>
      <w:numFmt w:val="lowerLetter"/>
      <w:start w:val="1"/>
    </w:lvl>
  </w:abstractNum>
  <w:abstractNum w:abstractNumId="168">
    <w:nsid w:val="6A3B714C"/>
    <w:multiLevelType w:val="hybridMultilevel"/>
    <w:lvl w:ilvl="0">
      <w:lvlJc w:val="left"/>
      <w:lvlText w:val="%1"/>
      <w:numFmt w:val="lowerRoman"/>
      <w:start w:val="1"/>
    </w:lvl>
    <w:lvl w:ilvl="1">
      <w:lvlJc w:val="left"/>
      <w:lvlText w:val="(%2)"/>
      <w:numFmt w:val="lowerLetter"/>
      <w:start w:val="6"/>
    </w:lvl>
  </w:abstractNum>
  <w:abstractNum w:abstractNumId="169">
    <w:nsid w:val="327B517E"/>
    <w:multiLevelType w:val="hybridMultilevel"/>
    <w:lvl w:ilvl="0">
      <w:lvlJc w:val="left"/>
      <w:lvlText w:val="(%1)"/>
      <w:numFmt w:val="lowerRoman"/>
      <w:start w:val="3"/>
    </w:lvl>
    <w:lvl w:ilvl="1">
      <w:lvlJc w:val="left"/>
      <w:lvlText w:val="(%2)"/>
      <w:numFmt w:val="lowerLetter"/>
      <w:start w:val="8"/>
    </w:lvl>
  </w:abstractNum>
  <w:abstractNum w:abstractNumId="170">
    <w:nsid w:val="1F461B51"/>
    <w:multiLevelType w:val="hybridMultilevel"/>
    <w:lvl w:ilvl="0">
      <w:lvlJc w:val="left"/>
      <w:lvlText w:val="(%1)"/>
      <w:numFmt w:val="lowerRoman"/>
      <w:start w:val="1"/>
    </w:lvl>
    <w:lvl w:ilvl="1">
      <w:lvlJc w:val="left"/>
      <w:lvlText w:val="(%2)"/>
      <w:numFmt w:val="lowerLetter"/>
      <w:start w:val="9"/>
    </w:lvl>
  </w:abstractNum>
  <w:abstractNum w:abstractNumId="171">
    <w:nsid w:val="29BACF25"/>
    <w:multiLevelType w:val="hybridMultilevel"/>
    <w:lvl w:ilvl="0">
      <w:lvlJc w:val="left"/>
      <w:lvlText w:val="(%1)"/>
      <w:numFmt w:val="lowerLetter"/>
      <w:start w:val="10"/>
    </w:lvl>
  </w:abstractNum>
  <w:abstractNum w:abstractNumId="172">
    <w:nsid w:val="5D5BABB3"/>
    <w:multiLevelType w:val="hybridMultilevel"/>
    <w:lvl w:ilvl="0">
      <w:lvlJc w:val="left"/>
      <w:lvlText w:val="(%1)"/>
      <w:numFmt w:val="upperLetter"/>
      <w:start w:val="2"/>
    </w:lvl>
  </w:abstractNum>
  <w:abstractNum w:abstractNumId="173">
    <w:nsid w:val="51BF6B48"/>
    <w:multiLevelType w:val="hybridMultilevel"/>
    <w:lvl w:ilvl="0">
      <w:lvlJc w:val="left"/>
      <w:lvlText w:val="(%1)"/>
      <w:numFmt w:val="lowerRoman"/>
      <w:start w:val="2"/>
    </w:lvl>
  </w:abstractNum>
  <w:abstractNum w:abstractNumId="174">
    <w:nsid w:val="7E0F6384"/>
    <w:multiLevelType w:val="hybridMultilevel"/>
    <w:lvl w:ilvl="0">
      <w:lvlJc w:val="left"/>
      <w:lvlText w:val="(%1)"/>
      <w:numFmt w:val="lowerLetter"/>
      <w:start w:val="2"/>
    </w:lvl>
    <w:lvl w:ilvl="1">
      <w:lvlJc w:val="left"/>
      <w:lvlText w:val="(%2)"/>
      <w:numFmt w:val="upperLetter"/>
      <w:start w:val="1"/>
    </w:lvl>
  </w:abstractNum>
  <w:abstractNum w:abstractNumId="175">
    <w:nsid w:val="2B4B8B53"/>
    <w:multiLevelType w:val="hybridMultilevel"/>
    <w:lvl w:ilvl="0">
      <w:lvlJc w:val="left"/>
      <w:lvlText w:val="%1"/>
      <w:numFmt w:val="lowerRoman"/>
      <w:start w:val="1"/>
    </w:lvl>
    <w:lvl w:ilvl="1">
      <w:lvlJc w:val="left"/>
      <w:lvlText w:val="(%2)"/>
      <w:numFmt w:val="upperLetter"/>
      <w:start w:val="2"/>
    </w:lvl>
  </w:abstractNum>
  <w:abstractNum w:abstractNumId="176">
    <w:nsid w:val="72E3413A"/>
    <w:multiLevelType w:val="hybridMultilevel"/>
    <w:lvl w:ilvl="0">
      <w:lvlJc w:val="left"/>
      <w:lvlText w:val="(%1)"/>
      <w:numFmt w:val="lowerRoman"/>
      <w:start w:val="2"/>
    </w:lvl>
    <w:lvl w:ilvl="1">
      <w:lvlJc w:val="left"/>
      <w:lvlText w:val="(%2)"/>
      <w:numFmt w:val="upperLetter"/>
      <w:start w:val="1"/>
    </w:lvl>
  </w:abstractNum>
  <w:abstractNum w:abstractNumId="177">
    <w:nsid w:val="116AE494"/>
    <w:multiLevelType w:val="hybridMultilevel"/>
    <w:lvl w:ilvl="0">
      <w:lvlJc w:val="left"/>
      <w:lvlText w:val=";"/>
      <w:numFmt w:val="bullet"/>
      <w:start w:val="1"/>
    </w:lvl>
  </w:abstractNum>
  <w:abstractNum w:abstractNumId="178">
    <w:nsid w:val="3494B2FB"/>
    <w:multiLevelType w:val="hybridMultilevel"/>
    <w:lvl w:ilvl="0">
      <w:lvlJc w:val="left"/>
      <w:lvlText w:val="(%1)"/>
      <w:numFmt w:val="lowerRoman"/>
      <w:start w:val="3"/>
    </w:lvl>
  </w:abstractNum>
  <w:abstractNum w:abstractNumId="179">
    <w:nsid w:val="B13A31"/>
    <w:multiLevelType w:val="hybridMultilevel"/>
    <w:lvl w:ilvl="0">
      <w:lvlJc w:val="left"/>
      <w:lvlText w:val="(%1)"/>
      <w:numFmt w:val="lowerRoman"/>
      <w:start w:val="4"/>
    </w:lvl>
    <w:lvl w:ilvl="1">
      <w:lvlJc w:val="left"/>
      <w:lvlText w:val="(%2)"/>
      <w:numFmt w:val="lowerLetter"/>
      <w:start w:val="3"/>
    </w:lvl>
  </w:abstractNum>
  <w:abstractNum w:abstractNumId="180">
    <w:nsid w:val="64429599"/>
    <w:multiLevelType w:val="hybridMultilevel"/>
    <w:lvl w:ilvl="0">
      <w:lvlJc w:val="left"/>
      <w:lvlText w:val="(%1)"/>
      <w:numFmt w:val="lowerLetter"/>
      <w:start w:val="4"/>
    </w:lvl>
  </w:abstractNum>
  <w:abstractNum w:abstractNumId="181">
    <w:nsid w:val="631F1690"/>
    <w:multiLevelType w:val="hybridMultilevel"/>
    <w:lvl w:ilvl="0">
      <w:lvlJc w:val="left"/>
      <w:lvlText w:val="(%1)"/>
      <w:numFmt w:val="lowerLetter"/>
      <w:start w:val="2"/>
    </w:lvl>
  </w:abstractNum>
  <w:abstractNum w:abstractNumId="182">
    <w:nsid w:val="25973E32"/>
    <w:multiLevelType w:val="hybridMultilevel"/>
    <w:lvl w:ilvl="0">
      <w:lvlJc w:val="left"/>
      <w:lvlText w:val="(%1)"/>
      <w:numFmt w:val="lowerLetter"/>
      <w:start w:val="1"/>
    </w:lvl>
  </w:abstractNum>
  <w:abstractNum w:abstractNumId="183">
    <w:nsid w:val="EAD6F57"/>
    <w:multiLevelType w:val="hybridMultilevel"/>
    <w:lvl w:ilvl="0">
      <w:lvlJc w:val="left"/>
      <w:lvlText w:val="(%1)"/>
      <w:numFmt w:val="lowerLetter"/>
      <w:start w:val="4"/>
    </w:lvl>
  </w:abstractNum>
  <w:abstractNum w:abstractNumId="184">
    <w:nsid w:val="6EC9D844"/>
    <w:multiLevelType w:val="hybridMultilevel"/>
    <w:lvl w:ilvl="0">
      <w:lvlJc w:val="left"/>
      <w:lvlText w:val="(%1)"/>
      <w:numFmt w:val="lowerLetter"/>
      <w:start w:val="1"/>
    </w:lvl>
  </w:abstractNum>
  <w:abstractNum w:abstractNumId="185">
    <w:nsid w:val="5C49EAEE"/>
    <w:multiLevelType w:val="hybridMultilevel"/>
    <w:lvl w:ilvl="0">
      <w:lvlJc w:val="left"/>
      <w:lvlText w:val="(%1)"/>
      <w:numFmt w:val="lowerLetter"/>
      <w:start w:val="2"/>
    </w:lvl>
  </w:abstractNum>
  <w:abstractNum w:abstractNumId="186">
    <w:nsid w:val="64AF49B"/>
    <w:multiLevelType w:val="hybridMultilevel"/>
    <w:lvl w:ilvl="0">
      <w:lvlJc w:val="left"/>
      <w:lvlText w:val="(%1)"/>
      <w:numFmt w:val="lowerLetter"/>
      <w:start w:val="4"/>
    </w:lvl>
  </w:abstractNum>
  <w:abstractNum w:abstractNumId="187">
    <w:nsid w:val="397C46BC"/>
    <w:multiLevelType w:val="hybridMultilevel"/>
    <w:lvl w:ilvl="0">
      <w:lvlJc w:val="left"/>
      <w:lvlText w:val="(%1)"/>
      <w:numFmt w:val="lowerRoman"/>
      <w:start w:val="1"/>
    </w:lvl>
  </w:abstractNum>
  <w:abstractNum w:abstractNumId="188">
    <w:nsid w:val="7E448DE9"/>
    <w:multiLevelType w:val="hybridMultilevel"/>
    <w:lvl w:ilvl="0">
      <w:lvlJc w:val="left"/>
      <w:lvlText w:val="%1"/>
      <w:numFmt w:val="upperLetter"/>
      <w:start w:val="61"/>
    </w:lvl>
  </w:abstractNum>
  <w:abstractNum w:abstractNumId="189">
    <w:nsid w:val="5A9CC3E5"/>
    <w:multiLevelType w:val="hybridMultilevel"/>
    <w:lvl w:ilvl="0">
      <w:lvlJc w:val="left"/>
      <w:lvlText w:val="(%1)"/>
      <w:numFmt w:val="lowerLetter"/>
      <w:start w:val="1"/>
    </w:lvl>
  </w:abstractNum>
  <w:abstractNum w:abstractNumId="190">
    <w:nsid w:val="1AFE3625"/>
    <w:multiLevelType w:val="hybridMultilevel"/>
    <w:lvl w:ilvl="0">
      <w:lvlJc w:val="left"/>
      <w:lvlText w:val="%1."/>
      <w:numFmt w:val="decimal"/>
      <w:start w:val="1"/>
    </w:lvl>
    <w:lvl w:ilvl="1">
      <w:lvlJc w:val="left"/>
      <w:lvlText w:val="(%2)"/>
      <w:numFmt w:val="lowerLetter"/>
      <w:start w:val="1"/>
    </w:lvl>
  </w:abstractNum>
  <w:abstractNum w:abstractNumId="191">
    <w:nsid w:val="3CA88ECF"/>
    <w:multiLevelType w:val="hybridMultilevel"/>
    <w:lvl w:ilvl="0">
      <w:lvlJc w:val="left"/>
      <w:lvlText w:val="%1."/>
      <w:numFmt w:val="decimal"/>
      <w:start w:val="1"/>
    </w:lvl>
    <w:lvl w:ilvl="1">
      <w:lvlJc w:val="left"/>
      <w:lvlText w:val="(%2)"/>
      <w:numFmt w:val="lowerLetter"/>
      <w:start w:val="1"/>
    </w:lvl>
  </w:abstractNum>
  <w:abstractNum w:abstractNumId="192">
    <w:nsid w:val="6EBE4208"/>
    <w:multiLevelType w:val="hybridMultilevel"/>
    <w:lvl w:ilvl="0">
      <w:lvlJc w:val="left"/>
      <w:lvlText w:val="%1."/>
      <w:numFmt w:val="decimal"/>
      <w:start w:val="1"/>
    </w:lvl>
  </w:abstractNum>
  <w:abstractNum w:abstractNumId="193">
    <w:nsid w:val="C058D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2019-12-29T17:27:08Z</dcterms:created>
  <dcterms:modified xsi:type="dcterms:W3CDTF">2019-12-29T17:27:08Z</dcterms:modified>
</cp:coreProperties>
</file>