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224155</wp:posOffset>
            </wp:positionV>
            <wp:extent cx="697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275590</wp:posOffset>
            </wp:positionV>
            <wp:extent cx="697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Washington, D.C. 20549</w:t>
      </w:r>
    </w:p>
    <w:p>
      <w:pPr>
        <w:spacing w:after="0" w:line="71" w:lineRule="exact"/>
        <w:rPr>
          <w:sz w:val="24"/>
          <w:szCs w:val="24"/>
          <w:color w:val="auto"/>
        </w:rPr>
      </w:pPr>
    </w:p>
    <w:p>
      <w:pPr>
        <w:ind w:left="3420"/>
        <w:spacing w:after="0"/>
        <w:rPr>
          <w:sz w:val="20"/>
          <w:szCs w:val="20"/>
          <w:color w:val="auto"/>
        </w:rPr>
      </w:pPr>
      <w:r>
        <w:rPr>
          <w:rFonts w:ascii="Arial" w:cs="Arial" w:eastAsia="Arial" w:hAnsi="Arial"/>
          <w:sz w:val="30"/>
          <w:szCs w:val="30"/>
          <w:b w:val="1"/>
          <w:bCs w:val="1"/>
          <w:color w:val="auto"/>
        </w:rPr>
        <w:t>SCHEDULE 14A INFORMATION</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19"/>
          <w:szCs w:val="19"/>
          <w:b w:val="1"/>
          <w:bCs w:val="1"/>
          <w:color w:val="auto"/>
        </w:rPr>
        <w:t>Securities Exchange Act of 1934 (Amendment No.   )</w:t>
      </w:r>
    </w:p>
    <w:p>
      <w:pPr>
        <w:spacing w:after="0" w:line="60" w:lineRule="exact"/>
        <w:rPr>
          <w:sz w:val="24"/>
          <w:szCs w:val="24"/>
          <w:color w:val="auto"/>
        </w:rPr>
      </w:pPr>
    </w:p>
    <w:p>
      <w:pPr>
        <w:ind w:left="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rFonts w:ascii="Arial" w:cs="Arial" w:eastAsia="Arial" w:hAnsi="Arial"/>
          <w:sz w:val="15"/>
          <w:szCs w:val="15"/>
          <w:color w:val="auto"/>
        </w:rPr>
        <w:t xml:space="preserve">                      Filed by a party other than the Registrant  </w:t>
      </w:r>
      <w:r>
        <w:rPr>
          <w:rFonts w:ascii="MS PGothic" w:cs="MS PGothic" w:eastAsia="MS PGothic" w:hAnsi="MS PGothic"/>
          <w:sz w:val="15"/>
          <w:szCs w:val="15"/>
          <w:color w:val="auto"/>
        </w:rPr>
        <w:t>☐</w:t>
      </w:r>
    </w:p>
    <w:p>
      <w:pPr>
        <w:spacing w:after="0" w:line="146" w:lineRule="exact"/>
        <w:rPr>
          <w:sz w:val="24"/>
          <w:szCs w:val="24"/>
          <w:color w:val="auto"/>
        </w:rPr>
      </w:pPr>
    </w:p>
    <w:p>
      <w:pPr>
        <w:ind w:left="140"/>
        <w:spacing w:after="0"/>
        <w:rPr>
          <w:sz w:val="20"/>
          <w:szCs w:val="20"/>
          <w:color w:val="auto"/>
        </w:rPr>
      </w:pPr>
      <w:r>
        <w:rPr>
          <w:rFonts w:ascii="Arial" w:cs="Arial" w:eastAsia="Arial" w:hAnsi="Arial"/>
          <w:sz w:val="15"/>
          <w:szCs w:val="15"/>
          <w:color w:val="auto"/>
        </w:rPr>
        <w:t>Check the appropriate box:</w:t>
      </w:r>
    </w:p>
    <w:p>
      <w:pPr>
        <w:spacing w:after="0" w:line="132" w:lineRule="exact"/>
        <w:rPr>
          <w:sz w:val="24"/>
          <w:szCs w:val="24"/>
          <w:color w:val="auto"/>
        </w:rPr>
      </w:pPr>
    </w:p>
    <w:p>
      <w:pPr>
        <w:ind w:left="760" w:hanging="553"/>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81" w:lineRule="exact"/>
        <w:rPr>
          <w:rFonts w:ascii="MS PGothic" w:cs="MS PGothic" w:eastAsia="MS PGothic" w:hAnsi="MS PGothic"/>
          <w:sz w:val="14"/>
          <w:szCs w:val="14"/>
          <w:color w:val="auto"/>
        </w:rPr>
      </w:pPr>
    </w:p>
    <w:p>
      <w:pPr>
        <w:ind w:left="760" w:hanging="553"/>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6" w:lineRule="exact"/>
        <w:rPr>
          <w:rFonts w:ascii="MS PGothic" w:cs="MS PGothic" w:eastAsia="MS PGothic" w:hAnsi="MS PGothic"/>
          <w:sz w:val="14"/>
          <w:szCs w:val="14"/>
          <w:color w:val="auto"/>
        </w:rPr>
      </w:pPr>
    </w:p>
    <w:p>
      <w:pPr>
        <w:ind w:left="20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125" w:lineRule="exact"/>
        <w:rPr>
          <w:rFonts w:ascii="MS PGothic" w:cs="MS PGothic" w:eastAsia="MS PGothic" w:hAnsi="MS PGothic"/>
          <w:sz w:val="14"/>
          <w:szCs w:val="14"/>
          <w:color w:val="auto"/>
        </w:rPr>
      </w:pPr>
    </w:p>
    <w:p>
      <w:pPr>
        <w:ind w:left="760" w:hanging="553"/>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1" w:lineRule="exact"/>
        <w:rPr>
          <w:rFonts w:ascii="MS PGothic" w:cs="MS PGothic" w:eastAsia="MS PGothic" w:hAnsi="MS PGothic"/>
          <w:sz w:val="14"/>
          <w:szCs w:val="14"/>
          <w:color w:val="auto"/>
        </w:rPr>
      </w:pPr>
    </w:p>
    <w:p>
      <w:pPr>
        <w:ind w:left="760" w:hanging="553"/>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21"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8"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Payment of Filing Fee (Check all boxes that apply):</w:t>
      </w:r>
    </w:p>
    <w:p>
      <w:pPr>
        <w:spacing w:after="0" w:line="118" w:lineRule="exact"/>
        <w:rPr>
          <w:sz w:val="24"/>
          <w:szCs w:val="24"/>
          <w:color w:val="auto"/>
        </w:rPr>
      </w:pPr>
    </w:p>
    <w:p>
      <w:pPr>
        <w:ind w:left="760" w:hanging="553"/>
        <w:spacing w:after="0"/>
        <w:tabs>
          <w:tab w:leader="none" w:pos="7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2" w:lineRule="exact"/>
        <w:rPr>
          <w:sz w:val="24"/>
          <w:szCs w:val="24"/>
          <w:color w:val="auto"/>
        </w:rPr>
      </w:pPr>
    </w:p>
    <w:p>
      <w:pPr>
        <w:ind w:left="760" w:hanging="553"/>
        <w:spacing w:after="0"/>
        <w:tabs>
          <w:tab w:leader="none" w:pos="7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5" w:lineRule="exact"/>
        <w:rPr>
          <w:rFonts w:ascii="MS PGothic" w:cs="MS PGothic" w:eastAsia="MS PGothic" w:hAnsi="MS PGothic"/>
          <w:sz w:val="14"/>
          <w:szCs w:val="14"/>
          <w:color w:val="auto"/>
        </w:rPr>
      </w:pPr>
    </w:p>
    <w:p>
      <w:pPr>
        <w:ind w:left="760" w:hanging="553"/>
        <w:spacing w:after="0"/>
        <w:tabs>
          <w:tab w:leader="none" w:pos="760" w:val="left"/>
        </w:tabs>
        <w:numPr>
          <w:ilvl w:val="0"/>
          <w:numId w:val="3"/>
        </w:numPr>
        <w:rPr>
          <w:rFonts w:ascii="MS PGothic" w:cs="MS PGothic" w:eastAsia="MS PGothic" w:hAnsi="MS PGothic"/>
          <w:sz w:val="29"/>
          <w:szCs w:val="29"/>
          <w:color w:val="auto"/>
          <w:vertAlign w:val="superscript"/>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132715</wp:posOffset>
            </wp:positionV>
            <wp:extent cx="697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192405</wp:posOffset>
            </wp:positionV>
            <wp:extent cx="697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223520</wp:posOffset>
            </wp:positionV>
            <wp:extent cx="6765290" cy="8815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5290" cy="881570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215900</wp:posOffset>
            </wp:positionV>
            <wp:extent cx="1511935" cy="478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1935"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Marriott Vacations Worldwide Corporation</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7812 Palm Parkway</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Orlando, Florida 32836</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27, 2025</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Dear Marriott Vacations Worldwide Stockholders:</w:t>
      </w:r>
    </w:p>
    <w:p>
      <w:pPr>
        <w:spacing w:after="0" w:line="112" w:lineRule="exact"/>
        <w:rPr>
          <w:sz w:val="20"/>
          <w:szCs w:val="20"/>
          <w:color w:val="auto"/>
        </w:rPr>
      </w:pPr>
    </w:p>
    <w:p>
      <w:pPr>
        <w:ind w:left="140" w:right="180"/>
        <w:spacing w:after="0" w:line="253" w:lineRule="auto"/>
        <w:rPr>
          <w:sz w:val="20"/>
          <w:szCs w:val="20"/>
          <w:color w:val="auto"/>
        </w:rPr>
      </w:pPr>
      <w:r>
        <w:rPr>
          <w:rFonts w:ascii="Arial" w:cs="Arial" w:eastAsia="Arial" w:hAnsi="Arial"/>
          <w:sz w:val="16"/>
          <w:szCs w:val="16"/>
          <w:color w:val="auto"/>
        </w:rPr>
        <w:t>It is my pleasure to inform you that the 2025 Annual Meeting of Stockholders of Marriott Vacations Worldwide Corporation (the “Annual Meeting”) will be conducted online on Tuesday, May 13, 2025 beginning at 9:00 a.m., Eastern Time. Stockholders of record may attend and vote during the Annual Meeting via the Internet at www.virtualshareholdermeeting.com/VAC2025. You may also attend the meeting by proxy. You may submit questions in advance of the meeting at www.proxyvote.com. Beneficial owners should review their voting instruction form or Notice of Internet Availability for how to vote in advance of and participate in the Annual Meeting online. For further information about the virtual Annual Meeting, please see the Questions and Answers About the Meeting beginning on page 4.</w:t>
      </w:r>
    </w:p>
    <w:p>
      <w:pPr>
        <w:spacing w:after="0" w:line="182" w:lineRule="exact"/>
        <w:rPr>
          <w:sz w:val="20"/>
          <w:szCs w:val="20"/>
          <w:color w:val="auto"/>
        </w:rPr>
      </w:pPr>
    </w:p>
    <w:p>
      <w:pPr>
        <w:ind w:left="140" w:right="100"/>
        <w:spacing w:after="0" w:line="265" w:lineRule="auto"/>
        <w:rPr>
          <w:sz w:val="20"/>
          <w:szCs w:val="20"/>
          <w:color w:val="auto"/>
        </w:rPr>
      </w:pPr>
      <w:r>
        <w:rPr>
          <w:rFonts w:ascii="Arial" w:cs="Arial" w:eastAsia="Arial" w:hAnsi="Arial"/>
          <w:sz w:val="16"/>
          <w:szCs w:val="16"/>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134620</wp:posOffset>
            </wp:positionV>
            <wp:extent cx="5245100" cy="487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45100" cy="487045"/>
                    </a:xfrm>
                    <a:prstGeom prst="rect">
                      <a:avLst/>
                    </a:prstGeom>
                    <a:noFill/>
                  </pic:spPr>
                </pic:pic>
              </a:graphicData>
            </a:graphic>
          </wp:anchor>
        </w:drawing>
      </w: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IMPORTANT NOTICE REGARDING THE AVAILABILITY OF PROXY MATERIALS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FOR THE 2025 ANNUAL MEETING OF STOCKHOLDERS:</w:t>
      </w:r>
    </w:p>
    <w:p>
      <w:pPr>
        <w:spacing w:after="0" w:line="338" w:lineRule="exact"/>
        <w:rPr>
          <w:sz w:val="20"/>
          <w:szCs w:val="20"/>
          <w:color w:val="auto"/>
        </w:rPr>
      </w:pPr>
    </w:p>
    <w:p>
      <w:pPr>
        <w:jc w:val="both"/>
        <w:ind w:left="140" w:right="80"/>
        <w:spacing w:after="0" w:line="258" w:lineRule="auto"/>
        <w:rPr>
          <w:sz w:val="20"/>
          <w:szCs w:val="20"/>
          <w:color w:val="auto"/>
        </w:rPr>
      </w:pPr>
      <w:r>
        <w:rPr>
          <w:rFonts w:ascii="Arial" w:cs="Arial" w:eastAsia="Arial" w:hAnsi="Arial"/>
          <w:sz w:val="16"/>
          <w:szCs w:val="16"/>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appreciate your continued support and interest in Marriott Vacations Worldwide.</w:t>
      </w:r>
    </w:p>
    <w:p>
      <w:pPr>
        <w:spacing w:after="0" w:line="125"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80010</wp:posOffset>
            </wp:positionV>
            <wp:extent cx="1819275" cy="452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9275"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J. Shaw</w:t>
      </w:r>
    </w:p>
    <w:p>
      <w:pPr>
        <w:spacing w:after="0" w:line="2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69850</wp:posOffset>
            </wp:positionV>
            <wp:extent cx="1614805" cy="811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4805" cy="81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John E. Geller, Jr.</w:t>
      </w:r>
    </w:p>
    <w:p>
      <w:pPr>
        <w:spacing w:after="0" w:line="2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120"/>
          </w:cols>
          <w:pgMar w:left="320" w:top="48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215900</wp:posOffset>
            </wp:positionV>
            <wp:extent cx="1511935" cy="478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1935"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Marriott Vacations Worldwide Corporation</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7812 Palm Parkway</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Orlando, Florida 32836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155575</wp:posOffset>
            </wp:positionV>
            <wp:extent cx="5313045" cy="487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3045" cy="487045"/>
                    </a:xfrm>
                    <a:prstGeom prst="rect">
                      <a:avLst/>
                    </a:prstGeom>
                    <a:noFill/>
                  </pic:spPr>
                </pic:pic>
              </a:graphicData>
            </a:graphic>
          </wp:anchor>
        </w:drawing>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NOTICE OF ANNUAL MEETING OF STOCKHOLDERS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TO BE HELD TUESDAY, MAY 13, 2025</w:t>
      </w:r>
    </w:p>
    <w:p>
      <w:pPr>
        <w:spacing w:after="0" w:line="330"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March 27, 2025</w:t>
      </w:r>
    </w:p>
    <w:p>
      <w:pPr>
        <w:spacing w:after="0" w:line="109" w:lineRule="exact"/>
        <w:rPr>
          <w:sz w:val="20"/>
          <w:szCs w:val="20"/>
          <w:color w:val="auto"/>
        </w:rPr>
      </w:pPr>
    </w:p>
    <w:p>
      <w:pPr>
        <w:jc w:val="both"/>
        <w:ind w:left="140" w:right="60"/>
        <w:spacing w:after="0" w:line="265" w:lineRule="auto"/>
        <w:rPr>
          <w:sz w:val="20"/>
          <w:szCs w:val="20"/>
          <w:color w:val="auto"/>
        </w:rPr>
      </w:pPr>
      <w:r>
        <w:rPr>
          <w:rFonts w:ascii="Arial" w:cs="Arial" w:eastAsia="Arial" w:hAnsi="Arial"/>
          <w:sz w:val="16"/>
          <w:szCs w:val="16"/>
          <w:color w:val="auto"/>
        </w:rPr>
        <w:t>The 2025 Annual Meeting of Stockholders (the “Annual Meeting”) of Marriott Vacations Worldwide Corporation (the “Company”) will be held at 9:00 a.m., Eastern Time, on Tuesday, May 13, 2025, virtually, via the Internet at www.virtualshareholdermeeting.com/VAC2025. At the meeting, stockholders will act on the following matters:</w:t>
      </w:r>
    </w:p>
    <w:p>
      <w:pPr>
        <w:spacing w:after="0" w:line="36" w:lineRule="exact"/>
        <w:rPr>
          <w:sz w:val="20"/>
          <w:szCs w:val="20"/>
          <w:color w:val="auto"/>
        </w:rPr>
      </w:pPr>
    </w:p>
    <w:p>
      <w:pPr>
        <w:ind w:left="560" w:hanging="209"/>
        <w:spacing w:after="0"/>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Election of the eight director nominees named in the Proxy Statement;</w:t>
      </w:r>
    </w:p>
    <w:p>
      <w:pPr>
        <w:spacing w:after="0" w:line="85" w:lineRule="exact"/>
        <w:rPr>
          <w:rFonts w:ascii="Arial" w:cs="Arial" w:eastAsia="Arial" w:hAnsi="Arial"/>
          <w:sz w:val="16"/>
          <w:szCs w:val="16"/>
          <w:b w:val="1"/>
          <w:bCs w:val="1"/>
          <w:color w:val="auto"/>
        </w:rPr>
      </w:pPr>
    </w:p>
    <w:p>
      <w:pPr>
        <w:ind w:left="560" w:hanging="209"/>
        <w:spacing w:after="0"/>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Ernst &amp; Young LLP as the Company’s independent registered public accounting firm for its 2025 fiscal year;</w:t>
      </w:r>
    </w:p>
    <w:p>
      <w:pPr>
        <w:spacing w:after="0" w:line="85" w:lineRule="exact"/>
        <w:rPr>
          <w:rFonts w:ascii="Arial" w:cs="Arial" w:eastAsia="Arial" w:hAnsi="Arial"/>
          <w:sz w:val="16"/>
          <w:szCs w:val="16"/>
          <w:b w:val="1"/>
          <w:bCs w:val="1"/>
          <w:color w:val="auto"/>
        </w:rPr>
      </w:pPr>
    </w:p>
    <w:p>
      <w:pPr>
        <w:ind w:left="560" w:hanging="209"/>
        <w:spacing w:after="0"/>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Advisory vote to approve named executive officer compensation;</w:t>
      </w:r>
    </w:p>
    <w:p>
      <w:pPr>
        <w:spacing w:after="0" w:line="85" w:lineRule="exact"/>
        <w:rPr>
          <w:rFonts w:ascii="Arial" w:cs="Arial" w:eastAsia="Arial" w:hAnsi="Arial"/>
          <w:sz w:val="16"/>
          <w:szCs w:val="16"/>
          <w:b w:val="1"/>
          <w:bCs w:val="1"/>
          <w:color w:val="auto"/>
        </w:rPr>
      </w:pPr>
    </w:p>
    <w:p>
      <w:pPr>
        <w:ind w:left="560" w:hanging="209"/>
        <w:spacing w:after="0"/>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 advisory vote on the frequency of future advisory votes on executive compensation; and</w:t>
      </w:r>
    </w:p>
    <w:p>
      <w:pPr>
        <w:spacing w:after="0" w:line="85" w:lineRule="exact"/>
        <w:rPr>
          <w:rFonts w:ascii="Arial" w:cs="Arial" w:eastAsia="Arial" w:hAnsi="Arial"/>
          <w:sz w:val="16"/>
          <w:szCs w:val="16"/>
          <w:b w:val="1"/>
          <w:bCs w:val="1"/>
          <w:color w:val="auto"/>
        </w:rPr>
      </w:pPr>
    </w:p>
    <w:p>
      <w:pPr>
        <w:ind w:left="560" w:hanging="209"/>
        <w:spacing w:after="0"/>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Any other matters that may properly be presented at the meeting.</w:t>
      </w:r>
    </w:p>
    <w:p>
      <w:pPr>
        <w:spacing w:after="0" w:line="112" w:lineRule="exact"/>
        <w:rPr>
          <w:sz w:val="20"/>
          <w:szCs w:val="20"/>
          <w:color w:val="auto"/>
        </w:rPr>
      </w:pPr>
    </w:p>
    <w:p>
      <w:pPr>
        <w:jc w:val="both"/>
        <w:ind w:left="140" w:right="520"/>
        <w:spacing w:after="0" w:line="265" w:lineRule="auto"/>
        <w:rPr>
          <w:sz w:val="20"/>
          <w:szCs w:val="20"/>
          <w:color w:val="auto"/>
        </w:rPr>
      </w:pPr>
      <w:r>
        <w:rPr>
          <w:rFonts w:ascii="Arial" w:cs="Arial" w:eastAsia="Arial" w:hAnsi="Arial"/>
          <w:sz w:val="16"/>
          <w:szCs w:val="16"/>
          <w:color w:val="auto"/>
        </w:rPr>
        <w:t>Only stockholders of the Company at the close of business on March 14, 2025, the record date, are entitled to notice of, and to vote at, the Annual Meeting. For instructions on voting, please refer to the notice you received in the mail or, if you requested a hard copy of the Proxy Statement, your enclosed proxy card.</w:t>
      </w:r>
    </w:p>
    <w:p>
      <w:pPr>
        <w:spacing w:after="0" w:line="63" w:lineRule="exact"/>
        <w:rPr>
          <w:sz w:val="20"/>
          <w:szCs w:val="20"/>
          <w:color w:val="auto"/>
        </w:rPr>
      </w:pPr>
    </w:p>
    <w:p>
      <w:pPr>
        <w:ind w:left="140" w:right="160"/>
        <w:spacing w:after="0" w:line="258" w:lineRule="auto"/>
        <w:rPr>
          <w:sz w:val="20"/>
          <w:szCs w:val="20"/>
          <w:color w:val="auto"/>
        </w:rPr>
      </w:pPr>
      <w:r>
        <w:rPr>
          <w:rFonts w:ascii="Arial" w:cs="Arial" w:eastAsia="Arial" w:hAnsi="Arial"/>
          <w:sz w:val="16"/>
          <w:szCs w:val="16"/>
          <w:color w:val="auto"/>
        </w:rPr>
        <w:t>In the event of a technical malfunction in connection with the virtual Annual Meeting, the chair of the meeting will convene the meeting at 9:30 a.m. Eastern Time on the date specified above and at the Company’s address specified above solely for the purpose of adjourning the meeting to reconvene at a date, time and physical or virtual location announced by the chair of the meeting. Under these circumstances, we will post information regarding the announcement on the Investor Relations page of the Company’s website at www.marriottvacationsworldwide.com.</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Internet Availability</w:t>
      </w:r>
    </w:p>
    <w:p>
      <w:pPr>
        <w:spacing w:after="0" w:line="102" w:lineRule="exact"/>
        <w:rPr>
          <w:sz w:val="20"/>
          <w:szCs w:val="20"/>
          <w:color w:val="auto"/>
        </w:rPr>
      </w:pPr>
    </w:p>
    <w:p>
      <w:pPr>
        <w:ind w:left="140" w:right="40"/>
        <w:spacing w:after="0" w:line="251" w:lineRule="auto"/>
        <w:rPr>
          <w:sz w:val="20"/>
          <w:szCs w:val="20"/>
          <w:color w:val="auto"/>
        </w:rPr>
      </w:pPr>
      <w:r>
        <w:rPr>
          <w:rFonts w:ascii="Arial" w:cs="Arial" w:eastAsia="Arial" w:hAnsi="Arial"/>
          <w:sz w:val="16"/>
          <w:szCs w:val="16"/>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27, 2025,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2024 Annual Report on Form 10-K,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20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148590</wp:posOffset>
            </wp:positionV>
            <wp:extent cx="1452245" cy="504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2245"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James H Hunter, IV</w:t>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General Counsel and Secretary</w:t>
      </w:r>
    </w:p>
    <w:p>
      <w:pPr>
        <w:sectPr>
          <w:pgSz w:w="11900" w:h="16838" w:orient="portrait"/>
          <w:cols w:equalWidth="0" w:num="1">
            <w:col w:w="11120"/>
          </w:cols>
          <w:pgMar w:left="320" w:top="48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3" w:lineRule="exact"/>
        <w:rPr>
          <w:sz w:val="20"/>
          <w:szCs w:val="20"/>
          <w:color w:val="auto"/>
        </w:rPr>
      </w:pPr>
    </w:p>
    <w:p>
      <w:pPr>
        <w:ind w:left="620"/>
        <w:spacing w:after="0"/>
        <w:rPr>
          <w:sz w:val="20"/>
          <w:szCs w:val="20"/>
          <w:color w:val="auto"/>
        </w:rPr>
      </w:pPr>
      <w:r>
        <w:rPr>
          <w:rFonts w:ascii="Arial" w:cs="Arial" w:eastAsia="Arial" w:hAnsi="Arial"/>
          <w:sz w:val="53"/>
          <w:szCs w:val="53"/>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-350520</wp:posOffset>
            </wp:positionV>
            <wp:extent cx="85725" cy="444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ectPr>
          <w:pgSz w:w="11900" w:h="16838" w:orient="portrait"/>
          <w:cols w:equalWidth="0" w:num="1">
            <w:col w:w="11340"/>
          </w:cols>
          <w:pgMar w:left="320" w:top="4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hanging="290"/>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17"/>
          <w:szCs w:val="17"/>
          <w:b w:val="1"/>
          <w:bCs w:val="1"/>
          <w:u w:val="single" w:color="auto"/>
          <w:color w:val="0000EE"/>
        </w:rPr>
        <w:t>Proxy Summary</w:t>
      </w:r>
    </w:p>
    <w:p>
      <w:pPr>
        <w:spacing w:after="0" w:line="204" w:lineRule="exact"/>
        <w:rPr>
          <w:sz w:val="20"/>
          <w:szCs w:val="20"/>
          <w:color w:val="auto"/>
        </w:rPr>
      </w:pPr>
    </w:p>
    <w:p>
      <w:pPr>
        <w:ind w:left="620" w:hanging="290"/>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17"/>
          <w:szCs w:val="17"/>
          <w:b w:val="1"/>
          <w:bCs w:val="1"/>
          <w:u w:val="single" w:color="auto"/>
          <w:color w:val="0000EE"/>
        </w:rPr>
        <w:t>Questions and Answers About the Meeting</w:t>
      </w:r>
    </w:p>
    <w:p>
      <w:pPr>
        <w:spacing w:after="0" w:line="204" w:lineRule="exact"/>
        <w:rPr>
          <w:sz w:val="20"/>
          <w:szCs w:val="20"/>
          <w:color w:val="auto"/>
        </w:rPr>
      </w:pPr>
    </w:p>
    <w:p>
      <w:pPr>
        <w:ind w:left="620" w:hanging="290"/>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17"/>
          <w:szCs w:val="17"/>
          <w:b w:val="1"/>
          <w:bCs w:val="1"/>
          <w:u w:val="single" w:color="auto"/>
          <w:color w:val="0000EE"/>
        </w:rPr>
        <w:t>Proposals for Vote</w:t>
      </w:r>
    </w:p>
    <w:p>
      <w:pPr>
        <w:ind w:left="1020" w:hanging="289"/>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1 </w:t>
      </w:r>
      <w:r>
        <w:rPr>
          <w:rFonts w:ascii="Arial" w:cs="Arial" w:eastAsia="Arial" w:hAnsi="Arial"/>
          <w:sz w:val="17"/>
          <w:szCs w:val="17"/>
          <w:u w:val="single" w:color="auto"/>
          <w:color w:val="0000EE"/>
        </w:rPr>
        <w:t>– Election of Directors</w:t>
      </w:r>
    </w:p>
    <w:p>
      <w:pPr>
        <w:spacing w:after="0" w:line="19" w:lineRule="exact"/>
        <w:rPr>
          <w:rFonts w:ascii="Arial" w:cs="Arial" w:eastAsia="Arial" w:hAnsi="Arial"/>
          <w:sz w:val="17"/>
          <w:szCs w:val="17"/>
          <w:color w:val="auto"/>
        </w:rPr>
      </w:pPr>
    </w:p>
    <w:p>
      <w:pPr>
        <w:ind w:left="1020" w:right="400" w:hanging="289"/>
        <w:spacing w:after="0" w:line="243"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2 </w:t>
      </w:r>
      <w:r>
        <w:rPr>
          <w:rFonts w:ascii="Arial" w:cs="Arial" w:eastAsia="Arial" w:hAnsi="Arial"/>
          <w:sz w:val="17"/>
          <w:szCs w:val="17"/>
          <w:u w:val="single" w:color="auto"/>
          <w:color w:val="0000EE"/>
        </w:rPr>
        <w:t>– Ratification of Appointment of Independent</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Registered Public Accounting Firm</w:t>
      </w:r>
    </w:p>
    <w:p>
      <w:pPr>
        <w:spacing w:after="0" w:line="1" w:lineRule="exact"/>
        <w:rPr>
          <w:sz w:val="20"/>
          <w:szCs w:val="20"/>
          <w:color w:val="auto"/>
        </w:rPr>
      </w:pPr>
    </w:p>
    <w:p>
      <w:pPr>
        <w:ind w:left="1020" w:right="340" w:hanging="289"/>
        <w:spacing w:after="0" w:line="24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3 </w:t>
      </w:r>
      <w:r>
        <w:rPr>
          <w:rFonts w:ascii="Arial" w:cs="Arial" w:eastAsia="Arial" w:hAnsi="Arial"/>
          <w:sz w:val="17"/>
          <w:szCs w:val="17"/>
          <w:u w:val="single" w:color="auto"/>
          <w:color w:val="0000EE"/>
        </w:rPr>
        <w:t>– Advisory Vote to Approve Named Executive</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Officer Compensation</w:t>
      </w:r>
    </w:p>
    <w:p>
      <w:pPr>
        <w:spacing w:after="0" w:line="1" w:lineRule="exact"/>
        <w:rPr>
          <w:sz w:val="20"/>
          <w:szCs w:val="20"/>
          <w:color w:val="auto"/>
        </w:rPr>
      </w:pPr>
    </w:p>
    <w:p>
      <w:pPr>
        <w:ind w:left="1020" w:right="480" w:hanging="289"/>
        <w:spacing w:after="0" w:line="28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0000EE"/>
        </w:rPr>
        <w:t xml:space="preserve">Item 4 </w:t>
      </w:r>
      <w:r>
        <w:rPr>
          <w:rFonts w:ascii="Arial" w:cs="Arial" w:eastAsia="Arial" w:hAnsi="Arial"/>
          <w:sz w:val="16"/>
          <w:szCs w:val="16"/>
          <w:u w:val="single" w:color="auto"/>
          <w:color w:val="0000EE"/>
        </w:rPr>
        <w:t>– Advisory Vote on the Frequency of Future</w:t>
      </w:r>
      <w:r>
        <w:rPr>
          <w:rFonts w:ascii="Arial" w:cs="Arial" w:eastAsia="Arial" w:hAnsi="Arial"/>
          <w:sz w:val="16"/>
          <w:szCs w:val="16"/>
          <w:b w:val="1"/>
          <w:bCs w:val="1"/>
          <w:u w:val="single" w:color="auto"/>
          <w:color w:val="0000EE"/>
        </w:rPr>
        <w:t xml:space="preserve"> </w:t>
      </w:r>
      <w:r>
        <w:rPr>
          <w:rFonts w:ascii="Arial" w:cs="Arial" w:eastAsia="Arial" w:hAnsi="Arial"/>
          <w:sz w:val="16"/>
          <w:szCs w:val="16"/>
          <w:u w:val="single" w:color="auto"/>
          <w:color w:val="0000EE"/>
        </w:rPr>
        <w:t>Advisory Votes on Executive Compensation</w:t>
      </w:r>
    </w:p>
    <w:p>
      <w:pPr>
        <w:spacing w:after="0" w:line="198" w:lineRule="exact"/>
        <w:rPr>
          <w:sz w:val="20"/>
          <w:szCs w:val="20"/>
          <w:color w:val="auto"/>
        </w:rPr>
      </w:pPr>
    </w:p>
    <w:p>
      <w:pPr>
        <w:ind w:left="640" w:right="420" w:hanging="430"/>
        <w:spacing w:after="0" w:line="238" w:lineRule="auto"/>
        <w:tabs>
          <w:tab w:leader="none" w:pos="627" w:val="left"/>
        </w:tabs>
        <w:numPr>
          <w:ilvl w:val="0"/>
          <w:numId w:val="11"/>
        </w:numPr>
        <w:rPr>
          <w:rFonts w:ascii="Arial" w:cs="Arial" w:eastAsia="Arial" w:hAnsi="Arial"/>
          <w:sz w:val="22"/>
          <w:szCs w:val="22"/>
          <w:color w:val="auto"/>
        </w:rPr>
      </w:pPr>
      <w:r>
        <w:rPr>
          <w:rFonts w:ascii="Arial" w:cs="Arial" w:eastAsia="Arial" w:hAnsi="Arial"/>
          <w:sz w:val="17"/>
          <w:szCs w:val="17"/>
          <w:b w:val="1"/>
          <w:bCs w:val="1"/>
          <w:u w:val="single" w:color="auto"/>
          <w:color w:val="0000EE"/>
        </w:rPr>
        <w:t xml:space="preserve">Report on the Board of Directors and its Committees </w:t>
      </w:r>
      <w:r>
        <w:rPr>
          <w:rFonts w:ascii="Arial" w:cs="Arial" w:eastAsia="Arial" w:hAnsi="Arial"/>
          <w:sz w:val="17"/>
          <w:szCs w:val="17"/>
          <w:color w:val="000000"/>
        </w:rPr>
        <w:t xml:space="preserve">10 </w:t>
      </w:r>
      <w:r>
        <w:rPr>
          <w:rFonts w:ascii="Arial" w:cs="Arial" w:eastAsia="Arial" w:hAnsi="Arial"/>
          <w:sz w:val="17"/>
          <w:szCs w:val="17"/>
          <w:b w:val="1"/>
          <w:bCs w:val="1"/>
          <w:u w:val="single" w:color="auto"/>
          <w:color w:val="0000EE"/>
        </w:rPr>
        <w:t>Our Board of Directors</w:t>
      </w:r>
    </w:p>
    <w:p>
      <w:pPr>
        <w:spacing w:after="0" w:line="1"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10  </w:t>
      </w:r>
      <w:r>
        <w:rPr>
          <w:rFonts w:ascii="Arial" w:cs="Arial" w:eastAsia="Arial" w:hAnsi="Arial"/>
          <w:sz w:val="17"/>
          <w:szCs w:val="17"/>
          <w:b w:val="1"/>
          <w:bCs w:val="1"/>
          <w:u w:val="single" w:color="auto"/>
          <w:color w:val="0000EE"/>
        </w:rPr>
        <w:t>Nominees for Director</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14  </w:t>
      </w:r>
      <w:r>
        <w:rPr>
          <w:rFonts w:ascii="Arial" w:cs="Arial" w:eastAsia="Arial" w:hAnsi="Arial"/>
          <w:sz w:val="17"/>
          <w:szCs w:val="17"/>
          <w:b w:val="1"/>
          <w:bCs w:val="1"/>
          <w:u w:val="single" w:color="auto"/>
          <w:color w:val="0000EE"/>
        </w:rPr>
        <w:t>Directors Remaining in Office</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16  </w:t>
      </w:r>
      <w:r>
        <w:rPr>
          <w:rFonts w:ascii="Arial" w:cs="Arial" w:eastAsia="Arial" w:hAnsi="Arial"/>
          <w:sz w:val="17"/>
          <w:szCs w:val="17"/>
          <w:b w:val="1"/>
          <w:bCs w:val="1"/>
          <w:u w:val="single" w:color="auto"/>
          <w:color w:val="0000EE"/>
        </w:rPr>
        <w:t>Summary of Director Attributes and Skills</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17  </w:t>
      </w:r>
      <w:r>
        <w:rPr>
          <w:rFonts w:ascii="Arial" w:cs="Arial" w:eastAsia="Arial" w:hAnsi="Arial"/>
          <w:sz w:val="17"/>
          <w:szCs w:val="17"/>
          <w:b w:val="1"/>
          <w:bCs w:val="1"/>
          <w:u w:val="single" w:color="auto"/>
          <w:color w:val="0000EE"/>
        </w:rPr>
        <w:t>2024 Board and Committee Meetings and Attendance</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17  </w:t>
      </w:r>
      <w:r>
        <w:rPr>
          <w:rFonts w:ascii="Arial" w:cs="Arial" w:eastAsia="Arial" w:hAnsi="Arial"/>
          <w:sz w:val="17"/>
          <w:szCs w:val="17"/>
          <w:b w:val="1"/>
          <w:bCs w:val="1"/>
          <w:u w:val="single" w:color="auto"/>
          <w:color w:val="0000EE"/>
        </w:rPr>
        <w:t>Committee Charters</w:t>
      </w:r>
    </w:p>
    <w:p>
      <w:pPr>
        <w:spacing w:after="0" w:line="19" w:lineRule="exact"/>
        <w:rPr>
          <w:rFonts w:ascii="Arial" w:cs="Arial" w:eastAsia="Arial" w:hAnsi="Arial"/>
          <w:sz w:val="22"/>
          <w:szCs w:val="22"/>
          <w:color w:val="auto"/>
        </w:rPr>
      </w:pPr>
    </w:p>
    <w:p>
      <w:pPr>
        <w:ind w:left="64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18  </w:t>
      </w:r>
      <w:r>
        <w:rPr>
          <w:rFonts w:ascii="Arial" w:cs="Arial" w:eastAsia="Arial" w:hAnsi="Arial"/>
          <w:sz w:val="17"/>
          <w:szCs w:val="17"/>
          <w:b w:val="1"/>
          <w:bCs w:val="1"/>
          <w:u w:val="single" w:color="auto"/>
          <w:color w:val="0000EE"/>
        </w:rPr>
        <w:t>Compensation Committee Interlocks and Insider</w:t>
      </w:r>
    </w:p>
    <w:p>
      <w:pPr>
        <w:ind w:left="10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Participation</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18  </w:t>
      </w:r>
      <w:r>
        <w:rPr>
          <w:rFonts w:ascii="Arial" w:cs="Arial" w:eastAsia="Arial" w:hAnsi="Arial"/>
          <w:sz w:val="17"/>
          <w:szCs w:val="17"/>
          <w:b w:val="1"/>
          <w:bCs w:val="1"/>
          <w:u w:val="single" w:color="auto"/>
          <w:color w:val="0000EE"/>
        </w:rPr>
        <w:t>Meetings of Independent Directors</w:t>
      </w:r>
    </w:p>
    <w:p>
      <w:pPr>
        <w:spacing w:after="0" w:line="224" w:lineRule="exact"/>
        <w:rPr>
          <w:sz w:val="20"/>
          <w:szCs w:val="20"/>
          <w:color w:val="auto"/>
        </w:rPr>
      </w:pPr>
    </w:p>
    <w:p>
      <w:pPr>
        <w:ind w:left="620" w:hanging="410"/>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17"/>
          <w:szCs w:val="17"/>
          <w:b w:val="1"/>
          <w:bCs w:val="1"/>
          <w:u w:val="single" w:color="auto"/>
          <w:color w:val="0000EE"/>
        </w:rPr>
        <w:t>Corporate Governance</w:t>
      </w:r>
    </w:p>
    <w:p>
      <w:pPr>
        <w:ind w:left="64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0000EE"/>
        </w:rPr>
        <w:t>Separation of Board Chairman and Chief Executive</w:t>
      </w:r>
    </w:p>
    <w:p>
      <w:pPr>
        <w:ind w:left="10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Officer</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0000EE"/>
        </w:rPr>
        <w:t>Board and Committee Evaluations</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0000EE"/>
        </w:rPr>
        <w:t>Inclusion and Diversity</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0000EE"/>
        </w:rPr>
        <w:t>Selection of Director Nominees</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0000EE"/>
        </w:rPr>
        <w:t>Director Independence</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0000EE"/>
        </w:rPr>
        <w:t>Risk Oversight</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0000EE"/>
        </w:rPr>
        <w:t>Oversight of CyberSecurity</w:t>
      </w:r>
    </w:p>
    <w:p>
      <w:pPr>
        <w:spacing w:after="0" w:line="19" w:lineRule="exact"/>
        <w:rPr>
          <w:rFonts w:ascii="Arial" w:cs="Arial" w:eastAsia="Arial" w:hAnsi="Arial"/>
          <w:sz w:val="22"/>
          <w:szCs w:val="22"/>
          <w:color w:val="auto"/>
        </w:rPr>
      </w:pPr>
    </w:p>
    <w:p>
      <w:pPr>
        <w:ind w:left="64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0000EE"/>
        </w:rPr>
        <w:t>Board and Committee Oversight of Corporate</w:t>
      </w:r>
    </w:p>
    <w:p>
      <w:pPr>
        <w:ind w:left="10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Responsibility</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0000EE"/>
        </w:rPr>
        <w:t>Communications with the Board</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0000EE"/>
        </w:rPr>
        <w:t>Other Directorships</w:t>
      </w:r>
    </w:p>
    <w:p>
      <w:pPr>
        <w:spacing w:after="0" w:line="19"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0000EE"/>
        </w:rPr>
        <w:t>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Forward-Looking Statements and Website References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 w:right="580" w:hanging="422"/>
        <w:spacing w:after="0" w:line="238" w:lineRule="auto"/>
        <w:tabs>
          <w:tab w:leader="none" w:pos="507" w:val="left"/>
        </w:tabs>
        <w:numPr>
          <w:ilvl w:val="0"/>
          <w:numId w:val="13"/>
        </w:numPr>
        <w:rPr>
          <w:rFonts w:ascii="Arial" w:cs="Arial" w:eastAsia="Arial" w:hAnsi="Arial"/>
          <w:sz w:val="22"/>
          <w:szCs w:val="22"/>
          <w:color w:val="auto"/>
        </w:rPr>
      </w:pPr>
      <w:r>
        <w:rPr>
          <w:rFonts w:ascii="Arial" w:cs="Arial" w:eastAsia="Arial" w:hAnsi="Arial"/>
          <w:sz w:val="17"/>
          <w:szCs w:val="17"/>
          <w:b w:val="1"/>
          <w:bCs w:val="1"/>
          <w:u w:val="single" w:color="auto"/>
          <w:color w:val="0000EE"/>
        </w:rPr>
        <w:t xml:space="preserve">Audit Committee Report and Independent Auditor Fees </w:t>
      </w:r>
      <w:r>
        <w:rPr>
          <w:rFonts w:ascii="Arial" w:cs="Arial" w:eastAsia="Arial" w:hAnsi="Arial"/>
          <w:sz w:val="17"/>
          <w:szCs w:val="17"/>
          <w:color w:val="000000"/>
        </w:rPr>
        <w:t xml:space="preserve">24 </w:t>
      </w:r>
      <w:r>
        <w:rPr>
          <w:rFonts w:ascii="Arial" w:cs="Arial" w:eastAsia="Arial" w:hAnsi="Arial"/>
          <w:sz w:val="17"/>
          <w:szCs w:val="17"/>
          <w:b w:val="1"/>
          <w:bCs w:val="1"/>
          <w:u w:val="single" w:color="auto"/>
          <w:color w:val="0000EE"/>
        </w:rPr>
        <w:t>Report of the Audit Committee</w:t>
      </w:r>
    </w:p>
    <w:p>
      <w:pPr>
        <w:spacing w:after="0" w:line="1" w:lineRule="exact"/>
        <w:rPr>
          <w:rFonts w:ascii="Arial" w:cs="Arial" w:eastAsia="Arial" w:hAnsi="Arial"/>
          <w:sz w:val="22"/>
          <w:szCs w:val="22"/>
          <w:color w:val="auto"/>
        </w:rPr>
      </w:pPr>
    </w:p>
    <w:p>
      <w:pPr>
        <w:ind w:left="52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Pre-Approval of Independent Auditor Fees and Services</w:t>
      </w:r>
    </w:p>
    <w:p>
      <w:pPr>
        <w:ind w:left="8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Policy</w:t>
      </w:r>
    </w:p>
    <w:p>
      <w:pPr>
        <w:spacing w:after="0" w:line="19" w:lineRule="exact"/>
        <w:rPr>
          <w:rFonts w:ascii="Arial" w:cs="Arial" w:eastAsia="Arial" w:hAnsi="Arial"/>
          <w:sz w:val="22"/>
          <w:szCs w:val="22"/>
          <w:color w:val="auto"/>
        </w:rPr>
      </w:pPr>
    </w:p>
    <w:p>
      <w:pPr>
        <w:ind w:left="52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Independent Registered Public Accounting Firm Fee</w:t>
      </w:r>
    </w:p>
    <w:p>
      <w:pPr>
        <w:ind w:left="8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-393065</wp:posOffset>
            </wp:positionV>
            <wp:extent cx="29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-136525</wp:posOffset>
            </wp:positionV>
            <wp:extent cx="29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204" w:lineRule="exact"/>
        <w:rPr>
          <w:sz w:val="20"/>
          <w:szCs w:val="20"/>
          <w:color w:val="auto"/>
        </w:rPr>
      </w:pPr>
    </w:p>
    <w:p>
      <w:pPr>
        <w:ind w:left="520" w:hanging="422"/>
        <w:spacing w:after="0"/>
        <w:tabs>
          <w:tab w:leader="none" w:pos="520" w:val="left"/>
        </w:tabs>
        <w:numPr>
          <w:ilvl w:val="0"/>
          <w:numId w:val="14"/>
        </w:numPr>
        <w:rPr>
          <w:rFonts w:ascii="Arial" w:cs="Arial" w:eastAsia="Arial" w:hAnsi="Arial"/>
          <w:sz w:val="22"/>
          <w:szCs w:val="22"/>
          <w:color w:val="auto"/>
        </w:rPr>
      </w:pPr>
      <w:r>
        <w:rPr>
          <w:rFonts w:ascii="Arial" w:cs="Arial" w:eastAsia="Arial" w:hAnsi="Arial"/>
          <w:sz w:val="17"/>
          <w:szCs w:val="17"/>
          <w:b w:val="1"/>
          <w:bCs w:val="1"/>
          <w:u w:val="single" w:color="auto"/>
          <w:color w:val="0000EE"/>
        </w:rPr>
        <w:t>Executive and Director Compensation</w:t>
      </w: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Compensation Discussion and Analysis</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Philosophy</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Compensation Program Principles and Governance</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0000EE"/>
        </w:rPr>
        <w:t>Compensation Process</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30  </w:t>
      </w:r>
      <w:r>
        <w:rPr>
          <w:rFonts w:ascii="Arial" w:cs="Arial" w:eastAsia="Arial" w:hAnsi="Arial"/>
          <w:sz w:val="17"/>
          <w:szCs w:val="17"/>
          <w:b w:val="1"/>
          <w:bCs w:val="1"/>
          <w:u w:val="single" w:color="auto"/>
          <w:color w:val="0000EE"/>
        </w:rPr>
        <w:t>Analysis of Each Compensation Element</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0000EE"/>
        </w:rPr>
        <w:t>Report of the Compensation Policy Committee</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0000EE"/>
        </w:rPr>
        <w:t>Executive Compensation Tables and Discussion</w:t>
      </w:r>
    </w:p>
    <w:p>
      <w:pPr>
        <w:spacing w:after="0" w:line="19"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0000EE"/>
        </w:rPr>
        <w:t>Summary Compensation Table</w:t>
      </w:r>
    </w:p>
    <w:p>
      <w:pPr>
        <w:spacing w:after="0" w:line="19"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7"/>
          <w:szCs w:val="17"/>
          <w:color w:val="auto"/>
        </w:rPr>
        <w:t xml:space="preserve">46 </w:t>
      </w:r>
      <w:r>
        <w:rPr>
          <w:rFonts w:ascii="Arial" w:cs="Arial" w:eastAsia="Arial" w:hAnsi="Arial"/>
          <w:sz w:val="17"/>
          <w:szCs w:val="17"/>
          <w:b w:val="1"/>
          <w:bCs w:val="1"/>
          <w:u w:val="single" w:color="auto"/>
          <w:color w:val="0000EE"/>
        </w:rPr>
        <w:t>CEO Pay Ratio</w:t>
      </w:r>
    </w:p>
    <w:p>
      <w:pPr>
        <w:spacing w:after="0" w:line="19"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7"/>
          <w:szCs w:val="17"/>
          <w:color w:val="auto"/>
        </w:rPr>
        <w:t xml:space="preserve">47 </w:t>
      </w:r>
      <w:r>
        <w:rPr>
          <w:rFonts w:ascii="Arial" w:cs="Arial" w:eastAsia="Arial" w:hAnsi="Arial"/>
          <w:sz w:val="17"/>
          <w:szCs w:val="17"/>
          <w:b w:val="1"/>
          <w:bCs w:val="1"/>
          <w:u w:val="single" w:color="auto"/>
          <w:color w:val="0000EE"/>
        </w:rPr>
        <w:t>Pay vs. Performance</w:t>
      </w:r>
    </w:p>
    <w:p>
      <w:pPr>
        <w:spacing w:after="0" w:line="19" w:lineRule="exact"/>
        <w:rPr>
          <w:rFonts w:ascii="Arial" w:cs="Arial" w:eastAsia="Arial" w:hAnsi="Arial"/>
          <w:sz w:val="22"/>
          <w:szCs w:val="22"/>
          <w:color w:val="auto"/>
        </w:rPr>
      </w:pPr>
    </w:p>
    <w:p>
      <w:pPr>
        <w:ind w:left="88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50 </w:t>
      </w:r>
      <w:r>
        <w:rPr>
          <w:rFonts w:ascii="Arial" w:cs="Arial" w:eastAsia="Arial" w:hAnsi="Arial"/>
          <w:sz w:val="17"/>
          <w:szCs w:val="17"/>
          <w:b w:val="1"/>
          <w:bCs w:val="1"/>
          <w:u w:val="single" w:color="auto"/>
          <w:color w:val="0000EE"/>
        </w:rPr>
        <w:t>Compensation Arrangements for Non-Employee</w:t>
      </w:r>
    </w:p>
    <w:p>
      <w:pPr>
        <w:ind w:left="11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Directors</w:t>
      </w:r>
    </w:p>
    <w:p>
      <w:pPr>
        <w:spacing w:after="0" w:line="19" w:lineRule="exact"/>
        <w:rPr>
          <w:rFonts w:ascii="Arial" w:cs="Arial" w:eastAsia="Arial" w:hAnsi="Arial"/>
          <w:sz w:val="22"/>
          <w:szCs w:val="22"/>
          <w:color w:val="auto"/>
        </w:rPr>
      </w:pPr>
    </w:p>
    <w:p>
      <w:pPr>
        <w:ind w:left="88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0000EE"/>
        </w:rPr>
        <w:t>Insider Trading, Pledging, Hedging and Derivative</w:t>
      </w:r>
    </w:p>
    <w:p>
      <w:pPr>
        <w:ind w:left="11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Transactions</w:t>
      </w:r>
    </w:p>
    <w:p>
      <w:pPr>
        <w:spacing w:after="0" w:line="19" w:lineRule="exact"/>
        <w:rPr>
          <w:rFonts w:ascii="Arial" w:cs="Arial" w:eastAsia="Arial" w:hAnsi="Arial"/>
          <w:sz w:val="22"/>
          <w:szCs w:val="22"/>
          <w:color w:val="auto"/>
        </w:rPr>
      </w:pPr>
    </w:p>
    <w:p>
      <w:pPr>
        <w:ind w:left="88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0000EE"/>
        </w:rPr>
        <w:t>Securities Authorized for Issuance Under Equity</w:t>
      </w:r>
    </w:p>
    <w:p>
      <w:pPr>
        <w:ind w:left="11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Compensation Plans</w:t>
      </w:r>
    </w:p>
    <w:p>
      <w:pPr>
        <w:spacing w:after="0" w:line="224" w:lineRule="exact"/>
        <w:rPr>
          <w:sz w:val="20"/>
          <w:szCs w:val="20"/>
          <w:color w:val="auto"/>
        </w:rPr>
      </w:pPr>
    </w:p>
    <w:p>
      <w:pPr>
        <w:ind w:left="520" w:hanging="422"/>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7"/>
          <w:szCs w:val="17"/>
          <w:b w:val="1"/>
          <w:bCs w:val="1"/>
          <w:u w:val="single" w:color="auto"/>
          <w:color w:val="0000EE"/>
        </w:rPr>
        <w:t>Stock Ownership</w:t>
      </w:r>
    </w:p>
    <w:p>
      <w:pPr>
        <w:ind w:left="52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0000EE"/>
        </w:rPr>
        <w:t>Stock Ownership of Our Directors, Executive Officers and</w:t>
      </w:r>
    </w:p>
    <w:p>
      <w:pPr>
        <w:ind w:left="8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-136525</wp:posOffset>
            </wp:positionV>
            <wp:extent cx="29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204" w:lineRule="exact"/>
        <w:rPr>
          <w:sz w:val="20"/>
          <w:szCs w:val="20"/>
          <w:color w:val="auto"/>
        </w:rPr>
      </w:pPr>
    </w:p>
    <w:p>
      <w:pPr>
        <w:ind w:left="520" w:hanging="422"/>
        <w:spacing w:after="0"/>
        <w:tabs>
          <w:tab w:leader="none" w:pos="520" w:val="left"/>
        </w:tabs>
        <w:numPr>
          <w:ilvl w:val="0"/>
          <w:numId w:val="16"/>
        </w:numPr>
        <w:rPr>
          <w:rFonts w:ascii="Arial" w:cs="Arial" w:eastAsia="Arial" w:hAnsi="Arial"/>
          <w:sz w:val="22"/>
          <w:szCs w:val="22"/>
          <w:color w:val="auto"/>
        </w:rPr>
      </w:pPr>
      <w:r>
        <w:rPr>
          <w:rFonts w:ascii="Arial" w:cs="Arial" w:eastAsia="Arial" w:hAnsi="Arial"/>
          <w:sz w:val="17"/>
          <w:szCs w:val="17"/>
          <w:b w:val="1"/>
          <w:bCs w:val="1"/>
          <w:u w:val="single" w:color="auto"/>
          <w:color w:val="0000EE"/>
        </w:rPr>
        <w:t>Transactions with Related Persons</w:t>
      </w:r>
    </w:p>
    <w:p>
      <w:pPr>
        <w:ind w:left="520"/>
        <w:spacing w:after="0" w:line="231" w:lineRule="auto"/>
        <w:rPr>
          <w:rFonts w:ascii="Arial" w:cs="Arial" w:eastAsia="Arial" w:hAnsi="Arial"/>
          <w:sz w:val="22"/>
          <w:szCs w:val="22"/>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0000EE"/>
        </w:rPr>
        <w:t>Policy on Transactions and Arrangements with Related</w:t>
      </w:r>
    </w:p>
    <w:p>
      <w:pPr>
        <w:ind w:left="8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Persons</w:t>
      </w:r>
    </w:p>
    <w:p>
      <w:pPr>
        <w:spacing w:after="0" w:line="19"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0000EE"/>
        </w:rPr>
        <w:t>Certain Relationships and Potential Conflicts of Interest</w:t>
      </w:r>
    </w:p>
    <w:p>
      <w:pPr>
        <w:spacing w:after="0" w:line="192" w:lineRule="exact"/>
        <w:rPr>
          <w:rFonts w:ascii="Arial" w:cs="Arial" w:eastAsia="Arial" w:hAnsi="Arial"/>
          <w:sz w:val="22"/>
          <w:szCs w:val="22"/>
          <w:color w:val="auto"/>
        </w:rPr>
      </w:pPr>
    </w:p>
    <w:p>
      <w:pPr>
        <w:ind w:left="520" w:right="60" w:hanging="422"/>
        <w:spacing w:after="0" w:line="182" w:lineRule="auto"/>
        <w:tabs>
          <w:tab w:leader="none" w:pos="520" w:val="left"/>
        </w:tabs>
        <w:numPr>
          <w:ilvl w:val="0"/>
          <w:numId w:val="16"/>
        </w:numPr>
        <w:rPr>
          <w:rFonts w:ascii="Arial" w:cs="Arial" w:eastAsia="Arial" w:hAnsi="Arial"/>
          <w:sz w:val="33"/>
          <w:szCs w:val="33"/>
          <w:color w:val="auto"/>
          <w:vertAlign w:val="subscript"/>
        </w:rPr>
      </w:pPr>
      <w:r>
        <w:rPr>
          <w:rFonts w:ascii="Arial" w:cs="Arial" w:eastAsia="Arial" w:hAnsi="Arial"/>
          <w:sz w:val="15"/>
          <w:szCs w:val="15"/>
          <w:b w:val="1"/>
          <w:bCs w:val="1"/>
          <w:u w:val="single" w:color="auto"/>
          <w:color w:val="0000EE"/>
        </w:rPr>
        <w:t>Stockholder Proposals and Nominations for Directors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-661035</wp:posOffset>
            </wp:positionV>
            <wp:extent cx="29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-29210</wp:posOffset>
            </wp:positionV>
            <wp:extent cx="29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86" w:lineRule="exact"/>
        <w:rPr>
          <w:sz w:val="20"/>
          <w:szCs w:val="20"/>
          <w:color w:val="auto"/>
        </w:rPr>
      </w:pPr>
    </w:p>
    <w:p>
      <w:pPr>
        <w:ind w:left="520" w:hanging="422"/>
        <w:spacing w:after="0"/>
        <w:tabs>
          <w:tab w:leader="none" w:pos="520" w:val="left"/>
        </w:tabs>
        <w:numPr>
          <w:ilvl w:val="0"/>
          <w:numId w:val="17"/>
        </w:numPr>
        <w:rPr>
          <w:rFonts w:ascii="Arial" w:cs="Arial" w:eastAsia="Arial" w:hAnsi="Arial"/>
          <w:sz w:val="22"/>
          <w:szCs w:val="22"/>
          <w:color w:val="auto"/>
        </w:rPr>
      </w:pPr>
      <w:r>
        <w:rPr>
          <w:rFonts w:ascii="Arial" w:cs="Arial" w:eastAsia="Arial" w:hAnsi="Arial"/>
          <w:sz w:val="17"/>
          <w:szCs w:val="17"/>
          <w:b w:val="1"/>
          <w:bCs w:val="1"/>
          <w:u w:val="single" w:color="auto"/>
          <w:color w:val="0000EE"/>
        </w:rPr>
        <w:t>Other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 w:type="dxa"/>
            <w:vAlign w:val="bottom"/>
            <w:vMerge w:val="restart"/>
          </w:tcPr>
          <w:p>
            <w:pPr>
              <w:spacing w:after="0"/>
              <w:rPr>
                <w:sz w:val="20"/>
                <w:szCs w:val="20"/>
                <w:color w:val="auto"/>
              </w:rPr>
            </w:pPr>
            <w:r>
              <w:rPr>
                <w:rFonts w:ascii="Arial" w:cs="Arial" w:eastAsia="Arial" w:hAnsi="Arial"/>
                <w:sz w:val="22"/>
                <w:szCs w:val="22"/>
                <w:color w:val="auto"/>
              </w:rPr>
              <w:t>A-1</w:t>
            </w:r>
          </w:p>
        </w:tc>
        <w:tc>
          <w:tcPr>
            <w:tcW w:w="50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9"/>
              </w:rPr>
              <w:t>Appendix A – Reconciliation of Non-GAAP Measures to GAAP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1780" w:type="dxa"/>
            <w:vAlign w:val="bottom"/>
            <w:vMerge w:val="restart"/>
          </w:tcPr>
          <w:p>
            <w:pPr>
              <w:spacing w:after="0" w:line="168" w:lineRule="exact"/>
              <w:rPr>
                <w:sz w:val="20"/>
                <w:szCs w:val="20"/>
                <w:color w:val="auto"/>
              </w:rPr>
            </w:pPr>
            <w:r>
              <w:rPr>
                <w:rFonts w:ascii="Arial" w:cs="Arial" w:eastAsia="Arial" w:hAnsi="Arial"/>
                <w:sz w:val="17"/>
                <w:szCs w:val="17"/>
                <w:b w:val="1"/>
                <w:bCs w:val="1"/>
                <w:color w:val="0000EE"/>
                <w:w w:val="99"/>
              </w:rPr>
              <w:t>Measures (Unaudited)</w:t>
            </w:r>
          </w:p>
        </w:tc>
        <w:tc>
          <w:tcPr>
            <w:tcW w:w="324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20" w:type="dxa"/>
            <w:vAlign w:val="bottom"/>
          </w:tcPr>
          <w:p>
            <w:pPr>
              <w:spacing w:after="0"/>
              <w:rPr>
                <w:sz w:val="8"/>
                <w:szCs w:val="8"/>
                <w:color w:val="auto"/>
              </w:rPr>
            </w:pPr>
          </w:p>
        </w:tc>
        <w:tc>
          <w:tcPr>
            <w:tcW w:w="1780" w:type="dxa"/>
            <w:vAlign w:val="bottom"/>
            <w:tcBorders>
              <w:bottom w:val="single" w:sz="8" w:color="0000EE"/>
            </w:tcBorders>
            <w:vMerge w:val="continue"/>
          </w:tcPr>
          <w:p>
            <w:pPr>
              <w:spacing w:after="0"/>
              <w:rPr>
                <w:sz w:val="8"/>
                <w:szCs w:val="8"/>
                <w:color w:val="auto"/>
              </w:rPr>
            </w:pPr>
          </w:p>
        </w:tc>
        <w:tc>
          <w:tcPr>
            <w:tcW w:w="3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298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954" w:lineRule="exact"/>
        <w:rPr>
          <w:sz w:val="20"/>
          <w:szCs w:val="20"/>
          <w:color w:val="auto"/>
        </w:rPr>
      </w:pPr>
    </w:p>
    <w:p>
      <w:pPr>
        <w:sectPr>
          <w:pgSz w:w="11900" w:h="16838" w:orient="portrait"/>
          <w:cols w:equalWidth="0" w:num="2">
            <w:col w:w="5320" w:space="480"/>
            <w:col w:w="5540"/>
          </w:cols>
          <w:pgMar w:left="320" w:top="480" w:right="239" w:bottom="1440" w:gutter="0" w:footer="0" w:header="0"/>
          <w:type w:val="continuous"/>
        </w:sectPr>
      </w:pPr>
    </w:p>
    <w:p>
      <w:pPr>
        <w:ind w:left="140" w:right="240"/>
        <w:spacing w:after="0" w:line="251"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All statements other than statements of historical or current fact, including statements regarding our goals and commitments, such as those relating to compensation objectives and corporate responsibility strategy and matters,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2024. Website references throughout this document are provided for convenience only, and the content on the referenced websites is not incorporated by reference into this document.</w:t>
      </w:r>
    </w:p>
    <w:p>
      <w:pPr>
        <w:sectPr>
          <w:pgSz w:w="11900" w:h="16838" w:orient="portrait"/>
          <w:cols w:equalWidth="0" w:num="1">
            <w:col w:w="11340"/>
          </w:cols>
          <w:pgMar w:left="320" w:top="480"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217805</wp:posOffset>
            </wp:positionV>
            <wp:extent cx="6965950" cy="7307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5950" cy="73075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20"/>
        <w:spacing w:after="0"/>
        <w:rPr>
          <w:sz w:val="20"/>
          <w:szCs w:val="20"/>
          <w:color w:val="auto"/>
        </w:rPr>
      </w:pPr>
      <w:r>
        <w:rPr>
          <w:rFonts w:ascii="Arial" w:cs="Arial" w:eastAsia="Arial" w:hAnsi="Arial"/>
          <w:sz w:val="54"/>
          <w:szCs w:val="54"/>
          <w:b w:val="1"/>
          <w:bCs w:val="1"/>
          <w:color w:val="auto"/>
        </w:rPr>
        <w:t>PROXY SUMMARY</w:t>
      </w:r>
    </w:p>
    <w:p>
      <w:pPr>
        <w:spacing w:after="0" w:line="200" w:lineRule="exact"/>
        <w:rPr>
          <w:sz w:val="20"/>
          <w:szCs w:val="20"/>
          <w:color w:val="auto"/>
        </w:rPr>
      </w:pPr>
    </w:p>
    <w:p>
      <w:pPr>
        <w:spacing w:after="0" w:line="354" w:lineRule="exact"/>
        <w:rPr>
          <w:sz w:val="20"/>
          <w:szCs w:val="20"/>
          <w:color w:val="auto"/>
        </w:rPr>
      </w:pPr>
    </w:p>
    <w:p>
      <w:pPr>
        <w:ind w:left="320" w:right="280"/>
        <w:spacing w:after="0" w:line="265"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2024 (the “2024 Annual Report”) carefully before voting.</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VOTING MATTERS AND BOARD RECOMMENDATIONS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64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Proposal</w:t>
            </w:r>
          </w:p>
        </w:tc>
        <w:tc>
          <w:tcPr>
            <w:tcW w:w="2820" w:type="dxa"/>
            <w:vAlign w:val="bottom"/>
            <w:tcBorders>
              <w:bottom w:val="single" w:sz="8" w:color="003A70"/>
            </w:tcBorders>
          </w:tcPr>
          <w:p>
            <w:pPr>
              <w:jc w:val="center"/>
              <w:ind w:left="621"/>
              <w:spacing w:after="0"/>
              <w:rPr>
                <w:sz w:val="20"/>
                <w:szCs w:val="20"/>
                <w:color w:val="auto"/>
              </w:rPr>
            </w:pPr>
            <w:r>
              <w:rPr>
                <w:rFonts w:ascii="Arial" w:cs="Arial" w:eastAsia="Arial" w:hAnsi="Arial"/>
                <w:sz w:val="14"/>
                <w:szCs w:val="14"/>
                <w:b w:val="1"/>
                <w:bCs w:val="1"/>
                <w:color w:val="003A70"/>
              </w:rPr>
              <w:t>Voting Recommendation</w:t>
            </w:r>
          </w:p>
        </w:tc>
        <w:tc>
          <w:tcPr>
            <w:tcW w:w="1300" w:type="dxa"/>
            <w:vAlign w:val="bottom"/>
            <w:tcBorders>
              <w:bottom w:val="single" w:sz="8" w:color="003A70"/>
            </w:tcBorders>
          </w:tcPr>
          <w:p>
            <w:pPr>
              <w:jc w:val="center"/>
              <w:ind w:left="141"/>
              <w:spacing w:after="0"/>
              <w:rPr>
                <w:sz w:val="20"/>
                <w:szCs w:val="20"/>
                <w:color w:val="auto"/>
              </w:rPr>
            </w:pPr>
            <w:r>
              <w:rPr>
                <w:rFonts w:ascii="Arial" w:cs="Arial" w:eastAsia="Arial" w:hAnsi="Arial"/>
                <w:sz w:val="14"/>
                <w:szCs w:val="14"/>
                <w:b w:val="1"/>
                <w:bCs w:val="1"/>
                <w:color w:val="003A70"/>
              </w:rPr>
              <w:t>Page Reference</w:t>
            </w:r>
          </w:p>
        </w:tc>
      </w:tr>
      <w:tr>
        <w:trPr>
          <w:trHeight w:val="188"/>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 xml:space="preserve">  Election of eight directors</w:t>
            </w:r>
          </w:p>
        </w:tc>
        <w:tc>
          <w:tcPr>
            <w:tcW w:w="282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b w:val="1"/>
                <w:bCs w:val="1"/>
                <w:color w:val="003A70"/>
              </w:rPr>
              <w:t>FOR each nominee</w:t>
            </w:r>
          </w:p>
        </w:tc>
        <w:tc>
          <w:tcPr>
            <w:tcW w:w="130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b w:val="1"/>
                <w:bCs w:val="1"/>
                <w:color w:val="auto"/>
                <w:w w:val="89"/>
              </w:rPr>
              <w:t>7</w:t>
            </w:r>
          </w:p>
        </w:tc>
      </w:tr>
      <w:tr>
        <w:trPr>
          <w:trHeight w:val="182"/>
        </w:trPr>
        <w:tc>
          <w:tcPr>
            <w:tcW w:w="64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 xml:space="preserve">  Ratification of appointment of independent registered public accounting firm</w:t>
            </w:r>
          </w:p>
        </w:tc>
        <w:tc>
          <w:tcPr>
            <w:tcW w:w="2820" w:type="dxa"/>
            <w:vAlign w:val="bottom"/>
            <w:tcBorders>
              <w:bottom w:val="single" w:sz="8" w:color="auto"/>
            </w:tcBorders>
          </w:tcPr>
          <w:p>
            <w:pPr>
              <w:jc w:val="center"/>
              <w:ind w:left="601"/>
              <w:spacing w:after="0" w:line="182" w:lineRule="exact"/>
              <w:rPr>
                <w:sz w:val="20"/>
                <w:szCs w:val="20"/>
                <w:color w:val="auto"/>
              </w:rPr>
            </w:pPr>
            <w:r>
              <w:rPr>
                <w:rFonts w:ascii="Arial" w:cs="Arial" w:eastAsia="Arial" w:hAnsi="Arial"/>
                <w:sz w:val="16"/>
                <w:szCs w:val="16"/>
                <w:b w:val="1"/>
                <w:bCs w:val="1"/>
                <w:color w:val="003A70"/>
              </w:rPr>
              <w:t>FOR</w:t>
            </w:r>
          </w:p>
        </w:tc>
        <w:tc>
          <w:tcPr>
            <w:tcW w:w="130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b w:val="1"/>
                <w:bCs w:val="1"/>
                <w:color w:val="auto"/>
                <w:w w:val="89"/>
              </w:rPr>
              <w:t>7</w:t>
            </w:r>
          </w:p>
        </w:tc>
      </w:tr>
      <w:tr>
        <w:trPr>
          <w:trHeight w:val="182"/>
        </w:trPr>
        <w:tc>
          <w:tcPr>
            <w:tcW w:w="64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color w:val="auto"/>
              </w:rPr>
              <w:t xml:space="preserve">  Advisory vote to approve named executive officer compensation</w:t>
            </w:r>
          </w:p>
        </w:tc>
        <w:tc>
          <w:tcPr>
            <w:tcW w:w="2820" w:type="dxa"/>
            <w:vAlign w:val="bottom"/>
            <w:tcBorders>
              <w:bottom w:val="single" w:sz="8" w:color="auto"/>
            </w:tcBorders>
          </w:tcPr>
          <w:p>
            <w:pPr>
              <w:jc w:val="center"/>
              <w:ind w:left="601"/>
              <w:spacing w:after="0" w:line="182" w:lineRule="exact"/>
              <w:rPr>
                <w:sz w:val="20"/>
                <w:szCs w:val="20"/>
                <w:color w:val="auto"/>
              </w:rPr>
            </w:pPr>
            <w:r>
              <w:rPr>
                <w:rFonts w:ascii="Arial" w:cs="Arial" w:eastAsia="Arial" w:hAnsi="Arial"/>
                <w:sz w:val="16"/>
                <w:szCs w:val="16"/>
                <w:b w:val="1"/>
                <w:bCs w:val="1"/>
                <w:color w:val="003A70"/>
              </w:rPr>
              <w:t>FOR</w:t>
            </w:r>
          </w:p>
        </w:tc>
        <w:tc>
          <w:tcPr>
            <w:tcW w:w="130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b w:val="1"/>
                <w:bCs w:val="1"/>
                <w:color w:val="auto"/>
                <w:w w:val="89"/>
              </w:rPr>
              <w:t>8</w:t>
            </w:r>
          </w:p>
        </w:tc>
      </w:tr>
      <w:tr>
        <w:trPr>
          <w:trHeight w:val="182"/>
        </w:trPr>
        <w:tc>
          <w:tcPr>
            <w:tcW w:w="646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 xml:space="preserve">  Advisory vote on frequency of future votes on executive compensation</w:t>
            </w:r>
          </w:p>
        </w:tc>
        <w:tc>
          <w:tcPr>
            <w:tcW w:w="2820" w:type="dxa"/>
            <w:vAlign w:val="bottom"/>
            <w:tcBorders>
              <w:bottom w:val="single" w:sz="8" w:color="003A70"/>
            </w:tcBorders>
          </w:tcPr>
          <w:p>
            <w:pPr>
              <w:jc w:val="center"/>
              <w:ind w:left="601"/>
              <w:spacing w:after="0" w:line="182" w:lineRule="exact"/>
              <w:rPr>
                <w:sz w:val="20"/>
                <w:szCs w:val="20"/>
                <w:color w:val="auto"/>
              </w:rPr>
            </w:pPr>
            <w:r>
              <w:rPr>
                <w:rFonts w:ascii="Arial" w:cs="Arial" w:eastAsia="Arial" w:hAnsi="Arial"/>
                <w:sz w:val="16"/>
                <w:szCs w:val="16"/>
                <w:b w:val="1"/>
                <w:bCs w:val="1"/>
                <w:color w:val="003A70"/>
              </w:rPr>
              <w:t>ONE Year</w:t>
            </w:r>
          </w:p>
        </w:tc>
        <w:tc>
          <w:tcPr>
            <w:tcW w:w="1300" w:type="dxa"/>
            <w:vAlign w:val="bottom"/>
            <w:tcBorders>
              <w:bottom w:val="single" w:sz="8" w:color="003A70"/>
            </w:tcBorders>
          </w:tcPr>
          <w:p>
            <w:pPr>
              <w:jc w:val="center"/>
              <w:ind w:left="141"/>
              <w:spacing w:after="0" w:line="182" w:lineRule="exact"/>
              <w:rPr>
                <w:sz w:val="20"/>
                <w:szCs w:val="20"/>
                <w:color w:val="auto"/>
              </w:rPr>
            </w:pPr>
            <w:r>
              <w:rPr>
                <w:rFonts w:ascii="Arial" w:cs="Arial" w:eastAsia="Arial" w:hAnsi="Arial"/>
                <w:sz w:val="16"/>
                <w:szCs w:val="16"/>
                <w:b w:val="1"/>
                <w:bCs w:val="1"/>
                <w:color w:val="auto"/>
                <w:w w:val="89"/>
              </w:rPr>
              <w:t>9</w:t>
            </w:r>
          </w:p>
        </w:tc>
      </w:tr>
    </w:tbl>
    <w:p>
      <w:pPr>
        <w:spacing w:after="0" w:line="29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CORPORATE GOVERNANCE HIGHLIGHTS</w:t>
      </w:r>
    </w:p>
    <w:p>
      <w:pPr>
        <w:spacing w:after="0" w:line="111" w:lineRule="exact"/>
        <w:rPr>
          <w:sz w:val="20"/>
          <w:szCs w:val="20"/>
          <w:color w:val="auto"/>
        </w:rPr>
      </w:pPr>
    </w:p>
    <w:p>
      <w:pPr>
        <w:ind w:left="320" w:right="380"/>
        <w:spacing w:after="0" w:line="265" w:lineRule="auto"/>
        <w:rPr>
          <w:sz w:val="20"/>
          <w:szCs w:val="20"/>
          <w:color w:val="auto"/>
        </w:rPr>
      </w:pPr>
      <w:r>
        <w:rPr>
          <w:rFonts w:ascii="Arial" w:cs="Arial" w:eastAsia="Arial" w:hAnsi="Arial"/>
          <w:sz w:val="16"/>
          <w:szCs w:val="16"/>
          <w:color w:val="auto"/>
        </w:rPr>
        <w:t>We believe that good corporate governance is integral to our business, and the Board of Directors (the “Board”) monitors developments in governance best practices to assure that it continues to meet its commitment to representation of stockholder interests. Below are some highlights of our corporate governance practices:</w:t>
      </w:r>
    </w:p>
    <w:p>
      <w:pPr>
        <w:sectPr>
          <w:pgSz w:w="11900" w:h="16838" w:orient="portrait"/>
          <w:cols w:equalWidth="0" w:num="1">
            <w:col w:w="11120"/>
          </w:cols>
          <w:pgMar w:left="320" w:top="480" w:right="459" w:bottom="1440" w:gutter="0" w:footer="0" w:header="0"/>
        </w:sectPr>
      </w:pPr>
    </w:p>
    <w:p>
      <w:pPr>
        <w:spacing w:after="0" w:line="238" w:lineRule="exact"/>
        <w:rPr>
          <w:sz w:val="20"/>
          <w:szCs w:val="20"/>
          <w:color w:val="auto"/>
        </w:rPr>
      </w:pPr>
    </w:p>
    <w:p>
      <w:pPr>
        <w:ind w:left="740" w:hanging="199"/>
        <w:spacing w:after="0"/>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Independent Chairman of the Board</w:t>
      </w:r>
    </w:p>
    <w:p>
      <w:pPr>
        <w:spacing w:after="0" w:line="44" w:lineRule="exact"/>
        <w:rPr>
          <w:rFonts w:ascii="Arial" w:cs="Arial" w:eastAsia="Arial" w:hAnsi="Arial"/>
          <w:sz w:val="16"/>
          <w:szCs w:val="16"/>
          <w:color w:val="003A70"/>
        </w:rPr>
      </w:pPr>
    </w:p>
    <w:p>
      <w:pPr>
        <w:ind w:left="740" w:right="540" w:hanging="199"/>
        <w:spacing w:after="0" w:line="271" w:lineRule="auto"/>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Separate Chairman and Chief Executive Officer (“CEO”) positions</w:t>
      </w:r>
    </w:p>
    <w:p>
      <w:pPr>
        <w:spacing w:after="0" w:line="1" w:lineRule="exact"/>
        <w:rPr>
          <w:rFonts w:ascii="Arial" w:cs="Arial" w:eastAsia="Arial" w:hAnsi="Arial"/>
          <w:sz w:val="16"/>
          <w:szCs w:val="16"/>
          <w:color w:val="003A70"/>
        </w:rPr>
      </w:pPr>
    </w:p>
    <w:p>
      <w:pPr>
        <w:ind w:left="740" w:right="320" w:hanging="199"/>
        <w:spacing w:after="0" w:line="271" w:lineRule="auto"/>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Standing committees composed exclusively of independent directors</w:t>
      </w:r>
    </w:p>
    <w:p>
      <w:pPr>
        <w:spacing w:after="0" w:line="1" w:lineRule="exact"/>
        <w:rPr>
          <w:rFonts w:ascii="Arial" w:cs="Arial" w:eastAsia="Arial" w:hAnsi="Arial"/>
          <w:sz w:val="16"/>
          <w:szCs w:val="16"/>
          <w:color w:val="003A70"/>
        </w:rPr>
      </w:pPr>
    </w:p>
    <w:p>
      <w:pPr>
        <w:ind w:left="740" w:hanging="199"/>
        <w:spacing w:after="0"/>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Annual Board and committee evaluations</w:t>
      </w:r>
    </w:p>
    <w:p>
      <w:pPr>
        <w:spacing w:after="0" w:line="44" w:lineRule="exact"/>
        <w:rPr>
          <w:rFonts w:ascii="Arial" w:cs="Arial" w:eastAsia="Arial" w:hAnsi="Arial"/>
          <w:sz w:val="16"/>
          <w:szCs w:val="16"/>
          <w:color w:val="003A70"/>
        </w:rPr>
      </w:pPr>
    </w:p>
    <w:p>
      <w:pPr>
        <w:ind w:left="740" w:hanging="199"/>
        <w:spacing w:after="0"/>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Regular executive sessions of the Board and Board committees</w:t>
      </w:r>
    </w:p>
    <w:p>
      <w:pPr>
        <w:spacing w:after="0" w:line="44" w:lineRule="exact"/>
        <w:rPr>
          <w:rFonts w:ascii="Arial" w:cs="Arial" w:eastAsia="Arial" w:hAnsi="Arial"/>
          <w:sz w:val="16"/>
          <w:szCs w:val="16"/>
          <w:color w:val="003A70"/>
        </w:rPr>
      </w:pPr>
    </w:p>
    <w:p>
      <w:pPr>
        <w:ind w:left="740" w:hanging="199"/>
        <w:spacing w:after="0"/>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Global ethics and corporate compliance program</w:t>
      </w:r>
    </w:p>
    <w:p>
      <w:pPr>
        <w:spacing w:after="0" w:line="44" w:lineRule="exact"/>
        <w:rPr>
          <w:rFonts w:ascii="Arial" w:cs="Arial" w:eastAsia="Arial" w:hAnsi="Arial"/>
          <w:sz w:val="16"/>
          <w:szCs w:val="16"/>
          <w:color w:val="003A70"/>
        </w:rPr>
      </w:pPr>
    </w:p>
    <w:p>
      <w:pPr>
        <w:ind w:left="740" w:right="440" w:hanging="199"/>
        <w:spacing w:after="0" w:line="284" w:lineRule="auto"/>
        <w:tabs>
          <w:tab w:leader="none" w:pos="7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Board and committee oversight of corporate responsibility matters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95" w:right="620" w:hanging="195"/>
        <w:spacing w:after="0" w:line="271" w:lineRule="auto"/>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Commitment to seeking a diverse range of candidates for the Board</w:t>
      </w:r>
    </w:p>
    <w:p>
      <w:pPr>
        <w:spacing w:after="0" w:line="1" w:lineRule="exact"/>
        <w:rPr>
          <w:rFonts w:ascii="Arial" w:cs="Arial" w:eastAsia="Arial" w:hAnsi="Arial"/>
          <w:sz w:val="16"/>
          <w:szCs w:val="16"/>
          <w:color w:val="003A70"/>
        </w:rPr>
      </w:pPr>
    </w:p>
    <w:p>
      <w:pPr>
        <w:ind w:left="195" w:hanging="195"/>
        <w:spacing w:after="0"/>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Stock ownership guidelines for our executive officers and directors</w:t>
      </w:r>
    </w:p>
    <w:p>
      <w:pPr>
        <w:spacing w:after="0" w:line="44" w:lineRule="exact"/>
        <w:rPr>
          <w:rFonts w:ascii="Arial" w:cs="Arial" w:eastAsia="Arial" w:hAnsi="Arial"/>
          <w:sz w:val="16"/>
          <w:szCs w:val="16"/>
          <w:color w:val="003A70"/>
        </w:rPr>
      </w:pPr>
    </w:p>
    <w:p>
      <w:pPr>
        <w:ind w:left="195" w:hanging="195"/>
        <w:spacing w:after="0"/>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Active Board oversight of Company strategy and risk management</w:t>
      </w:r>
    </w:p>
    <w:p>
      <w:pPr>
        <w:spacing w:after="0" w:line="44" w:lineRule="exact"/>
        <w:rPr>
          <w:rFonts w:ascii="Arial" w:cs="Arial" w:eastAsia="Arial" w:hAnsi="Arial"/>
          <w:sz w:val="16"/>
          <w:szCs w:val="16"/>
          <w:color w:val="003A70"/>
        </w:rPr>
      </w:pPr>
    </w:p>
    <w:p>
      <w:pPr>
        <w:ind w:left="195" w:hanging="195"/>
        <w:spacing w:after="0"/>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Strong risk management program</w:t>
      </w:r>
    </w:p>
    <w:p>
      <w:pPr>
        <w:spacing w:after="0" w:line="44" w:lineRule="exact"/>
        <w:rPr>
          <w:rFonts w:ascii="Arial" w:cs="Arial" w:eastAsia="Arial" w:hAnsi="Arial"/>
          <w:sz w:val="16"/>
          <w:szCs w:val="16"/>
          <w:color w:val="003A70"/>
        </w:rPr>
      </w:pPr>
    </w:p>
    <w:p>
      <w:pPr>
        <w:ind w:left="195" w:right="820" w:hanging="195"/>
        <w:spacing w:after="0" w:line="271" w:lineRule="auto"/>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Comprehensive Code of Business Conduct and Corporate Governance Principles</w:t>
      </w:r>
    </w:p>
    <w:p>
      <w:pPr>
        <w:spacing w:after="0" w:line="1" w:lineRule="exact"/>
        <w:rPr>
          <w:rFonts w:ascii="Arial" w:cs="Arial" w:eastAsia="Arial" w:hAnsi="Arial"/>
          <w:sz w:val="16"/>
          <w:szCs w:val="16"/>
          <w:color w:val="003A70"/>
        </w:rPr>
      </w:pPr>
    </w:p>
    <w:p>
      <w:pPr>
        <w:ind w:left="195" w:hanging="195"/>
        <w:spacing w:after="0"/>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Robust executive succession planning process</w:t>
      </w:r>
    </w:p>
    <w:p>
      <w:pPr>
        <w:spacing w:after="0" w:line="44" w:lineRule="exact"/>
        <w:rPr>
          <w:rFonts w:ascii="Arial" w:cs="Arial" w:eastAsia="Arial" w:hAnsi="Arial"/>
          <w:sz w:val="16"/>
          <w:szCs w:val="16"/>
          <w:color w:val="003A70"/>
        </w:rPr>
      </w:pPr>
    </w:p>
    <w:p>
      <w:pPr>
        <w:ind w:left="195" w:hanging="195"/>
        <w:spacing w:after="0"/>
        <w:tabs>
          <w:tab w:leader="none" w:pos="195"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Mixture of short-, medium-, and long-tenured directors</w:t>
      </w:r>
    </w:p>
    <w:p>
      <w:pPr>
        <w:spacing w:after="0" w:line="451" w:lineRule="exact"/>
        <w:rPr>
          <w:sz w:val="20"/>
          <w:szCs w:val="20"/>
          <w:color w:val="auto"/>
        </w:rPr>
      </w:pPr>
    </w:p>
    <w:p>
      <w:pPr>
        <w:sectPr>
          <w:pgSz w:w="11900" w:h="16838" w:orient="portrait"/>
          <w:cols w:equalWidth="0" w:num="2">
            <w:col w:w="5300" w:space="645"/>
            <w:col w:w="5175"/>
          </w:cols>
          <w:pgMar w:left="320" w:top="480" w:right="459" w:bottom="1440" w:gutter="0" w:footer="0" w:header="0"/>
          <w:type w:val="continuous"/>
        </w:sect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CORPORATE RESPONSIBILITY INITIATIVES</w:t>
      </w:r>
    </w:p>
    <w:p>
      <w:pPr>
        <w:spacing w:after="0" w:line="111" w:lineRule="exact"/>
        <w:rPr>
          <w:sz w:val="20"/>
          <w:szCs w:val="20"/>
          <w:color w:val="auto"/>
        </w:rPr>
      </w:pPr>
    </w:p>
    <w:p>
      <w:pPr>
        <w:ind w:left="320" w:right="220"/>
        <w:spacing w:after="0" w:line="250" w:lineRule="auto"/>
        <w:rPr>
          <w:sz w:val="20"/>
          <w:szCs w:val="20"/>
          <w:color w:val="auto"/>
        </w:rPr>
      </w:pPr>
      <w:r>
        <w:rPr>
          <w:rFonts w:ascii="Arial" w:cs="Arial" w:eastAsia="Arial" w:hAnsi="Arial"/>
          <w:sz w:val="16"/>
          <w:szCs w:val="16"/>
          <w:color w:val="auto"/>
        </w:rPr>
        <w:t>As a leader and innovator in the vacation industry, the Company strives to uphold the highest standards of excellence in serving its customers, investors, and associates while maintaining exclusive, long-term relationships with Marriott International, Inc. (“Marriott International”) and an affiliate of Hyatt Hotels Corporation for the development, sales, and marketing of vacation ownership products and services, operating exchange networks and membership programs, and providing management services to other resorts and lodging properties. Our core values help drive and inspire us and provide the framework to live fulfilling lives, both professionally and personally. Our core values and culture embody a commitment to ethical business practices and good corporate citizenship. As we work toward this goal, we are committed to managing the risks and opportunities that arise from corporate responsibility issues, providing transparency of our corporate responsibility performance and enabling strong executive and Board oversight of our overall corporate responsibility strategy. Our 2023 Corporate Responsibility Report is available on our website at www.marriottvacationsworldwide.com under the “Our Values” tab and the “Investor Relations” tab.</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STOCKHOLDER ENGAGEMENT</w:t>
      </w:r>
    </w:p>
    <w:p>
      <w:pPr>
        <w:spacing w:after="0" w:line="111" w:lineRule="exact"/>
        <w:rPr>
          <w:sz w:val="20"/>
          <w:szCs w:val="20"/>
          <w:color w:val="auto"/>
        </w:rPr>
      </w:pPr>
    </w:p>
    <w:p>
      <w:pPr>
        <w:ind w:left="320" w:right="240"/>
        <w:spacing w:after="0" w:line="258" w:lineRule="auto"/>
        <w:rPr>
          <w:sz w:val="20"/>
          <w:szCs w:val="20"/>
          <w:color w:val="auto"/>
        </w:rPr>
      </w:pPr>
      <w:r>
        <w:rPr>
          <w:rFonts w:ascii="Arial" w:cs="Arial" w:eastAsia="Arial" w:hAnsi="Arial"/>
          <w:sz w:val="16"/>
          <w:szCs w:val="16"/>
          <w:color w:val="auto"/>
        </w:rPr>
        <w:t>We value our stockholders’ perspective on our business and each year regularly engage with them through a variety of activities to stay informed on the evolving perspectives of the investor community. We engage with stockholders on various matters, including industry trends, company performance, corporate governance, and executive compensation. In 2024, our key stockholder engagement activities included numerous virtual meetings and calls, 12 non-deal investor road show days, participation in nine investor conferences and our 2024 Annual Meeting of Stockholders.</w:t>
      </w:r>
    </w:p>
    <w:p>
      <w:pPr>
        <w:spacing w:after="0" w:line="299" w:lineRule="exact"/>
        <w:rPr>
          <w:sz w:val="20"/>
          <w:szCs w:val="20"/>
          <w:color w:val="auto"/>
        </w:rPr>
      </w:pPr>
    </w:p>
    <w:p>
      <w:pPr>
        <w:ind w:left="140"/>
        <w:spacing w:after="0"/>
        <w:tabs>
          <w:tab w:leader="none" w:pos="5240" w:val="left"/>
          <w:tab w:leader="none" w:pos="110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217805</wp:posOffset>
            </wp:positionV>
            <wp:extent cx="6965950" cy="6539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5950" cy="65392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SELECT PERFORMANCE AND BUSINESS HIGHLIGHTS</w:t>
      </w:r>
    </w:p>
    <w:p>
      <w:pPr>
        <w:spacing w:after="0" w:line="44" w:lineRule="exact"/>
        <w:rPr>
          <w:sz w:val="20"/>
          <w:szCs w:val="20"/>
          <w:color w:val="auto"/>
        </w:rPr>
      </w:pPr>
    </w:p>
    <w:p>
      <w:pPr>
        <w:ind w:left="520" w:hanging="194"/>
        <w:spacing w:after="0"/>
        <w:tabs>
          <w:tab w:leader="none" w:pos="52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Consolidated Vacation Ownership contract sales were $1.81 billion for 2024, a 2% increase compared to the prior year.</w:t>
      </w:r>
    </w:p>
    <w:p>
      <w:pPr>
        <w:spacing w:after="0" w:line="44" w:lineRule="exact"/>
        <w:rPr>
          <w:rFonts w:ascii="Arial" w:cs="Arial" w:eastAsia="Arial" w:hAnsi="Arial"/>
          <w:sz w:val="16"/>
          <w:szCs w:val="16"/>
          <w:color w:val="003A70"/>
        </w:rPr>
      </w:pPr>
    </w:p>
    <w:p>
      <w:pPr>
        <w:ind w:left="520" w:hanging="194"/>
        <w:spacing w:after="0"/>
        <w:tabs>
          <w:tab w:leader="none" w:pos="52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Net income attributable to common stockholders was $218 million for 2024, or $5.61 diluted earnings per share.</w:t>
      </w:r>
    </w:p>
    <w:p>
      <w:pPr>
        <w:spacing w:after="0" w:line="44" w:lineRule="exact"/>
        <w:rPr>
          <w:rFonts w:ascii="Arial" w:cs="Arial" w:eastAsia="Arial" w:hAnsi="Arial"/>
          <w:sz w:val="16"/>
          <w:szCs w:val="16"/>
          <w:color w:val="003A70"/>
        </w:rPr>
      </w:pPr>
    </w:p>
    <w:p>
      <w:pPr>
        <w:ind w:left="520" w:hanging="194"/>
        <w:spacing w:after="0"/>
        <w:tabs>
          <w:tab w:leader="none" w:pos="52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Adjusted net income attributable to common stockholders was $258 million for 2024, or $6.56 Adjusted diluted earnings per share.</w:t>
      </w:r>
    </w:p>
    <w:p>
      <w:pPr>
        <w:spacing w:after="0" w:line="44" w:lineRule="exact"/>
        <w:rPr>
          <w:rFonts w:ascii="Arial" w:cs="Arial" w:eastAsia="Arial" w:hAnsi="Arial"/>
          <w:sz w:val="16"/>
          <w:szCs w:val="16"/>
          <w:color w:val="003A70"/>
        </w:rPr>
      </w:pPr>
    </w:p>
    <w:p>
      <w:pPr>
        <w:ind w:left="520" w:hanging="194"/>
        <w:spacing w:after="0"/>
        <w:tabs>
          <w:tab w:leader="none" w:pos="52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Adjusted EBITDA was $727 million for 2024.</w:t>
      </w:r>
    </w:p>
    <w:p>
      <w:pPr>
        <w:spacing w:after="0" w:line="220" w:lineRule="exact"/>
        <w:rPr>
          <w:sz w:val="20"/>
          <w:szCs w:val="20"/>
          <w:color w:val="auto"/>
        </w:rPr>
      </w:pPr>
    </w:p>
    <w:p>
      <w:pPr>
        <w:ind w:left="320" w:right="300"/>
        <w:spacing w:after="0" w:line="258" w:lineRule="auto"/>
        <w:rPr>
          <w:sz w:val="20"/>
          <w:szCs w:val="20"/>
          <w:color w:val="auto"/>
        </w:rPr>
      </w:pPr>
      <w:r>
        <w:rPr>
          <w:rFonts w:ascii="Arial" w:cs="Arial" w:eastAsia="Arial" w:hAnsi="Arial"/>
          <w:sz w:val="16"/>
          <w:szCs w:val="16"/>
          <w:color w:val="auto"/>
        </w:rPr>
        <w:t>Adjusted net income attributable to common stockholders, Adjusted diluted earnings per share, and Adjusted EBITDA are financial measures that are not prescribed by United States generally accepted accounting principles (“GAAP”). Please refer to Appendix A for a reconciliation of these non-GAAP financial measures to the most directly comparable financial measures prescribed by GAAP, as well as our reasons for presenting these measures.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EXECUTIVE COMPENSATION HIGHLIGHTS</w:t>
      </w:r>
    </w:p>
    <w:p>
      <w:pPr>
        <w:spacing w:after="0" w:line="111" w:lineRule="exact"/>
        <w:rPr>
          <w:sz w:val="20"/>
          <w:szCs w:val="20"/>
          <w:color w:val="auto"/>
        </w:rPr>
      </w:pPr>
    </w:p>
    <w:p>
      <w:pPr>
        <w:ind w:left="320" w:right="240"/>
        <w:spacing w:after="0" w:line="271" w:lineRule="auto"/>
        <w:rPr>
          <w:sz w:val="20"/>
          <w:szCs w:val="20"/>
          <w:color w:val="auto"/>
        </w:rPr>
      </w:pPr>
      <w:r>
        <w:rPr>
          <w:rFonts w:ascii="Arial" w:cs="Arial" w:eastAsia="Arial" w:hAnsi="Arial"/>
          <w:sz w:val="16"/>
          <w:szCs w:val="16"/>
          <w:color w:val="auto"/>
        </w:rPr>
        <w:t>We seek to align the interests of our named executive officers (“NEOs”) with the interests of the Company’s stockholders. Certain important features of our executive compensation program include:</w:t>
      </w:r>
    </w:p>
    <w:p>
      <w:pPr>
        <w:spacing w:after="0" w:line="2" w:lineRule="exact"/>
        <w:rPr>
          <w:sz w:val="20"/>
          <w:szCs w:val="20"/>
          <w:color w:val="auto"/>
        </w:rPr>
      </w:pPr>
    </w:p>
    <w:p>
      <w:pPr>
        <w:ind w:left="520" w:hanging="194"/>
        <w:spacing w:after="0"/>
        <w:tabs>
          <w:tab w:leader="none" w:pos="520" w:val="left"/>
        </w:tabs>
        <w:numPr>
          <w:ilvl w:val="0"/>
          <w:numId w:val="21"/>
        </w:numPr>
        <w:rPr>
          <w:rFonts w:ascii="Arial" w:cs="Arial" w:eastAsia="Arial" w:hAnsi="Arial"/>
          <w:sz w:val="16"/>
          <w:szCs w:val="16"/>
          <w:color w:val="003A70"/>
        </w:rPr>
      </w:pPr>
      <w:r>
        <w:rPr>
          <w:rFonts w:ascii="Arial" w:cs="Arial" w:eastAsia="Arial" w:hAnsi="Arial"/>
          <w:sz w:val="16"/>
          <w:szCs w:val="16"/>
          <w:color w:val="auto"/>
        </w:rPr>
        <w:t>The program is designed to align financial results and sustainable stockholder value creation with the compensation of our executives.</w:t>
      </w:r>
    </w:p>
    <w:p>
      <w:pPr>
        <w:spacing w:after="0" w:line="44" w:lineRule="exact"/>
        <w:rPr>
          <w:rFonts w:ascii="Arial" w:cs="Arial" w:eastAsia="Arial" w:hAnsi="Arial"/>
          <w:sz w:val="16"/>
          <w:szCs w:val="16"/>
          <w:color w:val="003A70"/>
        </w:rPr>
      </w:pPr>
    </w:p>
    <w:p>
      <w:pPr>
        <w:ind w:left="520" w:right="620" w:hanging="194"/>
        <w:spacing w:after="0" w:line="271" w:lineRule="auto"/>
        <w:tabs>
          <w:tab w:leader="none" w:pos="520" w:val="left"/>
        </w:tabs>
        <w:numPr>
          <w:ilvl w:val="0"/>
          <w:numId w:val="21"/>
        </w:numPr>
        <w:rPr>
          <w:rFonts w:ascii="Arial" w:cs="Arial" w:eastAsia="Arial" w:hAnsi="Arial"/>
          <w:sz w:val="16"/>
          <w:szCs w:val="16"/>
          <w:color w:val="003A70"/>
        </w:rPr>
      </w:pPr>
      <w:r>
        <w:rPr>
          <w:rFonts w:ascii="Arial" w:cs="Arial" w:eastAsia="Arial" w:hAnsi="Arial"/>
          <w:sz w:val="16"/>
          <w:szCs w:val="16"/>
          <w:color w:val="auto"/>
        </w:rPr>
        <w:t>Pay is tied to performance. Approximately 67% of our CEO’s and approximately 61%, on average, of the other NEOs’ fiscal 2024 total target compensation was performance based.</w:t>
      </w:r>
    </w:p>
    <w:p>
      <w:pPr>
        <w:spacing w:after="0" w:line="1" w:lineRule="exact"/>
        <w:rPr>
          <w:rFonts w:ascii="Arial" w:cs="Arial" w:eastAsia="Arial" w:hAnsi="Arial"/>
          <w:sz w:val="16"/>
          <w:szCs w:val="16"/>
          <w:color w:val="003A70"/>
        </w:rPr>
      </w:pPr>
    </w:p>
    <w:p>
      <w:pPr>
        <w:ind w:left="820" w:right="400" w:hanging="185"/>
        <w:spacing w:after="0" w:line="284" w:lineRule="auto"/>
        <w:tabs>
          <w:tab w:leader="none" w:pos="820" w:val="left"/>
        </w:tabs>
        <w:numPr>
          <w:ilvl w:val="1"/>
          <w:numId w:val="21"/>
        </w:numPr>
        <w:rPr>
          <w:rFonts w:ascii="Arial" w:cs="Arial" w:eastAsia="Arial" w:hAnsi="Arial"/>
          <w:sz w:val="16"/>
          <w:szCs w:val="16"/>
          <w:color w:val="003A70"/>
        </w:rPr>
      </w:pPr>
      <w:r>
        <w:rPr>
          <w:rFonts w:ascii="Arial" w:cs="Arial" w:eastAsia="Arial" w:hAnsi="Arial"/>
          <w:sz w:val="16"/>
          <w:szCs w:val="16"/>
          <w:color w:val="auto"/>
        </w:rPr>
        <w:t>Approximately 72% of our CEO’s and approximately 56%, on average, of the other NEOs’ fiscal 2024 total target compensation was tied to stock performance.</w:t>
      </w:r>
    </w:p>
    <w:p>
      <w:pPr>
        <w:spacing w:after="0" w:line="175" w:lineRule="exact"/>
        <w:rPr>
          <w:sz w:val="20"/>
          <w:szCs w:val="20"/>
          <w:color w:val="auto"/>
        </w:rPr>
      </w:pPr>
    </w:p>
    <w:p>
      <w:pPr>
        <w:ind w:left="1840"/>
        <w:spacing w:after="0"/>
        <w:tabs>
          <w:tab w:leader="none" w:pos="6440" w:val="left"/>
        </w:tabs>
        <w:rPr>
          <w:sz w:val="20"/>
          <w:szCs w:val="20"/>
          <w:color w:val="auto"/>
        </w:rPr>
      </w:pPr>
      <w:r>
        <w:rPr>
          <w:rFonts w:ascii="Arial" w:cs="Arial" w:eastAsia="Arial" w:hAnsi="Arial"/>
          <w:sz w:val="17"/>
          <w:szCs w:val="17"/>
          <w:b w:val="1"/>
          <w:bCs w:val="1"/>
          <w:color w:val="003A70"/>
        </w:rPr>
        <w:t>2024 TARGET PAY MIX – CEO</w:t>
      </w:r>
      <w:r>
        <w:rPr>
          <w:sz w:val="20"/>
          <w:szCs w:val="20"/>
          <w:color w:val="auto"/>
        </w:rPr>
        <w:tab/>
      </w:r>
      <w:r>
        <w:rPr>
          <w:rFonts w:ascii="Arial" w:cs="Arial" w:eastAsia="Arial" w:hAnsi="Arial"/>
          <w:sz w:val="16"/>
          <w:szCs w:val="16"/>
          <w:b w:val="1"/>
          <w:bCs w:val="1"/>
          <w:color w:val="003A70"/>
        </w:rPr>
        <w:t>2024 TARGET PAY MIX – OTHER NEOs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194"/>
        <w:spacing w:after="0"/>
        <w:tabs>
          <w:tab w:leader="none" w:pos="520" w:val="left"/>
        </w:tabs>
        <w:numPr>
          <w:ilvl w:val="0"/>
          <w:numId w:val="22"/>
        </w:numPr>
        <w:rPr>
          <w:rFonts w:ascii="Arial" w:cs="Arial" w:eastAsia="Arial" w:hAnsi="Arial"/>
          <w:sz w:val="16"/>
          <w:szCs w:val="16"/>
          <w:color w:val="003A70"/>
        </w:rPr>
      </w:pPr>
      <w:r>
        <w:rPr>
          <w:rFonts w:ascii="Arial" w:cs="Arial" w:eastAsia="Arial" w:hAnsi="Arial"/>
          <w:sz w:val="16"/>
          <w:szCs w:val="16"/>
          <w:color w:val="auto"/>
        </w:rPr>
        <w:t>The Company maintains stock ownership guidelines that apply to all executive officers and directors.</w:t>
      </w:r>
    </w:p>
    <w:p>
      <w:pPr>
        <w:spacing w:after="0" w:line="44" w:lineRule="exact"/>
        <w:rPr>
          <w:rFonts w:ascii="Arial" w:cs="Arial" w:eastAsia="Arial" w:hAnsi="Arial"/>
          <w:sz w:val="16"/>
          <w:szCs w:val="16"/>
          <w:color w:val="003A70"/>
        </w:rPr>
      </w:pPr>
    </w:p>
    <w:p>
      <w:pPr>
        <w:ind w:left="520" w:right="700" w:hanging="194"/>
        <w:spacing w:after="0" w:line="284" w:lineRule="auto"/>
        <w:tabs>
          <w:tab w:leader="none" w:pos="520" w:val="left"/>
        </w:tabs>
        <w:numPr>
          <w:ilvl w:val="0"/>
          <w:numId w:val="22"/>
        </w:numPr>
        <w:rPr>
          <w:rFonts w:ascii="Arial" w:cs="Arial" w:eastAsia="Arial" w:hAnsi="Arial"/>
          <w:sz w:val="16"/>
          <w:szCs w:val="16"/>
          <w:color w:val="003A70"/>
        </w:rPr>
      </w:pPr>
      <w:r>
        <w:rPr>
          <w:rFonts w:ascii="Arial" w:cs="Arial" w:eastAsia="Arial" w:hAnsi="Arial"/>
          <w:sz w:val="16"/>
          <w:szCs w:val="16"/>
          <w:color w:val="auto"/>
        </w:rPr>
        <w:t>The Company has strong governance policies related to executive compensation, and we employ appropriate compensation risk mitigating features.</w:t>
      </w:r>
    </w:p>
    <w:p>
      <w:pPr>
        <w:spacing w:after="0" w:line="200" w:lineRule="exact"/>
        <w:rPr>
          <w:sz w:val="20"/>
          <w:szCs w:val="20"/>
          <w:color w:val="auto"/>
        </w:rPr>
      </w:pPr>
    </w:p>
    <w:p>
      <w:pPr>
        <w:spacing w:after="0" w:line="321" w:lineRule="exact"/>
        <w:rPr>
          <w:sz w:val="20"/>
          <w:szCs w:val="20"/>
          <w:color w:val="auto"/>
        </w:rPr>
      </w:pPr>
    </w:p>
    <w:p>
      <w:pPr>
        <w:ind w:left="140"/>
        <w:spacing w:after="0"/>
        <w:tabs>
          <w:tab w:leader="none" w:pos="5240" w:val="left"/>
          <w:tab w:leader="none" w:pos="7820" w:val="left"/>
        </w:tabs>
        <w:rPr>
          <w:sz w:val="20"/>
          <w:szCs w:val="20"/>
          <w:color w:val="auto"/>
        </w:rPr>
      </w:pPr>
      <w:r>
        <w:rPr>
          <w:rFonts w:ascii="Arial" w:cs="Arial" w:eastAsia="Arial" w:hAnsi="Arial"/>
          <w:sz w:val="11"/>
          <w:szCs w:val="11"/>
          <w:b w:val="1"/>
          <w:bCs w:val="1"/>
          <w:color w:val="003A70"/>
        </w:rPr>
        <w:t>2</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217805</wp:posOffset>
            </wp:positionV>
            <wp:extent cx="6965950" cy="4949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5950" cy="49498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3A70"/>
        </w:rPr>
        <w:t>DIRECTOR NOMINEES</w:t>
      </w:r>
    </w:p>
    <w:p>
      <w:pPr>
        <w:spacing w:after="0" w:line="111" w:lineRule="exact"/>
        <w:rPr>
          <w:sz w:val="20"/>
          <w:szCs w:val="20"/>
          <w:color w:val="auto"/>
        </w:rPr>
      </w:pPr>
    </w:p>
    <w:p>
      <w:pPr>
        <w:ind w:left="320" w:right="220"/>
        <w:spacing w:after="0" w:line="252" w:lineRule="auto"/>
        <w:rPr>
          <w:sz w:val="20"/>
          <w:szCs w:val="20"/>
          <w:color w:val="auto"/>
        </w:rPr>
      </w:pPr>
      <w:r>
        <w:rPr>
          <w:rFonts w:ascii="Arial" w:cs="Arial" w:eastAsia="Arial" w:hAnsi="Arial"/>
          <w:sz w:val="16"/>
          <w:szCs w:val="16"/>
          <w:color w:val="auto"/>
        </w:rPr>
        <w:t>Our Board currently consists of thirteen members. The Board size will decrease to eleven members upon the retirement of Messrs. Gellein and Martinez effective immediately prior to the commencement of the 2025 Annual Meeting of Stockholders. At our 2023 Annual Meeting of Stockholders, our stockholders approved and adopted an amendment to our Amended and Restated Certificate of Incorporation (the “Certificate of Incorporation”) to phase in the declassification of our Board commencing with the 2024 Annual Meeting of Stockholders. Under our Certificate of Incorporation, as so amended, directors were first elected for one-year terms at the 2024 Annual Meeting of Stockholders, the directors elected at the 2025 Annual Meeting of Stockholders will be elected for one-year terms, and beginning with the 2026 Annual Meeting of Stockholders, the entire Board will be elected on an annual basis.</w:t>
      </w:r>
    </w:p>
    <w:p>
      <w:pPr>
        <w:spacing w:after="0" w:line="181" w:lineRule="exact"/>
        <w:rPr>
          <w:sz w:val="20"/>
          <w:szCs w:val="20"/>
          <w:color w:val="auto"/>
        </w:rPr>
      </w:pPr>
    </w:p>
    <w:p>
      <w:pPr>
        <w:ind w:left="320" w:right="220"/>
        <w:spacing w:after="0" w:line="284" w:lineRule="auto"/>
        <w:rPr>
          <w:sz w:val="20"/>
          <w:szCs w:val="20"/>
          <w:color w:val="auto"/>
        </w:rPr>
      </w:pPr>
      <w:r>
        <w:rPr>
          <w:rFonts w:ascii="Arial" w:cs="Arial" w:eastAsia="Arial" w:hAnsi="Arial"/>
          <w:sz w:val="16"/>
          <w:szCs w:val="16"/>
          <w:color w:val="auto"/>
        </w:rPr>
        <w:t>The following table provides summary information regarding each nominee to the Board. Information about each director’s experience, qualifications and skills can be found in the Report on the Board of Directors and its Committees.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DIRECTOR</w:t>
            </w:r>
          </w:p>
        </w:tc>
        <w:tc>
          <w:tcPr>
            <w:tcW w:w="244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A70"/>
              </w:rPr>
              <w:t>INDE-</w:t>
            </w:r>
          </w:p>
        </w:tc>
        <w:tc>
          <w:tcPr>
            <w:tcW w:w="2180" w:type="dxa"/>
            <w:vAlign w:val="bottom"/>
            <w:tcBorders>
              <w:bottom w:val="single" w:sz="8" w:color="003A70"/>
            </w:tcBorders>
            <w:gridSpan w:val="3"/>
          </w:tcPr>
          <w:p>
            <w:pPr>
              <w:jc w:val="center"/>
              <w:ind w:left="24"/>
              <w:spacing w:after="0"/>
              <w:rPr>
                <w:sz w:val="20"/>
                <w:szCs w:val="20"/>
                <w:color w:val="auto"/>
              </w:rPr>
            </w:pPr>
            <w:r>
              <w:rPr>
                <w:rFonts w:ascii="Arial" w:cs="Arial" w:eastAsia="Arial" w:hAnsi="Arial"/>
                <w:sz w:val="14"/>
                <w:szCs w:val="14"/>
                <w:b w:val="1"/>
                <w:bCs w:val="1"/>
                <w:color w:val="003A70"/>
              </w:rPr>
              <w:t>COMMITTEE MEMBERSHIPS</w:t>
            </w:r>
            <w:r>
              <w:rPr>
                <w:rFonts w:ascii="Arial" w:cs="Arial" w:eastAsia="Arial" w:hAnsi="Arial"/>
                <w:sz w:val="21"/>
                <w:szCs w:val="21"/>
                <w:color w:val="003A70"/>
                <w:vertAlign w:val="superscript"/>
              </w:rPr>
              <w:t>2</w:t>
            </w:r>
          </w:p>
        </w:tc>
        <w:tc>
          <w:tcPr>
            <w:tcW w:w="2120" w:type="dxa"/>
            <w:vAlign w:val="bottom"/>
          </w:tcPr>
          <w:p>
            <w:pPr>
              <w:jc w:val="center"/>
              <w:ind w:left="4"/>
              <w:spacing w:after="0"/>
              <w:rPr>
                <w:sz w:val="20"/>
                <w:szCs w:val="20"/>
                <w:color w:val="auto"/>
              </w:rPr>
            </w:pPr>
            <w:r>
              <w:rPr>
                <w:rFonts w:ascii="Arial" w:cs="Arial" w:eastAsia="Arial" w:hAnsi="Arial"/>
                <w:sz w:val="14"/>
                <w:szCs w:val="14"/>
                <w:b w:val="1"/>
                <w:bCs w:val="1"/>
                <w:color w:val="003A70"/>
              </w:rPr>
              <w:t>CURRENT OTHER</w:t>
            </w:r>
          </w:p>
        </w:tc>
        <w:tc>
          <w:tcPr>
            <w:tcW w:w="0" w:type="dxa"/>
            <w:vAlign w:val="bottom"/>
          </w:tcPr>
          <w:p>
            <w:pPr>
              <w:spacing w:after="0"/>
              <w:rPr>
                <w:sz w:val="1"/>
                <w:szCs w:val="1"/>
                <w:color w:val="auto"/>
              </w:rPr>
            </w:pPr>
          </w:p>
        </w:tc>
      </w:tr>
      <w:tr>
        <w:trPr>
          <w:trHeight w:val="162"/>
        </w:trPr>
        <w:tc>
          <w:tcPr>
            <w:tcW w:w="1620" w:type="dxa"/>
            <w:vAlign w:val="bottom"/>
            <w:gridSpan w:val="2"/>
          </w:tcPr>
          <w:p>
            <w:pPr>
              <w:spacing w:after="0" w:line="155" w:lineRule="exact"/>
              <w:rPr>
                <w:sz w:val="20"/>
                <w:szCs w:val="20"/>
                <w:color w:val="auto"/>
              </w:rPr>
            </w:pPr>
            <w:r>
              <w:rPr>
                <w:rFonts w:ascii="Arial" w:cs="Arial" w:eastAsia="Arial" w:hAnsi="Arial"/>
                <w:sz w:val="14"/>
                <w:szCs w:val="14"/>
                <w:b w:val="1"/>
                <w:bCs w:val="1"/>
                <w:color w:val="003A70"/>
              </w:rPr>
              <w:t>NAME</w:t>
            </w:r>
          </w:p>
        </w:tc>
        <w:tc>
          <w:tcPr>
            <w:tcW w:w="620" w:type="dxa"/>
            <w:vAlign w:val="bottom"/>
          </w:tcPr>
          <w:p>
            <w:pPr>
              <w:jc w:val="center"/>
              <w:ind w:left="82"/>
              <w:spacing w:after="0" w:line="155" w:lineRule="exact"/>
              <w:rPr>
                <w:sz w:val="20"/>
                <w:szCs w:val="20"/>
                <w:color w:val="auto"/>
              </w:rPr>
            </w:pPr>
            <w:r>
              <w:rPr>
                <w:rFonts w:ascii="Arial" w:cs="Arial" w:eastAsia="Arial" w:hAnsi="Arial"/>
                <w:sz w:val="12"/>
                <w:szCs w:val="12"/>
                <w:b w:val="1"/>
                <w:bCs w:val="1"/>
                <w:color w:val="003A70"/>
              </w:rPr>
              <w:t>AGE</w:t>
            </w:r>
            <w:r>
              <w:rPr>
                <w:rFonts w:ascii="Arial" w:cs="Arial" w:eastAsia="Arial" w:hAnsi="Arial"/>
                <w:sz w:val="17"/>
                <w:szCs w:val="17"/>
                <w:color w:val="003A70"/>
                <w:vertAlign w:val="superscript"/>
              </w:rPr>
              <w:t>1</w:t>
            </w: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003A70"/>
              </w:rPr>
              <w:t>SINCE</w:t>
            </w:r>
          </w:p>
        </w:tc>
        <w:tc>
          <w:tcPr>
            <w:tcW w:w="2440" w:type="dxa"/>
            <w:vAlign w:val="bottom"/>
          </w:tcPr>
          <w:p>
            <w:pPr>
              <w:jc w:val="center"/>
              <w:spacing w:after="0" w:line="155" w:lineRule="exact"/>
              <w:rPr>
                <w:sz w:val="20"/>
                <w:szCs w:val="20"/>
                <w:color w:val="auto"/>
              </w:rPr>
            </w:pPr>
            <w:r>
              <w:rPr>
                <w:rFonts w:ascii="Arial" w:cs="Arial" w:eastAsia="Arial" w:hAnsi="Arial"/>
                <w:sz w:val="14"/>
                <w:szCs w:val="14"/>
                <w:b w:val="1"/>
                <w:bCs w:val="1"/>
                <w:color w:val="003A70"/>
              </w:rPr>
              <w:t>PRINCIPAL OCCUPATION</w:t>
            </w: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003A70"/>
              </w:rPr>
              <w:t>PENDENT</w:t>
            </w:r>
          </w:p>
        </w:tc>
        <w:tc>
          <w:tcPr>
            <w:tcW w:w="760" w:type="dxa"/>
            <w:vAlign w:val="bottom"/>
          </w:tcPr>
          <w:p>
            <w:pPr>
              <w:jc w:val="center"/>
              <w:ind w:left="4"/>
              <w:spacing w:after="0" w:line="155" w:lineRule="exact"/>
              <w:rPr>
                <w:sz w:val="20"/>
                <w:szCs w:val="20"/>
                <w:color w:val="auto"/>
              </w:rPr>
            </w:pPr>
            <w:r>
              <w:rPr>
                <w:rFonts w:ascii="Arial" w:cs="Arial" w:eastAsia="Arial" w:hAnsi="Arial"/>
                <w:sz w:val="14"/>
                <w:szCs w:val="14"/>
                <w:b w:val="1"/>
                <w:bCs w:val="1"/>
                <w:color w:val="003A70"/>
                <w:w w:val="98"/>
              </w:rPr>
              <w:t>AC</w:t>
            </w: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003A70"/>
              </w:rPr>
              <w:t>CPC</w:t>
            </w: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003A70"/>
              </w:rPr>
              <w:t>NCG</w:t>
            </w:r>
          </w:p>
        </w:tc>
        <w:tc>
          <w:tcPr>
            <w:tcW w:w="2120" w:type="dxa"/>
            <w:vAlign w:val="bottom"/>
          </w:tcPr>
          <w:p>
            <w:pPr>
              <w:jc w:val="center"/>
              <w:ind w:left="24"/>
              <w:spacing w:after="0" w:line="155" w:lineRule="exact"/>
              <w:rPr>
                <w:sz w:val="20"/>
                <w:szCs w:val="20"/>
                <w:color w:val="auto"/>
              </w:rPr>
            </w:pPr>
            <w:r>
              <w:rPr>
                <w:rFonts w:ascii="Arial" w:cs="Arial" w:eastAsia="Arial" w:hAnsi="Arial"/>
                <w:sz w:val="14"/>
                <w:szCs w:val="14"/>
                <w:b w:val="1"/>
                <w:bCs w:val="1"/>
                <w:color w:val="003A70"/>
              </w:rPr>
              <w:t>PUBLIC CO. BOARDS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Borders>
              <w:top w:val="single" w:sz="8" w:color="003A70"/>
            </w:tcBorders>
          </w:tcPr>
          <w:p>
            <w:pPr>
              <w:spacing w:after="0"/>
              <w:rPr>
                <w:sz w:val="15"/>
                <w:szCs w:val="15"/>
                <w:color w:val="auto"/>
              </w:rPr>
            </w:pPr>
          </w:p>
        </w:tc>
        <w:tc>
          <w:tcPr>
            <w:tcW w:w="620" w:type="dxa"/>
            <w:vAlign w:val="bottom"/>
            <w:tcBorders>
              <w:top w:val="single" w:sz="8" w:color="003A70"/>
            </w:tcBorders>
          </w:tcPr>
          <w:p>
            <w:pPr>
              <w:spacing w:after="0"/>
              <w:rPr>
                <w:sz w:val="15"/>
                <w:szCs w:val="15"/>
                <w:color w:val="auto"/>
              </w:rPr>
            </w:pPr>
          </w:p>
        </w:tc>
        <w:tc>
          <w:tcPr>
            <w:tcW w:w="860" w:type="dxa"/>
            <w:vAlign w:val="bottom"/>
            <w:tcBorders>
              <w:top w:val="single" w:sz="8" w:color="003A70"/>
            </w:tcBorders>
          </w:tcPr>
          <w:p>
            <w:pPr>
              <w:spacing w:after="0"/>
              <w:rPr>
                <w:sz w:val="15"/>
                <w:szCs w:val="15"/>
                <w:color w:val="auto"/>
              </w:rPr>
            </w:pPr>
          </w:p>
        </w:tc>
        <w:tc>
          <w:tcPr>
            <w:tcW w:w="2440" w:type="dxa"/>
            <w:vAlign w:val="bottom"/>
            <w:tcBorders>
              <w:top w:val="single" w:sz="8" w:color="003A70"/>
            </w:tcBorders>
          </w:tcPr>
          <w:p>
            <w:pPr>
              <w:jc w:val="center"/>
              <w:spacing w:after="0" w:line="175" w:lineRule="exact"/>
              <w:rPr>
                <w:sz w:val="20"/>
                <w:szCs w:val="20"/>
                <w:color w:val="auto"/>
              </w:rPr>
            </w:pPr>
            <w:r>
              <w:rPr>
                <w:rFonts w:ascii="Arial" w:cs="Arial" w:eastAsia="Arial" w:hAnsi="Arial"/>
                <w:sz w:val="16"/>
                <w:szCs w:val="16"/>
                <w:color w:val="auto"/>
              </w:rPr>
              <w:t>Self-employed Consultant,</w:t>
            </w:r>
          </w:p>
        </w:tc>
        <w:tc>
          <w:tcPr>
            <w:tcW w:w="740" w:type="dxa"/>
            <w:vAlign w:val="bottom"/>
            <w:tcBorders>
              <w:top w:val="single" w:sz="8" w:color="003A70"/>
            </w:tcBorders>
          </w:tcPr>
          <w:p>
            <w:pPr>
              <w:spacing w:after="0"/>
              <w:rPr>
                <w:sz w:val="15"/>
                <w:szCs w:val="15"/>
                <w:color w:val="auto"/>
              </w:rPr>
            </w:pPr>
          </w:p>
        </w:tc>
        <w:tc>
          <w:tcPr>
            <w:tcW w:w="760" w:type="dxa"/>
            <w:vAlign w:val="bottom"/>
            <w:tcBorders>
              <w:top w:val="single" w:sz="8" w:color="003A70"/>
            </w:tcBorders>
          </w:tcPr>
          <w:p>
            <w:pPr>
              <w:spacing w:after="0"/>
              <w:rPr>
                <w:sz w:val="15"/>
                <w:szCs w:val="15"/>
                <w:color w:val="auto"/>
              </w:rPr>
            </w:pPr>
          </w:p>
        </w:tc>
        <w:tc>
          <w:tcPr>
            <w:tcW w:w="740" w:type="dxa"/>
            <w:vAlign w:val="bottom"/>
            <w:tcBorders>
              <w:top w:val="single" w:sz="8" w:color="003A70"/>
            </w:tcBorders>
          </w:tcPr>
          <w:p>
            <w:pPr>
              <w:spacing w:after="0"/>
              <w:rPr>
                <w:sz w:val="15"/>
                <w:szCs w:val="15"/>
                <w:color w:val="auto"/>
              </w:rPr>
            </w:pPr>
          </w:p>
        </w:tc>
        <w:tc>
          <w:tcPr>
            <w:tcW w:w="680" w:type="dxa"/>
            <w:vAlign w:val="bottom"/>
            <w:tcBorders>
              <w:top w:val="single" w:sz="8" w:color="003A70"/>
            </w:tcBorders>
          </w:tcPr>
          <w:p>
            <w:pPr>
              <w:spacing w:after="0"/>
              <w:rPr>
                <w:sz w:val="15"/>
                <w:szCs w:val="15"/>
                <w:color w:val="auto"/>
              </w:rPr>
            </w:pPr>
          </w:p>
        </w:tc>
        <w:tc>
          <w:tcPr>
            <w:tcW w:w="2120" w:type="dxa"/>
            <w:vAlign w:val="bottom"/>
            <w:tcBorders>
              <w:top w:val="single" w:sz="8" w:color="003A70"/>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spacing w:after="0"/>
              <w:rPr>
                <w:sz w:val="20"/>
                <w:szCs w:val="20"/>
                <w:color w:val="auto"/>
              </w:rPr>
            </w:pPr>
            <w:r>
              <w:rPr>
                <w:rFonts w:ascii="Arial" w:cs="Arial" w:eastAsia="Arial" w:hAnsi="Arial"/>
                <w:sz w:val="16"/>
                <w:szCs w:val="16"/>
                <w:color w:val="auto"/>
              </w:rPr>
              <w:t>Matthew E. Avril</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64</w:t>
            </w:r>
          </w:p>
        </w:tc>
        <w:tc>
          <w:tcPr>
            <w:tcW w:w="860" w:type="dxa"/>
            <w:vAlign w:val="bottom"/>
          </w:tcPr>
          <w:p>
            <w:pPr>
              <w:jc w:val="center"/>
              <w:spacing w:after="0"/>
              <w:rPr>
                <w:sz w:val="20"/>
                <w:szCs w:val="20"/>
                <w:color w:val="auto"/>
              </w:rPr>
            </w:pPr>
            <w:r>
              <w:rPr>
                <w:rFonts w:ascii="Arial" w:cs="Arial" w:eastAsia="Arial" w:hAnsi="Arial"/>
                <w:sz w:val="16"/>
                <w:szCs w:val="16"/>
                <w:color w:val="auto"/>
              </w:rPr>
              <w:t>2025</w:t>
            </w:r>
          </w:p>
        </w:tc>
        <w:tc>
          <w:tcPr>
            <w:tcW w:w="2440" w:type="dxa"/>
            <w:vAlign w:val="bottom"/>
          </w:tcPr>
          <w:p>
            <w:pPr>
              <w:jc w:val="center"/>
              <w:spacing w:after="0"/>
              <w:rPr>
                <w:sz w:val="20"/>
                <w:szCs w:val="20"/>
                <w:color w:val="auto"/>
              </w:rPr>
            </w:pPr>
            <w:r>
              <w:rPr>
                <w:rFonts w:ascii="Arial" w:cs="Arial" w:eastAsia="Arial" w:hAnsi="Arial"/>
                <w:sz w:val="16"/>
                <w:szCs w:val="16"/>
                <w:color w:val="auto"/>
              </w:rPr>
              <w:t>Former Chief Executive Officer,</w:t>
            </w:r>
          </w:p>
        </w:tc>
        <w:tc>
          <w:tcPr>
            <w:tcW w:w="740" w:type="dxa"/>
            <w:vAlign w:val="bottom"/>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40" w:type="dxa"/>
            <w:vAlign w:val="bottom"/>
          </w:tcPr>
          <w:p>
            <w:pPr>
              <w:jc w:val="center"/>
              <w:spacing w:after="0" w:line="121" w:lineRule="exact"/>
              <w:rPr>
                <w:sz w:val="20"/>
                <w:szCs w:val="20"/>
                <w:color w:val="auto"/>
              </w:rPr>
            </w:pPr>
            <w:r>
              <w:rPr>
                <w:rFonts w:ascii="Arial" w:cs="Arial" w:eastAsia="Arial" w:hAnsi="Arial"/>
                <w:sz w:val="13"/>
                <w:szCs w:val="13"/>
                <w:color w:val="auto"/>
              </w:rPr>
              <w:t>Diamond Resorts International,</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Inc.</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jc w:val="center"/>
              <w:spacing w:after="0" w:line="168" w:lineRule="exact"/>
              <w:rPr>
                <w:sz w:val="20"/>
                <w:szCs w:val="20"/>
                <w:color w:val="auto"/>
              </w:rPr>
            </w:pPr>
            <w:r>
              <w:rPr>
                <w:rFonts w:ascii="Arial" w:cs="Arial" w:eastAsia="Arial" w:hAnsi="Arial"/>
                <w:sz w:val="16"/>
                <w:szCs w:val="16"/>
                <w:color w:val="auto"/>
                <w:w w:val="99"/>
              </w:rPr>
              <w:t>Global Chief Digital and</w:t>
            </w:r>
          </w:p>
        </w:tc>
        <w:tc>
          <w:tcPr>
            <w:tcW w:w="740" w:type="dxa"/>
            <w:vAlign w:val="bottom"/>
            <w:vMerge w:val="restart"/>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spacing w:after="0"/>
              <w:rPr>
                <w:sz w:val="20"/>
                <w:szCs w:val="20"/>
                <w:color w:val="auto"/>
              </w:rPr>
            </w:pPr>
            <w:r>
              <w:rPr>
                <w:rFonts w:ascii="Arial" w:cs="Arial" w:eastAsia="Arial" w:hAnsi="Arial"/>
                <w:sz w:val="16"/>
                <w:szCs w:val="16"/>
                <w:color w:val="auto"/>
              </w:rPr>
              <w:t>James A. Dausch</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49</w:t>
            </w:r>
          </w:p>
        </w:tc>
        <w:tc>
          <w:tcPr>
            <w:tcW w:w="860" w:type="dxa"/>
            <w:vAlign w:val="bottom"/>
          </w:tcPr>
          <w:p>
            <w:pPr>
              <w:jc w:val="center"/>
              <w:spacing w:after="0"/>
              <w:rPr>
                <w:sz w:val="20"/>
                <w:szCs w:val="20"/>
                <w:color w:val="auto"/>
              </w:rPr>
            </w:pPr>
            <w:r>
              <w:rPr>
                <w:rFonts w:ascii="Arial" w:cs="Arial" w:eastAsia="Arial" w:hAnsi="Arial"/>
                <w:sz w:val="16"/>
                <w:szCs w:val="16"/>
                <w:color w:val="auto"/>
              </w:rPr>
              <w:t>2025</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Technology Officer, Pizza Hut at</w:t>
            </w:r>
          </w:p>
        </w:tc>
        <w:tc>
          <w:tcPr>
            <w:tcW w:w="7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Yum! Brands, Inc.</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20" w:type="dxa"/>
            <w:vAlign w:val="bottom"/>
            <w:gridSpan w:val="2"/>
          </w:tcPr>
          <w:p>
            <w:pPr>
              <w:spacing w:after="0"/>
              <w:rPr>
                <w:sz w:val="20"/>
                <w:szCs w:val="20"/>
                <w:color w:val="auto"/>
              </w:rPr>
            </w:pPr>
            <w:r>
              <w:rPr>
                <w:rFonts w:ascii="Arial" w:cs="Arial" w:eastAsia="Arial" w:hAnsi="Arial"/>
                <w:sz w:val="16"/>
                <w:szCs w:val="16"/>
                <w:color w:val="auto"/>
              </w:rPr>
              <w:t>Lizanne Galbreath</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67</w:t>
            </w:r>
          </w:p>
        </w:tc>
        <w:tc>
          <w:tcPr>
            <w:tcW w:w="860" w:type="dxa"/>
            <w:vAlign w:val="bottom"/>
          </w:tcPr>
          <w:p>
            <w:pPr>
              <w:jc w:val="center"/>
              <w:spacing w:after="0"/>
              <w:rPr>
                <w:sz w:val="20"/>
                <w:szCs w:val="20"/>
                <w:color w:val="auto"/>
              </w:rPr>
            </w:pPr>
            <w:r>
              <w:rPr>
                <w:rFonts w:ascii="Arial" w:cs="Arial" w:eastAsia="Arial" w:hAnsi="Arial"/>
                <w:sz w:val="16"/>
                <w:szCs w:val="16"/>
                <w:color w:val="auto"/>
              </w:rPr>
              <w:t>2018</w:t>
            </w:r>
          </w:p>
        </w:tc>
        <w:tc>
          <w:tcPr>
            <w:tcW w:w="2440" w:type="dxa"/>
            <w:vAlign w:val="bottom"/>
          </w:tcPr>
          <w:p>
            <w:pPr>
              <w:jc w:val="center"/>
              <w:spacing w:after="0"/>
              <w:rPr>
                <w:sz w:val="20"/>
                <w:szCs w:val="20"/>
                <w:color w:val="auto"/>
              </w:rPr>
            </w:pPr>
            <w:r>
              <w:rPr>
                <w:rFonts w:ascii="Arial" w:cs="Arial" w:eastAsia="Arial" w:hAnsi="Arial"/>
                <w:sz w:val="16"/>
                <w:szCs w:val="16"/>
                <w:color w:val="auto"/>
              </w:rPr>
              <w:t>Managing Partner, Galbreath &amp;</w:t>
            </w:r>
          </w:p>
        </w:tc>
        <w:tc>
          <w:tcPr>
            <w:tcW w:w="740" w:type="dxa"/>
            <w:vAlign w:val="bottom"/>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spacing w:after="0"/>
              <w:rPr>
                <w:sz w:val="20"/>
                <w:szCs w:val="20"/>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20" w:type="dxa"/>
            <w:vAlign w:val="bottom"/>
          </w:tcPr>
          <w:p>
            <w:pPr>
              <w:jc w:val="center"/>
              <w:ind w:left="24"/>
              <w:spacing w:after="0"/>
              <w:rPr>
                <w:sz w:val="20"/>
                <w:szCs w:val="20"/>
                <w:color w:val="auto"/>
              </w:rPr>
            </w:pPr>
            <w:r>
              <w:rPr>
                <w:rFonts w:ascii="Arial" w:cs="Arial" w:eastAsia="Arial" w:hAnsi="Arial"/>
                <w:sz w:val="16"/>
                <w:szCs w:val="16"/>
                <w:color w:val="auto"/>
              </w:rPr>
              <w:t>BGO Industrial Real Estate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color w:val="auto"/>
              </w:rPr>
              <w:t>Company</w:t>
            </w: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jc w:val="center"/>
              <w:ind w:left="24"/>
              <w:spacing w:after="0" w:line="135" w:lineRule="exact"/>
              <w:rPr>
                <w:sz w:val="20"/>
                <w:szCs w:val="20"/>
                <w:color w:val="auto"/>
              </w:rPr>
            </w:pPr>
            <w:r>
              <w:rPr>
                <w:rFonts w:ascii="Arial" w:cs="Arial" w:eastAsia="Arial" w:hAnsi="Arial"/>
                <w:sz w:val="15"/>
                <w:szCs w:val="15"/>
                <w:color w:val="auto"/>
              </w:rPr>
              <w:t>Income Trust, Inc.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jc w:val="center"/>
              <w:spacing w:after="0" w:line="168" w:lineRule="exact"/>
              <w:rPr>
                <w:sz w:val="20"/>
                <w:szCs w:val="20"/>
                <w:color w:val="auto"/>
              </w:rPr>
            </w:pPr>
            <w:r>
              <w:rPr>
                <w:rFonts w:ascii="Arial" w:cs="Arial" w:eastAsia="Arial" w:hAnsi="Arial"/>
                <w:sz w:val="16"/>
                <w:szCs w:val="16"/>
                <w:color w:val="auto"/>
              </w:rPr>
              <w:t>Former Managing Director,</w:t>
            </w:r>
          </w:p>
        </w:tc>
        <w:tc>
          <w:tcPr>
            <w:tcW w:w="740" w:type="dxa"/>
            <w:vAlign w:val="bottom"/>
            <w:vMerge w:val="restart"/>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spacing w:after="0"/>
              <w:rPr>
                <w:sz w:val="14"/>
                <w:szCs w:val="14"/>
                <w:color w:val="auto"/>
              </w:rPr>
            </w:pPr>
          </w:p>
        </w:tc>
        <w:tc>
          <w:tcPr>
            <w:tcW w:w="7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spacing w:after="0"/>
              <w:rPr>
                <w:sz w:val="20"/>
                <w:szCs w:val="20"/>
                <w:color w:val="auto"/>
              </w:rPr>
            </w:pPr>
            <w:r>
              <w:rPr>
                <w:rFonts w:ascii="Arial" w:cs="Arial" w:eastAsia="Arial" w:hAnsi="Arial"/>
                <w:sz w:val="16"/>
                <w:szCs w:val="16"/>
                <w:color w:val="auto"/>
              </w:rPr>
              <w:t>Mary E. Galligan</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62</w:t>
            </w:r>
          </w:p>
        </w:tc>
        <w:tc>
          <w:tcPr>
            <w:tcW w:w="860" w:type="dxa"/>
            <w:vAlign w:val="bottom"/>
          </w:tcPr>
          <w:p>
            <w:pPr>
              <w:jc w:val="center"/>
              <w:spacing w:after="0"/>
              <w:rPr>
                <w:sz w:val="20"/>
                <w:szCs w:val="20"/>
                <w:color w:val="auto"/>
              </w:rPr>
            </w:pPr>
            <w:r>
              <w:rPr>
                <w:rFonts w:ascii="Arial" w:cs="Arial" w:eastAsia="Arial" w:hAnsi="Arial"/>
                <w:sz w:val="16"/>
                <w:szCs w:val="16"/>
                <w:color w:val="auto"/>
              </w:rPr>
              <w:t>2024</w:t>
            </w:r>
          </w:p>
        </w:tc>
        <w:tc>
          <w:tcPr>
            <w:tcW w:w="2440" w:type="dxa"/>
            <w:vAlign w:val="bottom"/>
          </w:tcPr>
          <w:p>
            <w:pPr>
              <w:jc w:val="center"/>
              <w:spacing w:after="0"/>
              <w:rPr>
                <w:sz w:val="20"/>
                <w:szCs w:val="20"/>
                <w:color w:val="auto"/>
              </w:rPr>
            </w:pPr>
            <w:r>
              <w:rPr>
                <w:rFonts w:ascii="Arial" w:cs="Arial" w:eastAsia="Arial" w:hAnsi="Arial"/>
                <w:sz w:val="16"/>
                <w:szCs w:val="16"/>
                <w:color w:val="auto"/>
              </w:rPr>
              <w:t>Cyber and Strategic Risk</w:t>
            </w:r>
          </w:p>
        </w:tc>
        <w:tc>
          <w:tcPr>
            <w:tcW w:w="7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Practice, Deloitte</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jc w:val="center"/>
              <w:spacing w:after="0" w:line="168" w:lineRule="exact"/>
              <w:rPr>
                <w:sz w:val="20"/>
                <w:szCs w:val="20"/>
                <w:color w:val="auto"/>
              </w:rPr>
            </w:pPr>
            <w:r>
              <w:rPr>
                <w:rFonts w:ascii="Arial" w:cs="Arial" w:eastAsia="Arial" w:hAnsi="Arial"/>
                <w:sz w:val="16"/>
                <w:szCs w:val="16"/>
                <w:color w:val="auto"/>
              </w:rPr>
              <w:t>President and Chief Executive</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spacing w:after="0"/>
              <w:rPr>
                <w:sz w:val="20"/>
                <w:szCs w:val="20"/>
                <w:color w:val="auto"/>
              </w:rPr>
            </w:pPr>
            <w:r>
              <w:rPr>
                <w:rFonts w:ascii="Arial" w:cs="Arial" w:eastAsia="Arial" w:hAnsi="Arial"/>
                <w:sz w:val="16"/>
                <w:szCs w:val="16"/>
                <w:color w:val="auto"/>
              </w:rPr>
              <w:t>John E. Geller, Jr.</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58</w:t>
            </w:r>
          </w:p>
        </w:tc>
        <w:tc>
          <w:tcPr>
            <w:tcW w:w="860" w:type="dxa"/>
            <w:vAlign w:val="bottom"/>
          </w:tcPr>
          <w:p>
            <w:pPr>
              <w:jc w:val="center"/>
              <w:spacing w:after="0"/>
              <w:rPr>
                <w:sz w:val="20"/>
                <w:szCs w:val="20"/>
                <w:color w:val="auto"/>
              </w:rPr>
            </w:pPr>
            <w:r>
              <w:rPr>
                <w:rFonts w:ascii="Arial" w:cs="Arial" w:eastAsia="Arial" w:hAnsi="Arial"/>
                <w:sz w:val="16"/>
                <w:szCs w:val="16"/>
                <w:color w:val="auto"/>
              </w:rPr>
              <w:t>2023</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Officer, Marriott Vacations</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Worldwide Corporation</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Jonice M. Gray</w:t>
            </w:r>
          </w:p>
        </w:tc>
        <w:tc>
          <w:tcPr>
            <w:tcW w:w="6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50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Partner, Paul Hastings, LLP</w:t>
            </w:r>
          </w:p>
        </w:tc>
        <w:tc>
          <w:tcPr>
            <w:tcW w:w="740" w:type="dxa"/>
            <w:vAlign w:val="bottom"/>
            <w:tcBorders>
              <w:bottom w:val="single" w:sz="8" w:color="auto"/>
            </w:tcBorders>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20" w:type="dxa"/>
            <w:vAlign w:val="bottom"/>
            <w:gridSpan w:val="2"/>
          </w:tcPr>
          <w:p>
            <w:pPr>
              <w:spacing w:after="0"/>
              <w:rPr>
                <w:sz w:val="20"/>
                <w:szCs w:val="20"/>
                <w:color w:val="auto"/>
              </w:rPr>
            </w:pPr>
            <w:r>
              <w:rPr>
                <w:rFonts w:ascii="Arial" w:cs="Arial" w:eastAsia="Arial" w:hAnsi="Arial"/>
                <w:sz w:val="16"/>
                <w:szCs w:val="16"/>
                <w:color w:val="auto"/>
              </w:rPr>
              <w:t>Dianna F. Morgan</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73</w:t>
            </w:r>
          </w:p>
        </w:tc>
        <w:tc>
          <w:tcPr>
            <w:tcW w:w="860" w:type="dxa"/>
            <w:vAlign w:val="bottom"/>
          </w:tcPr>
          <w:p>
            <w:pPr>
              <w:jc w:val="center"/>
              <w:spacing w:after="0"/>
              <w:rPr>
                <w:sz w:val="20"/>
                <w:szCs w:val="20"/>
                <w:color w:val="auto"/>
              </w:rPr>
            </w:pPr>
            <w:r>
              <w:rPr>
                <w:rFonts w:ascii="Arial" w:cs="Arial" w:eastAsia="Arial" w:hAnsi="Arial"/>
                <w:sz w:val="16"/>
                <w:szCs w:val="16"/>
                <w:color w:val="auto"/>
              </w:rPr>
              <w:t>2013</w:t>
            </w:r>
          </w:p>
        </w:tc>
        <w:tc>
          <w:tcPr>
            <w:tcW w:w="2440" w:type="dxa"/>
            <w:vAlign w:val="bottom"/>
          </w:tcPr>
          <w:p>
            <w:pPr>
              <w:jc w:val="center"/>
              <w:spacing w:after="0"/>
              <w:rPr>
                <w:sz w:val="20"/>
                <w:szCs w:val="20"/>
                <w:color w:val="auto"/>
              </w:rPr>
            </w:pPr>
            <w:r>
              <w:rPr>
                <w:rFonts w:ascii="Arial" w:cs="Arial" w:eastAsia="Arial" w:hAnsi="Arial"/>
                <w:sz w:val="16"/>
                <w:szCs w:val="16"/>
                <w:color w:val="auto"/>
              </w:rPr>
              <w:t>Former Senior Vice President,</w:t>
            </w:r>
          </w:p>
        </w:tc>
        <w:tc>
          <w:tcPr>
            <w:tcW w:w="740" w:type="dxa"/>
            <w:vAlign w:val="bottom"/>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spacing w:after="0"/>
              <w:rPr>
                <w:sz w:val="20"/>
                <w:szCs w:val="20"/>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color w:val="auto"/>
              </w:rPr>
              <w:t>Walt Disney World Company</w:t>
            </w: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20" w:type="dxa"/>
            <w:vAlign w:val="bottom"/>
            <w:gridSpan w:val="2"/>
          </w:tcPr>
          <w:p>
            <w:pPr>
              <w:spacing w:after="0"/>
              <w:rPr>
                <w:sz w:val="20"/>
                <w:szCs w:val="20"/>
                <w:color w:val="auto"/>
              </w:rPr>
            </w:pPr>
            <w:r>
              <w:rPr>
                <w:rFonts w:ascii="Arial" w:cs="Arial" w:eastAsia="Arial" w:hAnsi="Arial"/>
                <w:sz w:val="16"/>
                <w:szCs w:val="16"/>
                <w:color w:val="auto"/>
              </w:rPr>
              <w:t>Stephen R. Quazzo</w:t>
            </w:r>
          </w:p>
        </w:tc>
        <w:tc>
          <w:tcPr>
            <w:tcW w:w="620" w:type="dxa"/>
            <w:vAlign w:val="bottom"/>
          </w:tcPr>
          <w:p>
            <w:pPr>
              <w:jc w:val="center"/>
              <w:ind w:left="82"/>
              <w:spacing w:after="0"/>
              <w:rPr>
                <w:sz w:val="20"/>
                <w:szCs w:val="20"/>
                <w:color w:val="auto"/>
              </w:rPr>
            </w:pPr>
            <w:r>
              <w:rPr>
                <w:rFonts w:ascii="Arial" w:cs="Arial" w:eastAsia="Arial" w:hAnsi="Arial"/>
                <w:sz w:val="16"/>
                <w:szCs w:val="16"/>
                <w:color w:val="auto"/>
              </w:rPr>
              <w:t>65</w:t>
            </w:r>
          </w:p>
        </w:tc>
        <w:tc>
          <w:tcPr>
            <w:tcW w:w="860" w:type="dxa"/>
            <w:vAlign w:val="bottom"/>
          </w:tcPr>
          <w:p>
            <w:pPr>
              <w:jc w:val="center"/>
              <w:spacing w:after="0"/>
              <w:rPr>
                <w:sz w:val="20"/>
                <w:szCs w:val="20"/>
                <w:color w:val="auto"/>
              </w:rPr>
            </w:pPr>
            <w:r>
              <w:rPr>
                <w:rFonts w:ascii="Arial" w:cs="Arial" w:eastAsia="Arial" w:hAnsi="Arial"/>
                <w:sz w:val="16"/>
                <w:szCs w:val="16"/>
                <w:color w:val="auto"/>
              </w:rPr>
              <w:t>2018</w:t>
            </w:r>
          </w:p>
        </w:tc>
        <w:tc>
          <w:tcPr>
            <w:tcW w:w="2440" w:type="dxa"/>
            <w:vAlign w:val="bottom"/>
          </w:tcPr>
          <w:p>
            <w:pPr>
              <w:jc w:val="center"/>
              <w:spacing w:after="0"/>
              <w:rPr>
                <w:sz w:val="20"/>
                <w:szCs w:val="20"/>
                <w:color w:val="auto"/>
              </w:rPr>
            </w:pPr>
            <w:r>
              <w:rPr>
                <w:rFonts w:ascii="Arial" w:cs="Arial" w:eastAsia="Arial" w:hAnsi="Arial"/>
                <w:sz w:val="16"/>
                <w:szCs w:val="16"/>
                <w:color w:val="auto"/>
              </w:rPr>
              <w:t>Chief Executive Officer,</w:t>
            </w:r>
          </w:p>
        </w:tc>
        <w:tc>
          <w:tcPr>
            <w:tcW w:w="740" w:type="dxa"/>
            <w:vAlign w:val="bottom"/>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spacing w:after="0"/>
              <w:rPr>
                <w:sz w:val="20"/>
                <w:szCs w:val="20"/>
                <w:color w:val="auto"/>
              </w:rPr>
            </w:pPr>
          </w:p>
        </w:tc>
        <w:tc>
          <w:tcPr>
            <w:tcW w:w="6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20" w:type="dxa"/>
            <w:vAlign w:val="bottom"/>
          </w:tcPr>
          <w:p>
            <w:pPr>
              <w:jc w:val="center"/>
              <w:ind w:left="24"/>
              <w:spacing w:after="0"/>
              <w:rPr>
                <w:sz w:val="20"/>
                <w:szCs w:val="20"/>
                <w:color w:val="auto"/>
              </w:rPr>
            </w:pPr>
            <w:r>
              <w:rPr>
                <w:rFonts w:ascii="Arial" w:cs="Arial" w:eastAsia="Arial" w:hAnsi="Arial"/>
                <w:sz w:val="16"/>
                <w:szCs w:val="16"/>
                <w:color w:val="auto"/>
              </w:rPr>
              <w:t>Phillips Edison &amp; Company,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Borders>
              <w:bottom w:val="single" w:sz="8" w:color="003A70"/>
            </w:tcBorders>
          </w:tcPr>
          <w:p>
            <w:pPr>
              <w:spacing w:after="0"/>
              <w:rPr>
                <w:sz w:val="11"/>
                <w:szCs w:val="11"/>
                <w:color w:val="auto"/>
              </w:rPr>
            </w:pPr>
          </w:p>
        </w:tc>
        <w:tc>
          <w:tcPr>
            <w:tcW w:w="620" w:type="dxa"/>
            <w:vAlign w:val="bottom"/>
            <w:tcBorders>
              <w:bottom w:val="single" w:sz="8" w:color="003A70"/>
            </w:tcBorders>
          </w:tcPr>
          <w:p>
            <w:pPr>
              <w:spacing w:after="0"/>
              <w:rPr>
                <w:sz w:val="11"/>
                <w:szCs w:val="11"/>
                <w:color w:val="auto"/>
              </w:rPr>
            </w:pPr>
          </w:p>
        </w:tc>
        <w:tc>
          <w:tcPr>
            <w:tcW w:w="860" w:type="dxa"/>
            <w:vAlign w:val="bottom"/>
            <w:tcBorders>
              <w:bottom w:val="single" w:sz="8" w:color="003A70"/>
            </w:tcBorders>
          </w:tcPr>
          <w:p>
            <w:pPr>
              <w:spacing w:after="0"/>
              <w:rPr>
                <w:sz w:val="11"/>
                <w:szCs w:val="11"/>
                <w:color w:val="auto"/>
              </w:rPr>
            </w:pPr>
          </w:p>
        </w:tc>
        <w:tc>
          <w:tcPr>
            <w:tcW w:w="2440" w:type="dxa"/>
            <w:vAlign w:val="bottom"/>
            <w:tcBorders>
              <w:bottom w:val="single" w:sz="8" w:color="003A70"/>
            </w:tcBorders>
          </w:tcPr>
          <w:p>
            <w:pPr>
              <w:jc w:val="center"/>
              <w:spacing w:after="0" w:line="135" w:lineRule="exact"/>
              <w:rPr>
                <w:sz w:val="20"/>
                <w:szCs w:val="20"/>
                <w:color w:val="auto"/>
              </w:rPr>
            </w:pPr>
            <w:r>
              <w:rPr>
                <w:rFonts w:ascii="Arial" w:cs="Arial" w:eastAsia="Arial" w:hAnsi="Arial"/>
                <w:sz w:val="15"/>
                <w:szCs w:val="15"/>
                <w:color w:val="auto"/>
              </w:rPr>
              <w:t>Pearlmark Real Estate, LLC</w:t>
            </w:r>
          </w:p>
        </w:tc>
        <w:tc>
          <w:tcPr>
            <w:tcW w:w="740" w:type="dxa"/>
            <w:vAlign w:val="bottom"/>
            <w:tcBorders>
              <w:bottom w:val="single" w:sz="8" w:color="003A70"/>
            </w:tcBorders>
          </w:tcPr>
          <w:p>
            <w:pPr>
              <w:spacing w:after="0"/>
              <w:rPr>
                <w:sz w:val="11"/>
                <w:szCs w:val="11"/>
                <w:color w:val="auto"/>
              </w:rPr>
            </w:pPr>
          </w:p>
        </w:tc>
        <w:tc>
          <w:tcPr>
            <w:tcW w:w="760" w:type="dxa"/>
            <w:vAlign w:val="bottom"/>
            <w:tcBorders>
              <w:bottom w:val="single" w:sz="8" w:color="003A70"/>
            </w:tcBorders>
          </w:tcPr>
          <w:p>
            <w:pPr>
              <w:spacing w:after="0"/>
              <w:rPr>
                <w:sz w:val="11"/>
                <w:szCs w:val="11"/>
                <w:color w:val="auto"/>
              </w:rPr>
            </w:pPr>
          </w:p>
        </w:tc>
        <w:tc>
          <w:tcPr>
            <w:tcW w:w="740" w:type="dxa"/>
            <w:vAlign w:val="bottom"/>
            <w:tcBorders>
              <w:bottom w:val="single" w:sz="8" w:color="003A70"/>
            </w:tcBorders>
          </w:tcPr>
          <w:p>
            <w:pPr>
              <w:spacing w:after="0"/>
              <w:rPr>
                <w:sz w:val="11"/>
                <w:szCs w:val="11"/>
                <w:color w:val="auto"/>
              </w:rPr>
            </w:pPr>
          </w:p>
        </w:tc>
        <w:tc>
          <w:tcPr>
            <w:tcW w:w="680" w:type="dxa"/>
            <w:vAlign w:val="bottom"/>
            <w:tcBorders>
              <w:bottom w:val="single" w:sz="8" w:color="003A70"/>
            </w:tcBorders>
          </w:tcPr>
          <w:p>
            <w:pPr>
              <w:spacing w:after="0"/>
              <w:rPr>
                <w:sz w:val="11"/>
                <w:szCs w:val="11"/>
                <w:color w:val="auto"/>
              </w:rPr>
            </w:pPr>
          </w:p>
        </w:tc>
        <w:tc>
          <w:tcPr>
            <w:tcW w:w="2120" w:type="dxa"/>
            <w:vAlign w:val="bottom"/>
            <w:tcBorders>
              <w:bottom w:val="single" w:sz="8" w:color="003A70"/>
            </w:tcBorders>
          </w:tcPr>
          <w:p>
            <w:pPr>
              <w:jc w:val="center"/>
              <w:ind w:left="24"/>
              <w:spacing w:after="0" w:line="135" w:lineRule="exact"/>
              <w:rPr>
                <w:sz w:val="20"/>
                <w:szCs w:val="20"/>
                <w:color w:val="auto"/>
              </w:rPr>
            </w:pPr>
            <w:r>
              <w:rPr>
                <w:rFonts w:ascii="Arial" w:cs="Arial" w:eastAsia="Arial" w:hAnsi="Arial"/>
                <w:sz w:val="15"/>
                <w:szCs w:val="15"/>
                <w:color w:val="auto"/>
              </w:rPr>
              <w:t>Inc.</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40" w:hanging="314"/>
        <w:spacing w:after="0"/>
        <w:tabs>
          <w:tab w:leader="none" w:pos="64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Age as of the date of the Annual Meeting.</w:t>
      </w:r>
    </w:p>
    <w:p>
      <w:pPr>
        <w:spacing w:after="0" w:line="30" w:lineRule="exact"/>
        <w:rPr>
          <w:sz w:val="20"/>
          <w:szCs w:val="20"/>
          <w:color w:val="auto"/>
        </w:rPr>
      </w:pPr>
    </w:p>
    <w:p>
      <w:pPr>
        <w:ind w:left="640" w:hanging="314"/>
        <w:spacing w:after="0"/>
        <w:tabs>
          <w:tab w:leader="none" w:pos="6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Audit Committee (“AC”), Compensation Policy Committee (“CPC”), Nominating and Corporate Governance Committee (“NCG”)</w:t>
      </w:r>
    </w:p>
    <w:p>
      <w:pPr>
        <w:spacing w:after="0" w:line="304" w:lineRule="exact"/>
        <w:rPr>
          <w:sz w:val="20"/>
          <w:szCs w:val="20"/>
          <w:color w:val="auto"/>
        </w:rPr>
      </w:pPr>
    </w:p>
    <w:p>
      <w:pPr>
        <w:ind w:left="140"/>
        <w:spacing w:after="0"/>
        <w:tabs>
          <w:tab w:leader="none" w:pos="5240" w:val="left"/>
          <w:tab w:leader="none" w:pos="110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65"/>
          <w:szCs w:val="65"/>
          <w:color w:val="003A70"/>
        </w:rPr>
        <w:t>PROXY STATEMENT</w:t>
      </w:r>
    </w:p>
    <w:p>
      <w:pPr>
        <w:spacing w:after="0" w:line="200" w:lineRule="exact"/>
        <w:rPr>
          <w:sz w:val="20"/>
          <w:szCs w:val="20"/>
          <w:color w:val="auto"/>
        </w:rPr>
      </w:pPr>
    </w:p>
    <w:p>
      <w:pPr>
        <w:spacing w:after="0" w:line="265" w:lineRule="exact"/>
        <w:rPr>
          <w:sz w:val="20"/>
          <w:szCs w:val="20"/>
          <w:color w:val="auto"/>
        </w:rPr>
      </w:pPr>
    </w:p>
    <w:p>
      <w:pPr>
        <w:ind w:left="140" w:right="40"/>
        <w:spacing w:after="0" w:line="258" w:lineRule="auto"/>
        <w:rPr>
          <w:sz w:val="20"/>
          <w:szCs w:val="20"/>
          <w:color w:val="auto"/>
        </w:rPr>
      </w:pPr>
      <w:r>
        <w:rPr>
          <w:rFonts w:ascii="Arial" w:cs="Arial" w:eastAsia="Arial" w:hAnsi="Arial"/>
          <w:sz w:val="16"/>
          <w:szCs w:val="16"/>
          <w:color w:val="auto"/>
        </w:rPr>
        <w:t>The Board of Directors (the “Board”) of Marriott Vacations Worldwide Corporation (“we,” “us,” “Marriott Vacations Worldwide,” “MVW” or the “Company”) is soliciting stockholders’ proxies in connection with the 2025 Annual Meeting of Stockholders of the Company, and at any adjournment or postponement thereof (the “Annual Meeting”). The mailing to stockholders of the Notice Regarding the Availability of Proxy Materials (the “Notice”) will take place on or about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138430</wp:posOffset>
            </wp:positionV>
            <wp:extent cx="4894580" cy="803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94580" cy="803275"/>
                    </a:xfrm>
                    <a:prstGeom prst="rect">
                      <a:avLst/>
                    </a:prstGeom>
                    <a:noFill/>
                  </pic:spPr>
                </pic:pic>
              </a:graphicData>
            </a:graphic>
          </wp:anchor>
        </w:drawing>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IMPORTANT NOTICE REGARDING THE AVAILABILITY OF PROXY MATERIALS FOR THE</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ANNUAL MEETING OF STOCKHOLDERS TO BE HELD ON MAY 13, 2025</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The Notice of Annual Meeting and Proxy Statement and our</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03A70"/>
        </w:rPr>
        <w:t>2024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right="3120"/>
        <w:spacing w:after="0" w:line="290" w:lineRule="auto"/>
        <w:rPr>
          <w:sz w:val="20"/>
          <w:szCs w:val="20"/>
          <w:color w:val="auto"/>
        </w:rPr>
      </w:pPr>
      <w:r>
        <w:rPr>
          <w:rFonts w:ascii="Arial" w:cs="Arial" w:eastAsia="Arial" w:hAnsi="Arial"/>
          <w:sz w:val="53"/>
          <w:szCs w:val="53"/>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-897255</wp:posOffset>
            </wp:positionV>
            <wp:extent cx="85725" cy="828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5"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Why am I receiving these materials?</w:t>
      </w:r>
    </w:p>
    <w:p>
      <w:pPr>
        <w:spacing w:after="0" w:line="178" w:lineRule="exact"/>
        <w:rPr>
          <w:sz w:val="20"/>
          <w:szCs w:val="20"/>
          <w:color w:val="auto"/>
        </w:rPr>
      </w:pPr>
    </w:p>
    <w:p>
      <w:pPr>
        <w:ind w:left="140" w:right="20"/>
        <w:spacing w:after="0" w:line="256" w:lineRule="auto"/>
        <w:rPr>
          <w:sz w:val="20"/>
          <w:szCs w:val="20"/>
          <w:color w:val="auto"/>
        </w:rPr>
      </w:pPr>
      <w:r>
        <w:rPr>
          <w:rFonts w:ascii="Arial" w:cs="Arial" w:eastAsia="Arial" w:hAnsi="Arial"/>
          <w:sz w:val="16"/>
          <w:szCs w:val="16"/>
          <w:color w:val="auto"/>
        </w:rPr>
        <w:t>Marriott Vacations Worldwide has made these materials available to you on the Internet or has delivered printed versions of these materials to you by mail in connection with the solicitation of proxies on behalf of the Board for use at our Annual Meeting. This Proxy Statement describes the matters on which you, as a stockholder, are entitled to vote. It also gives you information on these matters so that you can make an informed decision.</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How do I attend the virtual Annual Meeting?</w:t>
      </w:r>
    </w:p>
    <w:p>
      <w:pPr>
        <w:spacing w:after="0" w:line="83" w:lineRule="exact"/>
        <w:rPr>
          <w:sz w:val="20"/>
          <w:szCs w:val="20"/>
          <w:color w:val="auto"/>
        </w:rPr>
      </w:pPr>
    </w:p>
    <w:p>
      <w:pPr>
        <w:ind w:left="140" w:right="360"/>
        <w:spacing w:after="0" w:line="284" w:lineRule="auto"/>
        <w:rPr>
          <w:sz w:val="20"/>
          <w:szCs w:val="20"/>
          <w:color w:val="auto"/>
        </w:rPr>
      </w:pPr>
      <w:r>
        <w:rPr>
          <w:rFonts w:ascii="Arial" w:cs="Arial" w:eastAsia="Arial" w:hAnsi="Arial"/>
          <w:sz w:val="16"/>
          <w:szCs w:val="16"/>
          <w:color w:val="auto"/>
        </w:rPr>
        <w:t>You may attend the Annual Meeting online, including to vote, by logging in at www.virtualshareholdermeeting.com/VAC2025. The Annual Meeting will begin at approximately 9:00 a.m., Eastern Time, with log-in beginning at 8:45 a.m. on Tuesday, May 13, 2025.</w:t>
      </w:r>
    </w:p>
    <w:p>
      <w:pPr>
        <w:spacing w:after="0" w:line="49" w:lineRule="exact"/>
        <w:rPr>
          <w:sz w:val="20"/>
          <w:szCs w:val="20"/>
          <w:color w:val="auto"/>
        </w:rPr>
      </w:pPr>
    </w:p>
    <w:p>
      <w:pPr>
        <w:ind w:left="140" w:right="180"/>
        <w:spacing w:after="0" w:line="262" w:lineRule="auto"/>
        <w:rPr>
          <w:sz w:val="20"/>
          <w:szCs w:val="20"/>
          <w:color w:val="auto"/>
        </w:rPr>
      </w:pPr>
      <w:r>
        <w:rPr>
          <w:rFonts w:ascii="Arial" w:cs="Arial" w:eastAsia="Arial" w:hAnsi="Arial"/>
          <w:sz w:val="16"/>
          <w:szCs w:val="16"/>
          <w:color w:val="auto"/>
        </w:rPr>
        <w:t>You may attend and vote during the Annual Meeting via the Internet at www.virtualshareholdermeeting.com/VAC2025. You may also attend the meeting by proxy. You may submit questions in advance of the meeting at www.proxyvote.com.</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How do I gain admission to the virtual Annual Meeting?</w:t>
      </w:r>
    </w:p>
    <w:p>
      <w:pPr>
        <w:spacing w:after="0" w:line="82" w:lineRule="exact"/>
        <w:rPr>
          <w:sz w:val="20"/>
          <w:szCs w:val="20"/>
          <w:color w:val="auto"/>
        </w:rPr>
      </w:pPr>
    </w:p>
    <w:p>
      <w:pPr>
        <w:jc w:val="both"/>
        <w:ind w:left="140" w:right="20"/>
        <w:spacing w:after="0" w:line="265" w:lineRule="auto"/>
        <w:rPr>
          <w:sz w:val="20"/>
          <w:szCs w:val="20"/>
          <w:color w:val="auto"/>
        </w:rPr>
      </w:pPr>
      <w:r>
        <w:rPr>
          <w:rFonts w:ascii="Arial" w:cs="Arial" w:eastAsia="Arial" w:hAnsi="Arial"/>
          <w:sz w:val="16"/>
          <w:szCs w:val="16"/>
          <w:color w:val="auto"/>
        </w:rPr>
        <w:t>You are entitled to participate in the virtual Annual Meeting only if you were a stockholder of record who owned the Company’s common stock at the close of business on March 14, 2025. Each holder of record is entitled to one vote per share. There were 34,563,443 shares of common stock outstanding and entitled to vote on March 14, 2025.</w:t>
      </w:r>
    </w:p>
    <w:p>
      <w:pPr>
        <w:spacing w:after="0" w:line="63" w:lineRule="exact"/>
        <w:rPr>
          <w:sz w:val="20"/>
          <w:szCs w:val="20"/>
          <w:color w:val="auto"/>
        </w:rPr>
      </w:pPr>
    </w:p>
    <w:p>
      <w:pPr>
        <w:ind w:left="140" w:right="140"/>
        <w:spacing w:after="0" w:line="258" w:lineRule="auto"/>
        <w:rPr>
          <w:sz w:val="20"/>
          <w:szCs w:val="20"/>
          <w:color w:val="auto"/>
        </w:rPr>
      </w:pPr>
      <w:r>
        <w:rPr>
          <w:rFonts w:ascii="Arial" w:cs="Arial" w:eastAsia="Arial" w:hAnsi="Arial"/>
          <w:sz w:val="16"/>
          <w:szCs w:val="16"/>
          <w:color w:val="auto"/>
        </w:rPr>
        <w:t>To attend online and participate in the Annual Meeting, stockholders of record will need to use their control number on their Notice or proxy card to log into www.virtualshareholdermeeting.com/VAC2025;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70" w:lineRule="exact"/>
        <w:rPr>
          <w:sz w:val="20"/>
          <w:szCs w:val="20"/>
          <w:color w:val="auto"/>
        </w:rPr>
      </w:pPr>
    </w:p>
    <w:p>
      <w:pPr>
        <w:jc w:val="both"/>
        <w:ind w:left="140" w:right="140"/>
        <w:spacing w:after="0" w:line="256" w:lineRule="auto"/>
        <w:rPr>
          <w:sz w:val="20"/>
          <w:szCs w:val="20"/>
          <w:color w:val="auto"/>
        </w:rPr>
      </w:pPr>
      <w:r>
        <w:rPr>
          <w:rFonts w:ascii="Arial" w:cs="Arial" w:eastAsia="Arial" w:hAnsi="Arial"/>
          <w:sz w:val="16"/>
          <w:szCs w:val="16"/>
          <w:color w:val="auto"/>
        </w:rPr>
        <w:t>We encourage you to access the meeting prior to the start time. Please allow time for online check-in, which will begin at 8:45 a.m. Eastern Time. If you encounter any difficulties accessing the Annual Meeting during the check-in or meeting time, please call the technical support number that will be posted on the virtual Annual Meeting landing page at www.virtualshareholdermeeting.com/VAC2025.</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How do I ask questions?</w:t>
      </w:r>
    </w:p>
    <w:p>
      <w:pPr>
        <w:spacing w:after="0" w:line="83" w:lineRule="exact"/>
        <w:rPr>
          <w:sz w:val="20"/>
          <w:szCs w:val="20"/>
          <w:color w:val="auto"/>
        </w:rPr>
      </w:pPr>
    </w:p>
    <w:p>
      <w:pPr>
        <w:ind w:left="140" w:right="80"/>
        <w:spacing w:after="0" w:line="253" w:lineRule="auto"/>
        <w:rPr>
          <w:sz w:val="20"/>
          <w:szCs w:val="20"/>
          <w:color w:val="auto"/>
        </w:rPr>
      </w:pPr>
      <w:r>
        <w:rPr>
          <w:rFonts w:ascii="Arial" w:cs="Arial" w:eastAsia="Arial" w:hAnsi="Arial"/>
          <w:sz w:val="16"/>
          <w:szCs w:val="16"/>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addressed and disclosed, will be available in the Annual Meeting Rules of Conduct, which will be posted at the virtual Annual Meeting website during the Annual Meeting.</w:t>
      </w:r>
    </w:p>
    <w:p>
      <w:pPr>
        <w:sectPr>
          <w:pgSz w:w="11900" w:h="16838" w:orient="portrait"/>
          <w:cols w:equalWidth="0" w:num="1">
            <w:col w:w="11120"/>
          </w:cols>
          <w:pgMar w:left="320" w:top="480" w:right="459" w:bottom="1440" w:gutter="0" w:footer="0" w:header="0"/>
        </w:sectPr>
      </w:pPr>
    </w:p>
    <w:p>
      <w:pPr>
        <w:spacing w:after="0" w:line="115" w:lineRule="exact"/>
        <w:rPr>
          <w:sz w:val="20"/>
          <w:szCs w:val="20"/>
          <w:color w:val="auto"/>
        </w:rPr>
      </w:pPr>
    </w:p>
    <w:p>
      <w:pPr>
        <w:ind w:left="140"/>
        <w:spacing w:after="0"/>
        <w:tabs>
          <w:tab w:leader="none" w:pos="4600" w:val="left"/>
          <w:tab w:leader="none" w:pos="7820" w:val="left"/>
        </w:tabs>
        <w:rPr>
          <w:sz w:val="20"/>
          <w:szCs w:val="20"/>
          <w:color w:val="auto"/>
        </w:rPr>
      </w:pPr>
      <w:r>
        <w:rPr>
          <w:rFonts w:ascii="Arial" w:cs="Arial" w:eastAsia="Arial" w:hAnsi="Arial"/>
          <w:sz w:val="11"/>
          <w:szCs w:val="11"/>
          <w:b w:val="1"/>
          <w:bCs w:val="1"/>
          <w:color w:val="003A70"/>
        </w:rPr>
        <w:t>4</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Why did I receive a one-page notice in the mail regarding the Internet availability of proxy materials instead of printed proxy materials?</w:t>
      </w:r>
    </w:p>
    <w:p>
      <w:pPr>
        <w:spacing w:after="0" w:line="124" w:lineRule="exact"/>
        <w:rPr>
          <w:sz w:val="20"/>
          <w:szCs w:val="20"/>
          <w:color w:val="auto"/>
        </w:rPr>
      </w:pPr>
    </w:p>
    <w:p>
      <w:pPr>
        <w:ind w:left="140" w:right="120"/>
        <w:spacing w:after="0" w:line="254" w:lineRule="auto"/>
        <w:rPr>
          <w:sz w:val="20"/>
          <w:szCs w:val="20"/>
          <w:color w:val="auto"/>
        </w:rPr>
      </w:pPr>
      <w:r>
        <w:rPr>
          <w:rFonts w:ascii="Arial" w:cs="Arial" w:eastAsia="Arial" w:hAnsi="Arial"/>
          <w:sz w:val="16"/>
          <w:szCs w:val="16"/>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the website referred to in the Notice and request a printed set of proxy materials.</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Can I get electronic access to the proxy materials if I received printed materials?</w:t>
      </w:r>
    </w:p>
    <w:p>
      <w:pPr>
        <w:spacing w:after="0" w:line="81" w:lineRule="exact"/>
        <w:rPr>
          <w:sz w:val="20"/>
          <w:szCs w:val="20"/>
          <w:color w:val="auto"/>
        </w:rPr>
      </w:pPr>
    </w:p>
    <w:p>
      <w:pPr>
        <w:ind w:left="140" w:right="60"/>
        <w:spacing w:after="0" w:line="252" w:lineRule="auto"/>
        <w:rPr>
          <w:sz w:val="20"/>
          <w:szCs w:val="20"/>
          <w:color w:val="auto"/>
        </w:rPr>
      </w:pPr>
      <w:r>
        <w:rPr>
          <w:rFonts w:ascii="Arial" w:cs="Arial" w:eastAsia="Arial" w:hAnsi="Arial"/>
          <w:sz w:val="16"/>
          <w:szCs w:val="16"/>
          <w:color w:val="auto"/>
        </w:rPr>
        <w:t>If you received a printed copy of our proxy materials, you can also view the proxy materials for the meeting electronically at proxyvote.com. You may also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What items will be voted on at the Annual Meeting?</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Stockholders will vote on the following items at the Annual Meeting, if each is properly presented at the meeting:</w:t>
      </w:r>
    </w:p>
    <w:p>
      <w:pPr>
        <w:spacing w:after="0" w:line="125" w:lineRule="exact"/>
        <w:rPr>
          <w:sz w:val="20"/>
          <w:szCs w:val="20"/>
          <w:color w:val="auto"/>
        </w:rPr>
      </w:pPr>
    </w:p>
    <w:p>
      <w:pPr>
        <w:ind w:left="560" w:hanging="209"/>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Election of the eight director nominees named in this Proxy Statement;</w:t>
      </w:r>
    </w:p>
    <w:p>
      <w:pPr>
        <w:spacing w:after="0" w:line="125" w:lineRule="exact"/>
        <w:rPr>
          <w:rFonts w:ascii="Arial" w:cs="Arial" w:eastAsia="Arial" w:hAnsi="Arial"/>
          <w:sz w:val="16"/>
          <w:szCs w:val="16"/>
          <w:color w:val="auto"/>
        </w:rPr>
      </w:pPr>
    </w:p>
    <w:p>
      <w:pPr>
        <w:ind w:left="560" w:right="20" w:hanging="209"/>
        <w:spacing w:after="0" w:line="284"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(“Ernst &amp; Young”) as the Company’s independent registered public accounting firm for its 2025 fiscal year;</w:t>
      </w:r>
    </w:p>
    <w:p>
      <w:pPr>
        <w:spacing w:after="0" w:line="62" w:lineRule="exact"/>
        <w:rPr>
          <w:rFonts w:ascii="Arial" w:cs="Arial" w:eastAsia="Arial" w:hAnsi="Arial"/>
          <w:sz w:val="16"/>
          <w:szCs w:val="16"/>
          <w:color w:val="auto"/>
        </w:rPr>
      </w:pPr>
    </w:p>
    <w:p>
      <w:pPr>
        <w:ind w:left="560" w:hanging="209"/>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125" w:lineRule="exact"/>
        <w:rPr>
          <w:rFonts w:ascii="Arial" w:cs="Arial" w:eastAsia="Arial" w:hAnsi="Arial"/>
          <w:sz w:val="16"/>
          <w:szCs w:val="16"/>
          <w:color w:val="auto"/>
        </w:rPr>
      </w:pPr>
    </w:p>
    <w:p>
      <w:pPr>
        <w:ind w:left="560" w:hanging="209"/>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Advisory vote on the frequency of future advisory votes on executive compensation; and</w:t>
      </w:r>
    </w:p>
    <w:p>
      <w:pPr>
        <w:spacing w:after="0" w:line="125" w:lineRule="exact"/>
        <w:rPr>
          <w:rFonts w:ascii="Arial" w:cs="Arial" w:eastAsia="Arial" w:hAnsi="Arial"/>
          <w:sz w:val="16"/>
          <w:szCs w:val="16"/>
          <w:color w:val="auto"/>
        </w:rPr>
      </w:pPr>
    </w:p>
    <w:p>
      <w:pPr>
        <w:ind w:left="560" w:hanging="209"/>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matters that may properly be presented at the meeting.</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addition, management will respond to appropriate questions from stockholders submitted in advance of the meeting.</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What are the Board’s voting recommendations?</w:t>
      </w:r>
    </w:p>
    <w:p>
      <w:pPr>
        <w:spacing w:after="0" w:line="82" w:lineRule="exact"/>
        <w:rPr>
          <w:sz w:val="20"/>
          <w:szCs w:val="20"/>
          <w:color w:val="auto"/>
        </w:rPr>
      </w:pPr>
    </w:p>
    <w:p>
      <w:pPr>
        <w:ind w:left="140" w:right="300"/>
        <w:spacing w:after="0" w:line="267" w:lineRule="auto"/>
        <w:rPr>
          <w:sz w:val="20"/>
          <w:szCs w:val="20"/>
          <w:color w:val="auto"/>
        </w:rPr>
      </w:pPr>
      <w:r>
        <w:rPr>
          <w:rFonts w:ascii="Arial" w:cs="Arial" w:eastAsia="Arial" w:hAnsi="Arial"/>
          <w:sz w:val="16"/>
          <w:szCs w:val="16"/>
          <w:color w:val="auto"/>
        </w:rPr>
        <w:t xml:space="preserve">The Board’s recommendation is set forth together with the description of each Item in this Proxy Statement.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nominee for director in Item 1, </w:t>
      </w:r>
      <w:r>
        <w:rPr>
          <w:rFonts w:ascii="Arial" w:cs="Arial" w:eastAsia="Arial" w:hAnsi="Arial"/>
          <w:sz w:val="16"/>
          <w:szCs w:val="16"/>
          <w:b w:val="1"/>
          <w:bCs w:val="1"/>
          <w:color w:val="auto"/>
        </w:rPr>
        <w:t>FOR</w:t>
      </w:r>
      <w:r>
        <w:rPr>
          <w:rFonts w:ascii="Arial" w:cs="Arial" w:eastAsia="Arial" w:hAnsi="Arial"/>
          <w:sz w:val="16"/>
          <w:szCs w:val="16"/>
          <w:color w:val="auto"/>
        </w:rPr>
        <w:t xml:space="preserve"> Items 2 and 3, and </w:t>
      </w:r>
      <w:r>
        <w:rPr>
          <w:rFonts w:ascii="Arial" w:cs="Arial" w:eastAsia="Arial" w:hAnsi="Arial"/>
          <w:sz w:val="16"/>
          <w:szCs w:val="16"/>
          <w:b w:val="1"/>
          <w:bCs w:val="1"/>
          <w:color w:val="auto"/>
        </w:rPr>
        <w:t>ONE Year</w:t>
      </w:r>
      <w:r>
        <w:rPr>
          <w:rFonts w:ascii="Arial" w:cs="Arial" w:eastAsia="Arial" w:hAnsi="Arial"/>
          <w:sz w:val="16"/>
          <w:szCs w:val="16"/>
          <w:color w:val="auto"/>
        </w:rPr>
        <w:t xml:space="preserve"> on Item 4.</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What is the difference between being a record holder and a beneficial owner of shares held in street name?</w:t>
      </w:r>
    </w:p>
    <w:p>
      <w:pPr>
        <w:spacing w:after="0" w:line="81" w:lineRule="exact"/>
        <w:rPr>
          <w:sz w:val="20"/>
          <w:szCs w:val="20"/>
          <w:color w:val="auto"/>
        </w:rPr>
      </w:pPr>
    </w:p>
    <w:p>
      <w:pPr>
        <w:ind w:left="140" w:right="140"/>
        <w:spacing w:after="0" w:line="254" w:lineRule="auto"/>
        <w:rPr>
          <w:sz w:val="20"/>
          <w:szCs w:val="20"/>
          <w:color w:val="auto"/>
        </w:rPr>
      </w:pPr>
      <w:r>
        <w:rPr>
          <w:rFonts w:ascii="Arial" w:cs="Arial" w:eastAsia="Arial" w:hAnsi="Arial"/>
          <w:sz w:val="16"/>
          <w:szCs w:val="16"/>
          <w:color w:val="auto"/>
        </w:rPr>
        <w:t>A record holder holds shares directly in his, her or its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tbl>
      <w:tblPr>
        <w:tblLayout w:type="fixed"/>
        <w:tblInd w:w="140" w:type="dxa"/>
        <w:tblCellMar>
          <w:top w:w="0" w:type="dxa"/>
          <w:left w:w="0" w:type="dxa"/>
          <w:bottom w:w="0" w:type="dxa"/>
          <w:right w:w="0" w:type="dxa"/>
        </w:tblCellMar>
      </w:tblPr>
      <w:tr>
        <w:trPr>
          <w:trHeight w:val="633"/>
        </w:trPr>
        <w:tc>
          <w:tcPr>
            <w:tcW w:w="2440" w:type="dxa"/>
            <w:vAlign w:val="bottom"/>
          </w:tcPr>
          <w:p>
            <w:pPr>
              <w:spacing w:after="0"/>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 xml:space="preserve">  How do I vote?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93"/>
        </w:trPr>
        <w:tc>
          <w:tcPr>
            <w:tcW w:w="2440" w:type="dxa"/>
            <w:vAlign w:val="bottom"/>
          </w:tcPr>
          <w:p>
            <w:pPr>
              <w:ind w:left="640"/>
              <w:spacing w:after="0"/>
              <w:rPr>
                <w:sz w:val="20"/>
                <w:szCs w:val="20"/>
                <w:color w:val="auto"/>
              </w:rPr>
            </w:pPr>
            <w:r>
              <w:rPr>
                <w:rFonts w:ascii="Arial" w:cs="Arial" w:eastAsia="Arial" w:hAnsi="Arial"/>
                <w:sz w:val="16"/>
                <w:szCs w:val="16"/>
                <w:b w:val="1"/>
                <w:bCs w:val="1"/>
                <w:color w:val="003A70"/>
              </w:rPr>
              <w:t xml:space="preserve">BY TELEPHONE  </w:t>
            </w:r>
            <w:r>
              <w:rPr>
                <w:rFonts w:ascii="Arial" w:cs="Arial" w:eastAsia="Arial" w:hAnsi="Arial"/>
                <w:sz w:val="16"/>
                <w:szCs w:val="16"/>
                <w:color w:val="000000"/>
              </w:rPr>
              <w:t>  </w:t>
            </w:r>
          </w:p>
        </w:tc>
        <w:tc>
          <w:tcPr>
            <w:tcW w:w="1720" w:type="dxa"/>
            <w:vAlign w:val="bottom"/>
          </w:tcPr>
          <w:p>
            <w:pPr>
              <w:ind w:left="300"/>
              <w:spacing w:after="0"/>
              <w:rPr>
                <w:sz w:val="20"/>
                <w:szCs w:val="20"/>
                <w:color w:val="auto"/>
              </w:rPr>
            </w:pPr>
            <w:r>
              <w:rPr>
                <w:rFonts w:ascii="Arial" w:cs="Arial" w:eastAsia="Arial" w:hAnsi="Arial"/>
                <w:sz w:val="16"/>
                <w:szCs w:val="16"/>
                <w:b w:val="1"/>
                <w:bCs w:val="1"/>
                <w:color w:val="003A70"/>
              </w:rPr>
              <w:t>BY INTERNET</w:t>
            </w: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2960" w:type="dxa"/>
            <w:vAlign w:val="bottom"/>
          </w:tcPr>
          <w:p>
            <w:pPr>
              <w:ind w:left="300"/>
              <w:spacing w:after="0"/>
              <w:rPr>
                <w:sz w:val="20"/>
                <w:szCs w:val="20"/>
                <w:color w:val="auto"/>
              </w:rPr>
            </w:pPr>
            <w:r>
              <w:rPr>
                <w:rFonts w:ascii="Arial" w:cs="Arial" w:eastAsia="Arial" w:hAnsi="Arial"/>
                <w:sz w:val="16"/>
                <w:szCs w:val="16"/>
                <w:b w:val="1"/>
                <w:bCs w:val="1"/>
                <w:color w:val="003A70"/>
              </w:rPr>
              <w:t>BY MAIL</w:t>
            </w:r>
          </w:p>
        </w:tc>
        <w:tc>
          <w:tcPr>
            <w:tcW w:w="440" w:type="dxa"/>
            <w:vAlign w:val="bottom"/>
          </w:tcPr>
          <w:p>
            <w:pPr>
              <w:ind w:left="60"/>
              <w:spacing w:after="0"/>
              <w:rPr>
                <w:sz w:val="20"/>
                <w:szCs w:val="20"/>
                <w:color w:val="auto"/>
              </w:rPr>
            </w:pPr>
            <w:r>
              <w:rPr>
                <w:rFonts w:ascii="Arial" w:cs="Arial" w:eastAsia="Arial" w:hAnsi="Arial"/>
                <w:sz w:val="16"/>
                <w:szCs w:val="16"/>
                <w:color w:val="auto"/>
              </w:rPr>
              <w:t> </w:t>
            </w:r>
          </w:p>
        </w:tc>
        <w:tc>
          <w:tcPr>
            <w:tcW w:w="2820" w:type="dxa"/>
            <w:vAlign w:val="bottom"/>
          </w:tcPr>
          <w:p>
            <w:pPr>
              <w:ind w:left="340"/>
              <w:spacing w:after="0"/>
              <w:rPr>
                <w:sz w:val="20"/>
                <w:szCs w:val="20"/>
                <w:color w:val="auto"/>
              </w:rPr>
            </w:pPr>
            <w:r>
              <w:rPr>
                <w:rFonts w:ascii="Arial" w:cs="Arial" w:eastAsia="Arial" w:hAnsi="Arial"/>
                <w:sz w:val="16"/>
                <w:szCs w:val="16"/>
                <w:b w:val="1"/>
                <w:bCs w:val="1"/>
                <w:color w:val="003A70"/>
              </w:rPr>
              <w:t>AT THE VIRTUAL MEETING</w:t>
            </w:r>
          </w:p>
        </w:tc>
      </w:tr>
      <w:tr>
        <w:trPr>
          <w:trHeight w:val="161"/>
        </w:trPr>
        <w:tc>
          <w:tcPr>
            <w:tcW w:w="2440" w:type="dxa"/>
            <w:vAlign w:val="bottom"/>
          </w:tcPr>
          <w:p>
            <w:pPr>
              <w:ind w:left="640"/>
              <w:spacing w:after="0"/>
              <w:rPr>
                <w:sz w:val="20"/>
                <w:szCs w:val="20"/>
                <w:color w:val="auto"/>
              </w:rPr>
            </w:pPr>
            <w:r>
              <w:rPr>
                <w:rFonts w:ascii="Arial" w:cs="Arial" w:eastAsia="Arial" w:hAnsi="Arial"/>
                <w:sz w:val="14"/>
                <w:szCs w:val="14"/>
                <w:color w:val="auto"/>
              </w:rPr>
              <w:t>800-690-6903</w:t>
            </w:r>
          </w:p>
        </w:tc>
        <w:tc>
          <w:tcPr>
            <w:tcW w:w="1720" w:type="dxa"/>
            <w:vAlign w:val="bottom"/>
          </w:tcPr>
          <w:p>
            <w:pPr>
              <w:ind w:left="300"/>
              <w:spacing w:after="0"/>
              <w:rPr>
                <w:sz w:val="20"/>
                <w:szCs w:val="20"/>
                <w:color w:val="auto"/>
              </w:rPr>
            </w:pPr>
            <w:r>
              <w:rPr>
                <w:rFonts w:ascii="Arial" w:cs="Arial" w:eastAsia="Arial" w:hAnsi="Arial"/>
                <w:sz w:val="14"/>
                <w:szCs w:val="14"/>
                <w:color w:val="auto"/>
              </w:rPr>
              <w:t>www.proxyvote.com</w:t>
            </w:r>
          </w:p>
        </w:tc>
        <w:tc>
          <w:tcPr>
            <w:tcW w:w="56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Arial" w:cs="Arial" w:eastAsia="Arial" w:hAnsi="Arial"/>
                <w:sz w:val="14"/>
                <w:szCs w:val="14"/>
                <w:color w:val="auto"/>
              </w:rPr>
              <w:t>completing and returning your proxy card</w:t>
            </w:r>
          </w:p>
        </w:tc>
        <w:tc>
          <w:tcPr>
            <w:tcW w:w="440" w:type="dxa"/>
            <w:vAlign w:val="bottom"/>
          </w:tcPr>
          <w:p>
            <w:pPr>
              <w:spacing w:after="0"/>
              <w:rPr>
                <w:sz w:val="14"/>
                <w:szCs w:val="14"/>
                <w:color w:val="auto"/>
              </w:rPr>
            </w:pPr>
          </w:p>
        </w:tc>
        <w:tc>
          <w:tcPr>
            <w:tcW w:w="2820" w:type="dxa"/>
            <w:vAlign w:val="bottom"/>
          </w:tcPr>
          <w:p>
            <w:pPr>
              <w:ind w:left="340"/>
              <w:spacing w:after="0"/>
              <w:rPr>
                <w:sz w:val="20"/>
                <w:szCs w:val="20"/>
                <w:color w:val="auto"/>
              </w:rPr>
            </w:pPr>
            <w:r>
              <w:rPr>
                <w:rFonts w:ascii="Arial" w:cs="Arial" w:eastAsia="Arial" w:hAnsi="Arial"/>
                <w:sz w:val="14"/>
                <w:szCs w:val="14"/>
                <w:color w:val="auto"/>
              </w:rPr>
              <w:t>by electronic vote at the virtual meeting</w:t>
            </w:r>
          </w:p>
        </w:tc>
      </w:tr>
      <w:tr>
        <w:trPr>
          <w:trHeight w:val="190"/>
        </w:trPr>
        <w:tc>
          <w:tcPr>
            <w:tcW w:w="2440" w:type="dxa"/>
            <w:vAlign w:val="bottom"/>
          </w:tcPr>
          <w:p>
            <w:pPr>
              <w:ind w:left="640"/>
              <w:spacing w:after="0"/>
              <w:rPr>
                <w:sz w:val="20"/>
                <w:szCs w:val="20"/>
                <w:color w:val="auto"/>
              </w:rPr>
            </w:pPr>
            <w:r>
              <w:rPr>
                <w:rFonts w:ascii="Arial" w:cs="Arial" w:eastAsia="Arial" w:hAnsi="Arial"/>
                <w:sz w:val="14"/>
                <w:szCs w:val="14"/>
                <w:color w:val="auto"/>
              </w:rPr>
              <w:t>(record holders)</w:t>
            </w:r>
          </w:p>
        </w:tc>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-335915</wp:posOffset>
            </wp:positionV>
            <wp:extent cx="341630" cy="341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630" cy="34163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-216535</wp:posOffset>
            </wp:positionV>
            <wp:extent cx="341630" cy="341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630" cy="34163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-216535</wp:posOffset>
            </wp:positionV>
            <wp:extent cx="341630" cy="341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630" cy="34163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-216535</wp:posOffset>
            </wp:positionV>
            <wp:extent cx="341630" cy="341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630" cy="34163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of or during the Annual Meeting.</w:t>
      </w:r>
    </w:p>
    <w:p>
      <w:pPr>
        <w:spacing w:after="0" w:line="70" w:lineRule="exact"/>
        <w:rPr>
          <w:sz w:val="20"/>
          <w:szCs w:val="20"/>
          <w:color w:val="auto"/>
        </w:rPr>
      </w:pPr>
    </w:p>
    <w:p>
      <w:pPr>
        <w:ind w:left="140" w:right="360"/>
        <w:spacing w:after="0" w:line="284" w:lineRule="auto"/>
        <w:rPr>
          <w:sz w:val="20"/>
          <w:szCs w:val="20"/>
          <w:color w:val="auto"/>
        </w:rPr>
      </w:pPr>
      <w:r>
        <w:rPr>
          <w:rFonts w:ascii="Arial" w:cs="Arial" w:eastAsia="Arial" w:hAnsi="Arial"/>
          <w:sz w:val="16"/>
          <w:szCs w:val="16"/>
          <w:color w:val="auto"/>
        </w:rPr>
        <w:t>Stockholders who attend the virtual Annual Meeting should follow the instructions at www.virtualshareholdermeeting.com/VAC2025 to vote during the meeting. Voting online during the meeting will replace any previous votes.</w:t>
      </w:r>
    </w:p>
    <w:p>
      <w:pPr>
        <w:spacing w:after="0" w:line="49" w:lineRule="exact"/>
        <w:rPr>
          <w:sz w:val="20"/>
          <w:szCs w:val="20"/>
          <w:color w:val="auto"/>
        </w:rPr>
      </w:pPr>
    </w:p>
    <w:p>
      <w:pPr>
        <w:ind w:left="140" w:right="20"/>
        <w:spacing w:after="0" w:line="265" w:lineRule="auto"/>
        <w:rPr>
          <w:sz w:val="20"/>
          <w:szCs w:val="20"/>
          <w:color w:val="auto"/>
        </w:rPr>
      </w:pPr>
      <w:r>
        <w:rPr>
          <w:rFonts w:ascii="Arial" w:cs="Arial" w:eastAsia="Arial" w:hAnsi="Arial"/>
          <w:sz w:val="16"/>
          <w:szCs w:val="16"/>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63" w:lineRule="exact"/>
        <w:rPr>
          <w:sz w:val="20"/>
          <w:szCs w:val="20"/>
          <w:color w:val="auto"/>
        </w:rPr>
      </w:pPr>
    </w:p>
    <w:p>
      <w:pPr>
        <w:ind w:left="140" w:right="300"/>
        <w:spacing w:after="0" w:line="284" w:lineRule="auto"/>
        <w:rPr>
          <w:sz w:val="20"/>
          <w:szCs w:val="20"/>
          <w:color w:val="auto"/>
        </w:rPr>
      </w:pPr>
      <w:r>
        <w:rPr>
          <w:rFonts w:ascii="Arial" w:cs="Arial" w:eastAsia="Arial" w:hAnsi="Arial"/>
          <w:sz w:val="16"/>
          <w:szCs w:val="16"/>
          <w:color w:val="auto"/>
        </w:rPr>
        <w:t>If you are a beneficial owner, you must vote by giving instructions to your bank or broker. You should follow the voting instructions on the form that you receive from your bank or broker.</w:t>
      </w:r>
    </w:p>
    <w:p>
      <w:pPr>
        <w:spacing w:after="0" w:line="90" w:lineRule="exact"/>
        <w:rPr>
          <w:sz w:val="20"/>
          <w:szCs w:val="20"/>
          <w:color w:val="auto"/>
        </w:rPr>
      </w:pPr>
    </w:p>
    <w:p>
      <w:pPr>
        <w:ind w:left="140"/>
        <w:spacing w:after="0"/>
        <w:tabs>
          <w:tab w:leader="none" w:pos="4600" w:val="left"/>
          <w:tab w:leader="none" w:pos="110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b w:val="1"/>
          <w:bCs w:val="1"/>
          <w:color w:val="003A7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How will my proxy be voted?</w:t>
      </w:r>
    </w:p>
    <w:p>
      <w:pPr>
        <w:spacing w:after="0" w:line="124" w:lineRule="exact"/>
        <w:rPr>
          <w:sz w:val="20"/>
          <w:szCs w:val="20"/>
          <w:color w:val="auto"/>
        </w:rPr>
      </w:pPr>
    </w:p>
    <w:p>
      <w:pPr>
        <w:ind w:left="140" w:right="320"/>
        <w:spacing w:after="0" w:line="265" w:lineRule="auto"/>
        <w:rPr>
          <w:sz w:val="20"/>
          <w:szCs w:val="20"/>
          <w:color w:val="auto"/>
        </w:rPr>
      </w:pPr>
      <w:r>
        <w:rPr>
          <w:rFonts w:ascii="Arial" w:cs="Arial" w:eastAsia="Arial" w:hAnsi="Arial"/>
          <w:sz w:val="16"/>
          <w:szCs w:val="16"/>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on such matter in their best judgment.</w:t>
      </w:r>
    </w:p>
    <w:p>
      <w:pPr>
        <w:spacing w:after="0" w:line="63"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If you are a beneficial owner, your bank or broker must vote according to specific instructions they receive from you, the beneficial owner. If your bank or broker does not receive specific instructions, they may in some cases vote the shares in their discretion, but are not permitted to vote on certain proposals and may elect not to vote on any of the proposals unless you provide voting instructions as to how to vote the shares. Therefore, we urge you to give voting instructions to your broker on all four voting items. Voting your shares will help to ensure that your interests are represented at the meeting. If you do not provide voting instructions and your bank or broker elects to vote your shares on some but not all matters, it will result in a ‘broker non-vote’ for the matters on which the bank or broker does not vote. Broker non-votes will be considered as present for quorum purposes, but they will not be considered entitled to vote on the matters on which the bank or broker does not vote and will not be counted in determining the outcome of the vote on any such matters.</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What if I don’t mark the boxes on my proxy?</w:t>
      </w:r>
    </w:p>
    <w:p>
      <w:pPr>
        <w:spacing w:after="0" w:line="82" w:lineRule="exact"/>
        <w:rPr>
          <w:sz w:val="20"/>
          <w:szCs w:val="20"/>
          <w:color w:val="auto"/>
        </w:rPr>
      </w:pPr>
    </w:p>
    <w:p>
      <w:pPr>
        <w:ind w:left="140" w:right="20"/>
        <w:spacing w:after="0" w:line="256" w:lineRule="auto"/>
        <w:rPr>
          <w:sz w:val="20"/>
          <w:szCs w:val="20"/>
          <w:color w:val="auto"/>
        </w:rPr>
      </w:pPr>
      <w:r>
        <w:rPr>
          <w:rFonts w:ascii="Arial" w:cs="Arial" w:eastAsia="Arial" w:hAnsi="Arial"/>
          <w:sz w:val="16"/>
          <w:szCs w:val="16"/>
          <w:color w:val="auto"/>
        </w:rPr>
        <w:t>If you just sign and submit your proxy card without providing voting instructions, your shares will be voted “FOR” each director nominee listed in this Proxy Statement and “FOR” Items 2 and 3, and “ONE Year” on Item 4 as recommended by the Board and at the discretion of the persons named in the enclosed proxy card with respect to any other matters that are properly presented.</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How many votes are needed to approve an item?</w:t>
      </w:r>
    </w:p>
    <w:p>
      <w:pPr>
        <w:spacing w:after="0" w:line="83" w:lineRule="exact"/>
        <w:rPr>
          <w:sz w:val="20"/>
          <w:szCs w:val="20"/>
          <w:color w:val="auto"/>
        </w:rPr>
      </w:pPr>
    </w:p>
    <w:p>
      <w:pPr>
        <w:ind w:left="140" w:right="120"/>
        <w:spacing w:after="0" w:line="258" w:lineRule="auto"/>
        <w:rPr>
          <w:sz w:val="20"/>
          <w:szCs w:val="20"/>
          <w:color w:val="auto"/>
        </w:rPr>
      </w:pPr>
      <w:r>
        <w:rPr>
          <w:rFonts w:ascii="Arial" w:cs="Arial" w:eastAsia="Arial" w:hAnsi="Arial"/>
          <w:sz w:val="16"/>
          <w:szCs w:val="16"/>
          <w:color w:val="auto"/>
        </w:rPr>
        <w:t>Directors will be elected by a plurality of all the votes cast at the Annual Meeting, either online or represented by a properly completed or authorized proxy. This means that the eight nominees who receive the highest number of “FOR” votes cast will be elected as directors. Stockholders cannot cumulate votes in the election of directors. Votes that are withheld will not be counted as votes cast on the matter and will have no effect on the outcome of the election. Broker non-votes, if any, will have no effect on the outcome of the matter.</w:t>
      </w:r>
    </w:p>
    <w:p>
      <w:pPr>
        <w:spacing w:after="0" w:line="70" w:lineRule="exact"/>
        <w:rPr>
          <w:sz w:val="20"/>
          <w:szCs w:val="20"/>
          <w:color w:val="auto"/>
        </w:rPr>
      </w:pPr>
    </w:p>
    <w:p>
      <w:pPr>
        <w:ind w:left="140" w:right="140"/>
        <w:spacing w:after="0" w:line="265" w:lineRule="auto"/>
        <w:rPr>
          <w:sz w:val="20"/>
          <w:szCs w:val="20"/>
          <w:color w:val="auto"/>
        </w:rPr>
      </w:pPr>
      <w:r>
        <w:rPr>
          <w:rFonts w:ascii="Arial" w:cs="Arial" w:eastAsia="Arial" w:hAnsi="Arial"/>
          <w:sz w:val="16"/>
          <w:szCs w:val="16"/>
          <w:color w:val="auto"/>
        </w:rPr>
        <w:t>The affirmative vote of holders of shares representing a majority in voting power, present online or represented by proxy and entitled to vote on the proposal, is necessary for approval of Items 2, 3 and 4. Proxy cards marked as abstentions on Items 2, 3 and 4 will count as present and entitled to vote and therefore will have the effect of a negative vote. Broker non-votes, if any, will have no effect on the outcome of the matter.</w:t>
      </w:r>
    </w:p>
    <w:p>
      <w:pPr>
        <w:spacing w:after="0" w:line="63" w:lineRule="exact"/>
        <w:rPr>
          <w:sz w:val="20"/>
          <w:szCs w:val="20"/>
          <w:color w:val="auto"/>
        </w:rPr>
      </w:pPr>
    </w:p>
    <w:p>
      <w:pPr>
        <w:ind w:left="140" w:right="40"/>
        <w:spacing w:after="0" w:line="252" w:lineRule="auto"/>
        <w:rPr>
          <w:sz w:val="20"/>
          <w:szCs w:val="20"/>
          <w:color w:val="auto"/>
        </w:rPr>
      </w:pPr>
      <w:r>
        <w:rPr>
          <w:rFonts w:ascii="Arial" w:cs="Arial" w:eastAsia="Arial" w:hAnsi="Arial"/>
          <w:sz w:val="16"/>
          <w:szCs w:val="16"/>
          <w:color w:val="auto"/>
        </w:rPr>
        <w:t>With respect to Item 4, there are four choices for stockholders: every year; every two years; every three years; or they may chose to abstain. If none of the four choices for this Item receive the affirmative vote of the holders of shares representing a majority in voting power, present online or represented by proxy and entitled to vote on the proposal, the Board will consider the choice that receives the highest number of votes as the choice supported by our stockholders. The Board will take the voting results on such proposal into account in determining whether to hold the advisory vote on executive compensation every year, every two years or every three years.</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What constitutes a quorum?</w:t>
      </w:r>
    </w:p>
    <w:p>
      <w:pPr>
        <w:spacing w:after="0" w:line="82" w:lineRule="exact"/>
        <w:rPr>
          <w:sz w:val="20"/>
          <w:szCs w:val="20"/>
          <w:color w:val="auto"/>
        </w:rPr>
      </w:pPr>
    </w:p>
    <w:p>
      <w:pPr>
        <w:ind w:left="140" w:right="160"/>
        <w:spacing w:after="0" w:line="256" w:lineRule="auto"/>
        <w:rPr>
          <w:sz w:val="20"/>
          <w:szCs w:val="20"/>
          <w:color w:val="auto"/>
        </w:rPr>
      </w:pPr>
      <w:r>
        <w:rPr>
          <w:rFonts w:ascii="Arial" w:cs="Arial" w:eastAsia="Arial" w:hAnsi="Arial"/>
          <w:sz w:val="16"/>
          <w:szCs w:val="16"/>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Who can attend the Annual Meeting?</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Only stockholders as of the record date, their proxy holders and our invited guests may attend the Annual Meeting.</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Can I attend and participate in the Annual Meeting online if I vote by proxy?</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Yes. Attending the Annual Meeting online does not revoke your proxy.</w:t>
      </w:r>
    </w:p>
    <w:p>
      <w:pPr>
        <w:ind w:left="140"/>
        <w:spacing w:after="0"/>
        <w:tabs>
          <w:tab w:leader="none" w:pos="540" w:val="left"/>
        </w:tabs>
        <w:rPr>
          <w:sz w:val="20"/>
          <w:szCs w:val="20"/>
          <w:color w:val="auto"/>
        </w:rPr>
      </w:pPr>
      <w:r>
        <w:rPr>
          <w:rFonts w:ascii="Arial" w:cs="Arial" w:eastAsia="Arial" w:hAnsi="Arial"/>
          <w:sz w:val="50"/>
          <w:szCs w:val="50"/>
          <w:color w:val="003A70"/>
          <w:vertAlign w:val="subscript"/>
        </w:rPr>
        <w:t>Q</w:t>
      </w:r>
      <w:r>
        <w:rPr>
          <w:rFonts w:ascii="Arial" w:cs="Arial" w:eastAsia="Arial" w:hAnsi="Arial"/>
          <w:sz w:val="32"/>
          <w:szCs w:val="32"/>
          <w:color w:val="003A70"/>
          <w:vertAlign w:val="subscript"/>
        </w:rPr>
        <w:t>.</w:t>
      </w:r>
      <w:r>
        <w:rPr>
          <w:rFonts w:ascii="Arial" w:cs="Arial" w:eastAsia="Arial" w:hAnsi="Arial"/>
          <w:sz w:val="16"/>
          <w:szCs w:val="16"/>
          <w:color w:val="003A70"/>
        </w:rPr>
        <w:tab/>
        <w:t>Can I change my vote or revoke my proxy after I return my proxy card, or after I vote by telephone or electronically?</w:t>
      </w:r>
    </w:p>
    <w:p>
      <w:pPr>
        <w:spacing w:after="0" w:line="82" w:lineRule="exact"/>
        <w:rPr>
          <w:sz w:val="20"/>
          <w:szCs w:val="20"/>
          <w:color w:val="auto"/>
        </w:rPr>
      </w:pPr>
    </w:p>
    <w:p>
      <w:pPr>
        <w:ind w:left="140" w:right="40"/>
        <w:spacing w:after="0" w:line="271"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2" w:lineRule="exact"/>
        <w:rPr>
          <w:sz w:val="20"/>
          <w:szCs w:val="20"/>
          <w:color w:val="auto"/>
        </w:rPr>
      </w:pPr>
    </w:p>
    <w:p>
      <w:pPr>
        <w:ind w:left="360" w:hanging="225"/>
        <w:spacing w:after="0"/>
        <w:tabs>
          <w:tab w:leader="none" w:pos="36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returning a later-dated signed proxy card;</w:t>
      </w:r>
    </w:p>
    <w:p>
      <w:pPr>
        <w:spacing w:after="0" w:line="44" w:lineRule="exact"/>
        <w:rPr>
          <w:rFonts w:ascii="Arial" w:cs="Arial" w:eastAsia="Arial" w:hAnsi="Arial"/>
          <w:sz w:val="16"/>
          <w:szCs w:val="16"/>
          <w:color w:val="003A70"/>
        </w:rPr>
      </w:pPr>
    </w:p>
    <w:p>
      <w:pPr>
        <w:ind w:left="360" w:right="720" w:hanging="225"/>
        <w:spacing w:after="0" w:line="271" w:lineRule="auto"/>
        <w:tabs>
          <w:tab w:leader="none" w:pos="36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delivering a written notice of revocation to Marriott Vacations Worldwide Corporation, 7812 Palm Parkway, Orlando, Florida, 32836, Attention: Corporate Secretary;</w:t>
      </w:r>
    </w:p>
    <w:p>
      <w:pPr>
        <w:spacing w:after="0" w:line="1" w:lineRule="exact"/>
        <w:rPr>
          <w:rFonts w:ascii="Arial" w:cs="Arial" w:eastAsia="Arial" w:hAnsi="Arial"/>
          <w:sz w:val="16"/>
          <w:szCs w:val="16"/>
          <w:color w:val="003A70"/>
        </w:rPr>
      </w:pPr>
    </w:p>
    <w:p>
      <w:pPr>
        <w:ind w:left="360" w:hanging="225"/>
        <w:spacing w:after="0"/>
        <w:tabs>
          <w:tab w:leader="none" w:pos="36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voting by telephone or the Internet at www.proxyvote.com until 11:59 p.m., Eastern Time, on May 12, 2025; or</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submitting a later-dated vote during the virtual Annual Meeting (www.virtualshareholdermeeting.com/VAC2025).</w:t>
      </w:r>
    </w:p>
    <w:p>
      <w:pPr>
        <w:spacing w:after="0" w:line="220" w:lineRule="exact"/>
        <w:rPr>
          <w:sz w:val="20"/>
          <w:szCs w:val="20"/>
          <w:color w:val="auto"/>
        </w:rPr>
      </w:pPr>
    </w:p>
    <w:p>
      <w:pPr>
        <w:ind w:left="140" w:right="260"/>
        <w:spacing w:after="0" w:line="284" w:lineRule="auto"/>
        <w:rPr>
          <w:sz w:val="20"/>
          <w:szCs w:val="20"/>
          <w:color w:val="auto"/>
        </w:rPr>
      </w:pPr>
      <w:r>
        <w:rPr>
          <w:rFonts w:ascii="Arial" w:cs="Arial" w:eastAsia="Arial" w:hAnsi="Arial"/>
          <w:sz w:val="16"/>
          <w:szCs w:val="16"/>
          <w:color w:val="auto"/>
        </w:rPr>
        <w:t>If your shares are held through a broker or other nominee, and you are not provided a 16-digit control number, you will need to contact that institution if you wish to change your voting instructions.</w:t>
      </w:r>
    </w:p>
    <w:p>
      <w:pPr>
        <w:sectPr>
          <w:pgSz w:w="11900" w:h="16838" w:orient="portrait"/>
          <w:cols w:equalWidth="0" w:num="1">
            <w:col w:w="11120"/>
          </w:cols>
          <w:pgMar w:left="320" w:top="480" w:right="459" w:bottom="1440" w:gutter="0" w:footer="0" w:header="0"/>
        </w:sectPr>
      </w:pPr>
    </w:p>
    <w:p>
      <w:pPr>
        <w:spacing w:after="0" w:line="90" w:lineRule="exact"/>
        <w:rPr>
          <w:sz w:val="20"/>
          <w:szCs w:val="20"/>
          <w:color w:val="auto"/>
        </w:rPr>
      </w:pPr>
    </w:p>
    <w:p>
      <w:pPr>
        <w:ind w:left="140"/>
        <w:spacing w:after="0"/>
        <w:tabs>
          <w:tab w:leader="none" w:pos="4600" w:val="left"/>
          <w:tab w:leader="none" w:pos="7820" w:val="left"/>
        </w:tabs>
        <w:rPr>
          <w:sz w:val="20"/>
          <w:szCs w:val="20"/>
          <w:color w:val="auto"/>
        </w:rPr>
      </w:pPr>
      <w:r>
        <w:rPr>
          <w:rFonts w:ascii="Arial" w:cs="Arial" w:eastAsia="Arial" w:hAnsi="Arial"/>
          <w:sz w:val="11"/>
          <w:szCs w:val="11"/>
          <w:b w:val="1"/>
          <w:bCs w:val="1"/>
          <w:color w:val="003A70"/>
        </w:rPr>
        <w:t>6</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54"/>
          <w:szCs w:val="54"/>
          <w:b w:val="1"/>
          <w:bCs w:val="1"/>
          <w:color w:val="auto"/>
        </w:rPr>
        <w:t>PROPOSALS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-356235</wp:posOffset>
            </wp:positionV>
            <wp:extent cx="85725" cy="444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ITEM 1 – ELECTION OF DIRECTORS</w:t>
      </w:r>
    </w:p>
    <w:p>
      <w:pPr>
        <w:spacing w:after="0" w:line="111" w:lineRule="exact"/>
        <w:rPr>
          <w:sz w:val="20"/>
          <w:szCs w:val="20"/>
          <w:color w:val="auto"/>
        </w:rPr>
      </w:pPr>
    </w:p>
    <w:p>
      <w:pPr>
        <w:ind w:left="140" w:right="120"/>
        <w:spacing w:after="0" w:line="250" w:lineRule="auto"/>
        <w:rPr>
          <w:sz w:val="20"/>
          <w:szCs w:val="20"/>
          <w:color w:val="auto"/>
        </w:rPr>
      </w:pPr>
      <w:r>
        <w:rPr>
          <w:rFonts w:ascii="Arial" w:cs="Arial" w:eastAsia="Arial" w:hAnsi="Arial"/>
          <w:sz w:val="16"/>
          <w:szCs w:val="16"/>
          <w:color w:val="auto"/>
        </w:rPr>
        <w:t>The Board currently consists of thirteen members. The Board size will decrease to eleven members upon the retirement of Messrs. Gellein and Martinez effective immediately prior to the commencement of the 2025 Annual Meeting of Stockholders. At our 2023 Annual Meeting of Stockholders, our stockholders approved and adopted an amendment to our Certificate of Incorporation to phase in the declassification of our Board commencing with the 2024 Annual Meeting of Stockholders. Under our Certificate of Incorporation, as so amended, directors were first elected for one-year terms at the 2024 Annual Meeting of Stockholders, the directors elected at the 2025 Annual Meeting of Stockholders will be elected for one-year terms, and beginning with the 2026 Annual Meeting of Stockholders, the entire Board will be elected on an annual basis. The Board proposes that Matthew E. Avril, James A. Dausch, Lizanne Galbreath, John E. Geller, Jr., Mary E. Galligan, Jonice M. Gray, Dianna F. Morgan, and Stephen R. Quazzo be elected for a term expiring at the 2026 Annual Meeting of Stockholders and until their successors are duly elected and qualified. Mr. Avril was recommended to the Nominating and Corporate Governance Committee by a non-management director and Mr. Dausch was recommended to the Nominating and Corporate Governance Committee by a stockholder.</w:t>
      </w:r>
    </w:p>
    <w:p>
      <w:pPr>
        <w:spacing w:after="0" w:line="74" w:lineRule="exact"/>
        <w:rPr>
          <w:sz w:val="20"/>
          <w:szCs w:val="20"/>
          <w:color w:val="auto"/>
        </w:rPr>
      </w:pPr>
    </w:p>
    <w:p>
      <w:pPr>
        <w:jc w:val="both"/>
        <w:ind w:left="140" w:right="120"/>
        <w:spacing w:after="0" w:line="265" w:lineRule="auto"/>
        <w:rPr>
          <w:sz w:val="20"/>
          <w:szCs w:val="20"/>
          <w:color w:val="auto"/>
        </w:rPr>
      </w:pPr>
      <w:r>
        <w:rPr>
          <w:rFonts w:ascii="Arial" w:cs="Arial" w:eastAsia="Arial" w:hAnsi="Arial"/>
          <w:sz w:val="16"/>
          <w:szCs w:val="16"/>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63" w:lineRule="exact"/>
        <w:rPr>
          <w:sz w:val="20"/>
          <w:szCs w:val="20"/>
          <w:color w:val="auto"/>
        </w:rPr>
      </w:pPr>
    </w:p>
    <w:p>
      <w:pPr>
        <w:ind w:left="140" w:right="380"/>
        <w:spacing w:after="0" w:line="284" w:lineRule="auto"/>
        <w:rPr>
          <w:sz w:val="20"/>
          <w:szCs w:val="20"/>
          <w:color w:val="auto"/>
        </w:rPr>
      </w:pPr>
      <w:r>
        <w:rPr>
          <w:rFonts w:ascii="Arial" w:cs="Arial" w:eastAsia="Arial" w:hAnsi="Arial"/>
          <w:sz w:val="16"/>
          <w:szCs w:val="16"/>
          <w:color w:val="auto"/>
        </w:rPr>
        <w:t>Information about the nominees, as well as directors with terms expiring at the 2026 Annual Meeting of Stockholders, is set forth below in the section titled “Report on the Board of Directors and its Committees” beginning on page 10.</w:t>
      </w:r>
    </w:p>
    <w:p>
      <w:pPr>
        <w:spacing w:after="0" w:line="345" w:lineRule="exact"/>
        <w:rPr>
          <w:sz w:val="20"/>
          <w:szCs w:val="20"/>
          <w:color w:val="auto"/>
        </w:rPr>
      </w:pPr>
    </w:p>
    <w:p>
      <w:pPr>
        <w:ind w:left="3020" w:right="2540" w:hanging="645"/>
        <w:spacing w:after="0" w:line="181" w:lineRule="auto"/>
        <w:tabs>
          <w:tab w:leader="none" w:pos="3020" w:val="left"/>
        </w:tabs>
        <w:numPr>
          <w:ilvl w:val="0"/>
          <w:numId w:val="27"/>
        </w:numPr>
        <w:rPr>
          <w:rFonts w:ascii="MS PGothic" w:cs="MS PGothic" w:eastAsia="MS PGothic" w:hAnsi="MS PGothic"/>
          <w:sz w:val="37"/>
          <w:szCs w:val="37"/>
          <w:color w:val="003A70"/>
        </w:rPr>
      </w:pPr>
      <w:r>
        <w:rPr>
          <w:rFonts w:ascii="Arial" w:cs="Arial" w:eastAsia="Arial" w:hAnsi="Arial"/>
          <w:sz w:val="15"/>
          <w:szCs w:val="15"/>
          <w:b w:val="1"/>
          <w:bCs w:val="1"/>
          <w:color w:val="auto"/>
        </w:rPr>
        <w:t xml:space="preserve">Our Board of Directors recommends that you vote </w:t>
      </w:r>
      <w:r>
        <w:rPr>
          <w:rFonts w:ascii="Arial" w:cs="Arial" w:eastAsia="Arial" w:hAnsi="Arial"/>
          <w:sz w:val="15"/>
          <w:szCs w:val="15"/>
          <w:b w:val="1"/>
          <w:bCs w:val="1"/>
          <w:color w:val="003A70"/>
        </w:rPr>
        <w:t>FOR</w:t>
      </w:r>
      <w:r>
        <w:rPr>
          <w:rFonts w:ascii="Arial" w:cs="Arial" w:eastAsia="Arial" w:hAnsi="Arial"/>
          <w:sz w:val="15"/>
          <w:szCs w:val="15"/>
          <w:b w:val="1"/>
          <w:bCs w:val="1"/>
          <w:color w:val="auto"/>
        </w:rPr>
        <w:t xml:space="preserve"> each of the eight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-275590</wp:posOffset>
            </wp:positionV>
            <wp:extent cx="4177030" cy="350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77030" cy="350520"/>
                    </a:xfrm>
                    <a:prstGeom prst="rect">
                      <a:avLst/>
                    </a:prstGeom>
                    <a:noFill/>
                  </pic:spPr>
                </pic:pic>
              </a:graphicData>
            </a:graphic>
          </wp:anchor>
        </w:drawing>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ITEM 2 – RATIFICATION OF APPOINTMENT OF INDEPENDENT REGISTERED PUBLIC ACCOUNTING FIRM</w:t>
      </w:r>
    </w:p>
    <w:p>
      <w:pPr>
        <w:spacing w:after="0" w:line="134" w:lineRule="exact"/>
        <w:rPr>
          <w:sz w:val="20"/>
          <w:szCs w:val="20"/>
          <w:color w:val="auto"/>
        </w:rPr>
      </w:pPr>
    </w:p>
    <w:p>
      <w:pPr>
        <w:ind w:left="140" w:right="60"/>
        <w:spacing w:after="0" w:line="252" w:lineRule="auto"/>
        <w:rPr>
          <w:sz w:val="20"/>
          <w:szCs w:val="20"/>
          <w:color w:val="auto"/>
        </w:rPr>
      </w:pPr>
      <w:r>
        <w:rPr>
          <w:rFonts w:ascii="Arial" w:cs="Arial" w:eastAsia="Arial" w:hAnsi="Arial"/>
          <w:sz w:val="16"/>
          <w:szCs w:val="16"/>
          <w:color w:val="auto"/>
        </w:rPr>
        <w:t>The Audit Committee of the Board (the “Audit Committee”) has appointed Ernst &amp; Young as the Company’s independent registered public accounting firm for the Company’s 2025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74" w:lineRule="exact"/>
        <w:rPr>
          <w:sz w:val="20"/>
          <w:szCs w:val="20"/>
          <w:color w:val="auto"/>
        </w:rPr>
      </w:pPr>
    </w:p>
    <w:p>
      <w:pPr>
        <w:ind w:left="140" w:right="540"/>
        <w:spacing w:after="0" w:line="284" w:lineRule="auto"/>
        <w:rPr>
          <w:sz w:val="20"/>
          <w:szCs w:val="20"/>
          <w:color w:val="auto"/>
        </w:rPr>
      </w:pPr>
      <w:r>
        <w:rPr>
          <w:rFonts w:ascii="Arial" w:cs="Arial" w:eastAsia="Arial" w:hAnsi="Arial"/>
          <w:sz w:val="16"/>
          <w:szCs w:val="16"/>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330" w:lineRule="exact"/>
        <w:rPr>
          <w:sz w:val="20"/>
          <w:szCs w:val="20"/>
          <w:color w:val="auto"/>
        </w:rPr>
      </w:pPr>
    </w:p>
    <w:p>
      <w:pPr>
        <w:ind w:left="3020" w:right="2400" w:hanging="645"/>
        <w:spacing w:after="0" w:line="200" w:lineRule="auto"/>
        <w:tabs>
          <w:tab w:leader="none" w:pos="3020" w:val="left"/>
        </w:tabs>
        <w:numPr>
          <w:ilvl w:val="0"/>
          <w:numId w:val="28"/>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ratification of the appointment of Ernst &amp; Young as the Company’s independent registered public accounting firm for its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-429260</wp:posOffset>
            </wp:positionV>
            <wp:extent cx="4177030" cy="504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77030" cy="504190"/>
                    </a:xfrm>
                    <a:prstGeom prst="rect">
                      <a:avLst/>
                    </a:prstGeom>
                    <a:noFill/>
                  </pic:spPr>
                </pic:pic>
              </a:graphicData>
            </a:graphic>
          </wp:anchor>
        </w:drawing>
      </w:r>
    </w:p>
    <w:p>
      <w:pPr>
        <w:spacing w:after="0" w:line="232" w:lineRule="exact"/>
        <w:rPr>
          <w:sz w:val="20"/>
          <w:szCs w:val="20"/>
          <w:color w:val="auto"/>
        </w:rPr>
      </w:pPr>
    </w:p>
    <w:p>
      <w:pPr>
        <w:ind w:left="140"/>
        <w:spacing w:after="0"/>
        <w:tabs>
          <w:tab w:leader="none" w:pos="5180" w:val="left"/>
          <w:tab w:leader="none" w:pos="110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ITEM 3 – ADVISORY VOTE TO APPROVE NAMED EXECUTIVE OFFICER COMPENSATION</w:t>
      </w:r>
    </w:p>
    <w:p>
      <w:pPr>
        <w:spacing w:after="0" w:line="111" w:lineRule="exact"/>
        <w:rPr>
          <w:sz w:val="20"/>
          <w:szCs w:val="20"/>
          <w:color w:val="auto"/>
        </w:rPr>
      </w:pPr>
    </w:p>
    <w:p>
      <w:pPr>
        <w:ind w:left="140" w:right="60"/>
        <w:spacing w:after="0" w:line="263" w:lineRule="auto"/>
        <w:rPr>
          <w:sz w:val="20"/>
          <w:szCs w:val="20"/>
          <w:color w:val="auto"/>
        </w:rPr>
      </w:pPr>
      <w:r>
        <w:rPr>
          <w:rFonts w:ascii="Arial" w:cs="Arial" w:eastAsia="Arial" w:hAnsi="Arial"/>
          <w:sz w:val="16"/>
          <w:szCs w:val="16"/>
          <w:color w:val="auto"/>
        </w:rPr>
        <w:t>We are asking stockholders to approve an advisory resolution on the Company’s named executive officer compensation as reported in this Proxy Statement. As described below in “Compensation Discussion and Analysis” beginning on page 26, the Compensation Policy Committee of the Board (the “CPC”) has structured our executive compensation program to achieve the following key objectives:</w:t>
      </w:r>
    </w:p>
    <w:p>
      <w:pPr>
        <w:spacing w:after="0" w:line="1" w:lineRule="exact"/>
        <w:rPr>
          <w:sz w:val="20"/>
          <w:szCs w:val="20"/>
          <w:color w:val="auto"/>
        </w:rPr>
      </w:pPr>
    </w:p>
    <w:p>
      <w:pPr>
        <w:ind w:left="360" w:hanging="225"/>
        <w:spacing w:after="0"/>
        <w:tabs>
          <w:tab w:leader="none" w:pos="36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Executive officers should be paid in a manner that is primarily focused on </w:t>
      </w:r>
      <w:r>
        <w:rPr>
          <w:rFonts w:ascii="Arial" w:cs="Arial" w:eastAsia="Arial" w:hAnsi="Arial"/>
          <w:sz w:val="16"/>
          <w:szCs w:val="16"/>
          <w:b w:val="1"/>
          <w:bCs w:val="1"/>
          <w:color w:val="003A70"/>
        </w:rPr>
        <w:t>driving stockholder value</w:t>
      </w:r>
      <w:r>
        <w:rPr>
          <w:rFonts w:ascii="Arial" w:cs="Arial" w:eastAsia="Arial" w:hAnsi="Arial"/>
          <w:sz w:val="16"/>
          <w:szCs w:val="16"/>
          <w:color w:val="auto"/>
        </w:rPr>
        <w:t>;</w:t>
      </w:r>
    </w:p>
    <w:p>
      <w:pPr>
        <w:spacing w:after="0" w:line="44" w:lineRule="exact"/>
        <w:rPr>
          <w:rFonts w:ascii="Arial" w:cs="Arial" w:eastAsia="Arial" w:hAnsi="Arial"/>
          <w:sz w:val="16"/>
          <w:szCs w:val="16"/>
          <w:color w:val="003A70"/>
        </w:rPr>
      </w:pPr>
    </w:p>
    <w:p>
      <w:pPr>
        <w:ind w:left="360" w:right="380" w:hanging="225"/>
        <w:spacing w:after="0" w:line="271" w:lineRule="auto"/>
        <w:tabs>
          <w:tab w:leader="none" w:pos="36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Compensation should be designed to </w:t>
      </w:r>
      <w:r>
        <w:rPr>
          <w:rFonts w:ascii="Arial" w:cs="Arial" w:eastAsia="Arial" w:hAnsi="Arial"/>
          <w:sz w:val="16"/>
          <w:szCs w:val="16"/>
          <w:b w:val="1"/>
          <w:bCs w:val="1"/>
          <w:color w:val="003A70"/>
        </w:rPr>
        <w:t>motivate executive officers</w:t>
      </w:r>
      <w:r>
        <w:rPr>
          <w:rFonts w:ascii="Arial" w:cs="Arial" w:eastAsia="Arial" w:hAnsi="Arial"/>
          <w:sz w:val="16"/>
          <w:szCs w:val="16"/>
          <w:color w:val="auto"/>
        </w:rPr>
        <w:t xml:space="preserve"> to perform their duties in ways that would help achieve shorter-term as well as longer-term objectives; and</w:t>
      </w:r>
    </w:p>
    <w:p>
      <w:pPr>
        <w:spacing w:after="0" w:line="1" w:lineRule="exact"/>
        <w:rPr>
          <w:rFonts w:ascii="Arial" w:cs="Arial" w:eastAsia="Arial" w:hAnsi="Arial"/>
          <w:sz w:val="16"/>
          <w:szCs w:val="16"/>
          <w:color w:val="003A70"/>
        </w:rPr>
      </w:pPr>
    </w:p>
    <w:p>
      <w:pPr>
        <w:ind w:left="360" w:right="260" w:hanging="225"/>
        <w:spacing w:after="0" w:line="284" w:lineRule="auto"/>
        <w:tabs>
          <w:tab w:leader="none" w:pos="36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The compensation program must be competitive in order to </w:t>
      </w:r>
      <w:r>
        <w:rPr>
          <w:rFonts w:ascii="Arial" w:cs="Arial" w:eastAsia="Arial" w:hAnsi="Arial"/>
          <w:sz w:val="16"/>
          <w:szCs w:val="16"/>
          <w:b w:val="1"/>
          <w:bCs w:val="1"/>
          <w:color w:val="003A70"/>
        </w:rPr>
        <w:t>attract key talent</w:t>
      </w:r>
      <w:r>
        <w:rPr>
          <w:rFonts w:ascii="Arial" w:cs="Arial" w:eastAsia="Arial" w:hAnsi="Arial"/>
          <w:sz w:val="16"/>
          <w:szCs w:val="16"/>
          <w:color w:val="auto"/>
        </w:rPr>
        <w:t xml:space="preserve"> from within and outside of our industry and </w:t>
      </w:r>
      <w:r>
        <w:rPr>
          <w:rFonts w:ascii="Arial" w:cs="Arial" w:eastAsia="Arial" w:hAnsi="Arial"/>
          <w:sz w:val="16"/>
          <w:szCs w:val="16"/>
          <w:b w:val="1"/>
          <w:bCs w:val="1"/>
          <w:color w:val="003A70"/>
        </w:rPr>
        <w:t>retain key talent</w:t>
      </w:r>
      <w:r>
        <w:rPr>
          <w:rFonts w:ascii="Arial" w:cs="Arial" w:eastAsia="Arial" w:hAnsi="Arial"/>
          <w:sz w:val="16"/>
          <w:szCs w:val="16"/>
          <w:color w:val="auto"/>
        </w:rPr>
        <w:t xml:space="preserve"> at costs consistent with market practice.</w:t>
      </w:r>
    </w:p>
    <w:p>
      <w:pPr>
        <w:spacing w:after="0" w:line="49" w:lineRule="exact"/>
        <w:rPr>
          <w:sz w:val="20"/>
          <w:szCs w:val="20"/>
          <w:color w:val="auto"/>
        </w:rPr>
      </w:pPr>
    </w:p>
    <w:p>
      <w:pPr>
        <w:ind w:left="140" w:right="140"/>
        <w:spacing w:after="0" w:line="253" w:lineRule="auto"/>
        <w:rPr>
          <w:sz w:val="20"/>
          <w:szCs w:val="20"/>
          <w:color w:val="auto"/>
        </w:rPr>
      </w:pPr>
      <w:r>
        <w:rPr>
          <w:rFonts w:ascii="Arial" w:cs="Arial" w:eastAsia="Arial" w:hAnsi="Arial"/>
          <w:sz w:val="16"/>
          <w:szCs w:val="16"/>
          <w:color w:val="auto"/>
        </w:rPr>
        <w:t>We urge stockholders to read the “Compensation Discussion and Analysis” section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NEOs. The CPC and the Board believe that the policies and procedures articulated in the “Compensation Discussion and Analysis” section below are effective in achieving our goals and that the compensation of our NEOs reported in this Proxy Statement reflects and supports these compensation policies and procedures.</w:t>
      </w:r>
    </w:p>
    <w:p>
      <w:pPr>
        <w:spacing w:after="0" w:line="74" w:lineRule="exact"/>
        <w:rPr>
          <w:sz w:val="20"/>
          <w:szCs w:val="20"/>
          <w:color w:val="auto"/>
        </w:rPr>
      </w:pPr>
    </w:p>
    <w:p>
      <w:pPr>
        <w:ind w:left="140" w:right="40"/>
        <w:spacing w:after="0" w:line="284"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Annual Meeting:</w:t>
      </w:r>
    </w:p>
    <w:p>
      <w:pPr>
        <w:spacing w:after="0" w:line="49" w:lineRule="exact"/>
        <w:rPr>
          <w:sz w:val="20"/>
          <w:szCs w:val="20"/>
          <w:color w:val="auto"/>
        </w:rPr>
      </w:pPr>
    </w:p>
    <w:p>
      <w:pPr>
        <w:ind w:left="580" w:right="120"/>
        <w:spacing w:after="0" w:line="265" w:lineRule="auto"/>
        <w:rPr>
          <w:sz w:val="20"/>
          <w:szCs w:val="20"/>
          <w:color w:val="auto"/>
        </w:rPr>
      </w:pPr>
      <w:r>
        <w:rPr>
          <w:rFonts w:ascii="Arial" w:cs="Arial" w:eastAsia="Arial" w:hAnsi="Arial"/>
          <w:sz w:val="16"/>
          <w:szCs w:val="16"/>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2025 Annual Meeting of Stockholders.</w:t>
      </w:r>
    </w:p>
    <w:p>
      <w:pPr>
        <w:spacing w:after="0" w:line="63" w:lineRule="exact"/>
        <w:rPr>
          <w:sz w:val="20"/>
          <w:szCs w:val="20"/>
          <w:color w:val="auto"/>
        </w:rPr>
      </w:pPr>
    </w:p>
    <w:p>
      <w:pPr>
        <w:ind w:left="140" w:right="220"/>
        <w:spacing w:after="0" w:line="253" w:lineRule="auto"/>
        <w:rPr>
          <w:sz w:val="20"/>
          <w:szCs w:val="20"/>
          <w:color w:val="auto"/>
        </w:rPr>
      </w:pPr>
      <w:r>
        <w:rPr>
          <w:rFonts w:ascii="Arial" w:cs="Arial" w:eastAsia="Arial" w:hAnsi="Arial"/>
          <w:sz w:val="16"/>
          <w:szCs w:val="16"/>
          <w:color w:val="auto"/>
        </w:rPr>
        <w:t>This advisory resolution, commonly referred to as a “say-on-pay” resolution, is not binding on the Board. Although non-binding, the Board and the CPC will review and consider the voting results when making future decisions regarding our executive compensation program. As described in Item 4 below, stockholders are also being given the opportunity to express their preference for the frequency of future advisory votes to approve executive compensation. The Board’s current policy is to hold an advisory vote on executive compensation on an annual basis. The Board and the CPC will consider the outcome of the advisory vote in Item 4 below. Unless the Board modifies its policy on the frequency of holding advisory votes on executive compensation, after the 2025 Annual Meeting, our next “say-on-pay” resolution will occur at the Company’s 2026 Annual Meeting of Stockholders.</w:t>
      </w:r>
    </w:p>
    <w:p>
      <w:pPr>
        <w:spacing w:after="0" w:line="356" w:lineRule="exact"/>
        <w:rPr>
          <w:sz w:val="20"/>
          <w:szCs w:val="20"/>
          <w:color w:val="auto"/>
        </w:rPr>
      </w:pPr>
    </w:p>
    <w:p>
      <w:pPr>
        <w:ind w:left="3020" w:right="2260" w:hanging="645"/>
        <w:spacing w:after="0" w:line="187" w:lineRule="auto"/>
        <w:tabs>
          <w:tab w:leader="none" w:pos="3020" w:val="left"/>
        </w:tabs>
        <w:numPr>
          <w:ilvl w:val="0"/>
          <w:numId w:val="30"/>
        </w:numPr>
        <w:rPr>
          <w:rFonts w:ascii="MS PGothic" w:cs="MS PGothic" w:eastAsia="MS PGothic" w:hAnsi="MS PGothic"/>
          <w:sz w:val="43"/>
          <w:szCs w:val="43"/>
          <w:color w:val="003A70"/>
          <w:shd w:val="clear" w:color="auto" w:fill="D8E1E9"/>
        </w:rPr>
      </w:pPr>
      <w:r>
        <w:rPr>
          <w:rFonts w:ascii="Arial" w:cs="Arial" w:eastAsia="Arial" w:hAnsi="Arial"/>
          <w:sz w:val="16"/>
          <w:szCs w:val="16"/>
          <w:b w:val="1"/>
          <w:bCs w:val="1"/>
          <w:color w:val="auto"/>
          <w:shd w:val="clear" w:color="auto" w:fill="D8E1E9"/>
        </w:rPr>
        <w:t xml:space="preserve">Our Board of Directors recommends that you vote </w:t>
      </w:r>
      <w:r>
        <w:rPr>
          <w:rFonts w:ascii="Arial" w:cs="Arial" w:eastAsia="Arial" w:hAnsi="Arial"/>
          <w:sz w:val="21"/>
          <w:szCs w:val="21"/>
          <w:b w:val="1"/>
          <w:bCs w:val="1"/>
          <w:color w:val="003A70"/>
          <w:shd w:val="clear" w:color="auto" w:fill="D8E1E9"/>
        </w:rPr>
        <w:t>FOR</w:t>
      </w:r>
      <w:r>
        <w:rPr>
          <w:rFonts w:ascii="Arial" w:cs="Arial" w:eastAsia="Arial" w:hAnsi="Arial"/>
          <w:sz w:val="16"/>
          <w:szCs w:val="16"/>
          <w:b w:val="1"/>
          <w:bCs w:val="1"/>
          <w:color w:val="auto"/>
          <w:shd w:val="clear" w:color="auto" w:fill="D8E1E9"/>
        </w:rPr>
        <w:t xml:space="preserve"> the approval of the </w:t>
      </w:r>
      <w:r>
        <w:rPr>
          <w:rFonts w:ascii="Arial" w:cs="Arial" w:eastAsia="Arial" w:hAnsi="Arial"/>
          <w:sz w:val="16"/>
          <w:szCs w:val="16"/>
          <w:b w:val="1"/>
          <w:bCs w:val="1"/>
          <w:color w:val="auto"/>
        </w:rPr>
        <w:t>advisory resolution to approve executive compensation.</w:t>
      </w:r>
    </w:p>
    <w:p>
      <w:pPr>
        <w:spacing w:after="0" w:line="250" w:lineRule="exact"/>
        <w:rPr>
          <w:sz w:val="20"/>
          <w:szCs w:val="20"/>
          <w:color w:val="auto"/>
        </w:rPr>
      </w:pPr>
    </w:p>
    <w:p>
      <w:pPr>
        <w:ind w:left="14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8</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right="1080"/>
        <w:spacing w:after="0" w:line="271" w:lineRule="auto"/>
        <w:rPr>
          <w:sz w:val="20"/>
          <w:szCs w:val="20"/>
          <w:color w:val="auto"/>
        </w:rPr>
      </w:pPr>
      <w:r>
        <w:rPr>
          <w:rFonts w:ascii="Arial" w:cs="Arial" w:eastAsia="Arial" w:hAnsi="Arial"/>
          <w:sz w:val="22"/>
          <w:szCs w:val="22"/>
          <w:b w:val="1"/>
          <w:bCs w:val="1"/>
          <w:color w:val="auto"/>
        </w:rPr>
        <w:t>ITEM 4 – ADVISORY VOTE ON THE FREQUENCY OF FUTURE ADVISORY VOTES ON EXECUTIVE COMPENSATION</w:t>
      </w:r>
    </w:p>
    <w:p>
      <w:pPr>
        <w:spacing w:after="0" w:line="35" w:lineRule="exact"/>
        <w:rPr>
          <w:sz w:val="20"/>
          <w:szCs w:val="20"/>
          <w:color w:val="auto"/>
        </w:rPr>
      </w:pPr>
    </w:p>
    <w:p>
      <w:pPr>
        <w:ind w:left="140" w:right="20"/>
        <w:spacing w:after="0" w:line="253" w:lineRule="auto"/>
        <w:rPr>
          <w:sz w:val="20"/>
          <w:szCs w:val="20"/>
          <w:color w:val="auto"/>
        </w:rPr>
      </w:pPr>
      <w:r>
        <w:rPr>
          <w:rFonts w:ascii="Arial" w:cs="Arial" w:eastAsia="Arial" w:hAnsi="Arial"/>
          <w:sz w:val="16"/>
          <w:szCs w:val="16"/>
          <w:color w:val="auto"/>
        </w:rPr>
        <w:t>We are asking stockholders to vote on whether future advisory votes on executive compensation like Item 3 above should occur every year, every two years or every three years. After careful consideration, the Board has determined that holding an advisory vote on executive compensation every year is most appropriate for us at this time because it would continue to enable our stockholders to provide us with timely input regarding the compensation of named executive officers. In addition, while our executive compensation program is designed to motivate executive officers to perform their duties in ways that would help achieve both current year and longer-term objectives, the Board recognizes that executive compensation disclosures are made annually. The Board recommends that stockholders vote to hold such future advisory votes every year.</w:t>
      </w:r>
    </w:p>
    <w:p>
      <w:pPr>
        <w:spacing w:after="0" w:line="74" w:lineRule="exact"/>
        <w:rPr>
          <w:sz w:val="20"/>
          <w:szCs w:val="20"/>
          <w:color w:val="auto"/>
        </w:rPr>
      </w:pPr>
    </w:p>
    <w:p>
      <w:pPr>
        <w:ind w:left="140" w:right="200"/>
        <w:spacing w:after="0" w:line="258" w:lineRule="auto"/>
        <w:rPr>
          <w:sz w:val="20"/>
          <w:szCs w:val="20"/>
          <w:color w:val="auto"/>
        </w:rPr>
      </w:pPr>
      <w:r>
        <w:rPr>
          <w:rFonts w:ascii="Arial" w:cs="Arial" w:eastAsia="Arial" w:hAnsi="Arial"/>
          <w:sz w:val="16"/>
          <w:szCs w:val="16"/>
          <w:color w:val="auto"/>
        </w:rPr>
        <w:t>In the event the Board decides to make changes to our executive compensation program following a stockholder advisory vote, you should note that because the advisory vote occurs well after the beginning of the compensation year, and because the different elements of our executive compensation program are designed to operate in an integrated manner and to complement one another, in many cases, it may not be appropriate or feasible to implement such changes by the time of the following year’s annual meeting of stockholders.</w:t>
      </w:r>
    </w:p>
    <w:p>
      <w:pPr>
        <w:spacing w:after="0" w:line="70" w:lineRule="exact"/>
        <w:rPr>
          <w:sz w:val="20"/>
          <w:szCs w:val="20"/>
          <w:color w:val="auto"/>
        </w:rPr>
      </w:pPr>
    </w:p>
    <w:p>
      <w:pPr>
        <w:ind w:left="140" w:right="140"/>
        <w:spacing w:after="0" w:line="258" w:lineRule="auto"/>
        <w:rPr>
          <w:sz w:val="20"/>
          <w:szCs w:val="20"/>
          <w:color w:val="auto"/>
        </w:rPr>
      </w:pPr>
      <w:r>
        <w:rPr>
          <w:rFonts w:ascii="Arial" w:cs="Arial" w:eastAsia="Arial" w:hAnsi="Arial"/>
          <w:sz w:val="16"/>
          <w:szCs w:val="16"/>
          <w:color w:val="auto"/>
        </w:rPr>
        <w:t>Although this advisory vote is not binding on the Board, the Board and the CPC value your opinion and will carefully review the voting results on this proposal in establishing the frequency with which future say-on-pay votes will be held. Notwithstanding the Board’s recommendation and the outcome of the stockholder vote, the Board may in the future decide to conduct advisory votes on a less frequent basis and may vary its practice based on factors such as discussions with stockholders and the adoption of material changes to compensation programs.</w:t>
      </w:r>
    </w:p>
    <w:p>
      <w:pPr>
        <w:spacing w:after="0" w:line="70" w:lineRule="exact"/>
        <w:rPr>
          <w:sz w:val="20"/>
          <w:szCs w:val="20"/>
          <w:color w:val="auto"/>
        </w:rPr>
      </w:pPr>
    </w:p>
    <w:p>
      <w:pPr>
        <w:ind w:left="140" w:right="320"/>
        <w:spacing w:after="0" w:line="284" w:lineRule="auto"/>
        <w:rPr>
          <w:sz w:val="20"/>
          <w:szCs w:val="20"/>
          <w:color w:val="auto"/>
        </w:rPr>
      </w:pPr>
      <w:r>
        <w:rPr>
          <w:rFonts w:ascii="Arial" w:cs="Arial" w:eastAsia="Arial" w:hAnsi="Arial"/>
          <w:sz w:val="16"/>
          <w:szCs w:val="16"/>
          <w:color w:val="auto"/>
        </w:rPr>
        <w:t>You are not voting to approve or disapprove the Board’s recommendation. Instead, you may specify your preference regarding the frequency of future say-on-pay votes by selecting one year, two years, or three years or abstaining.</w:t>
      </w:r>
    </w:p>
    <w:p>
      <w:pPr>
        <w:spacing w:after="0" w:line="345" w:lineRule="exact"/>
        <w:rPr>
          <w:sz w:val="20"/>
          <w:szCs w:val="20"/>
          <w:color w:val="auto"/>
        </w:rPr>
      </w:pPr>
    </w:p>
    <w:p>
      <w:pPr>
        <w:ind w:left="3020" w:right="2880" w:hanging="645"/>
        <w:spacing w:after="0" w:line="182" w:lineRule="auto"/>
        <w:tabs>
          <w:tab w:leader="none" w:pos="3020" w:val="left"/>
        </w:tabs>
        <w:numPr>
          <w:ilvl w:val="0"/>
          <w:numId w:val="31"/>
        </w:numPr>
        <w:rPr>
          <w:rFonts w:ascii="MS PGothic" w:cs="MS PGothic" w:eastAsia="MS PGothic" w:hAnsi="MS PGothic"/>
          <w:sz w:val="39"/>
          <w:szCs w:val="39"/>
          <w:color w:val="003A70"/>
        </w:rPr>
      </w:pPr>
      <w:r>
        <w:rPr>
          <w:rFonts w:ascii="Arial" w:cs="Arial" w:eastAsia="Arial" w:hAnsi="Arial"/>
          <w:sz w:val="15"/>
          <w:szCs w:val="15"/>
          <w:b w:val="1"/>
          <w:bCs w:val="1"/>
          <w:color w:val="auto"/>
        </w:rPr>
        <w:t xml:space="preserve">Our Board of Directors recommends that you vote to conduct future advisory votes on executive compensation every </w:t>
      </w:r>
      <w:r>
        <w:rPr>
          <w:rFonts w:ascii="Arial" w:cs="Arial" w:eastAsia="Arial" w:hAnsi="Arial"/>
          <w:sz w:val="20"/>
          <w:szCs w:val="20"/>
          <w:b w:val="1"/>
          <w:bCs w:val="1"/>
          <w:color w:val="003A70"/>
        </w:rPr>
        <w:t>ONE Year</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-314325</wp:posOffset>
            </wp:positionV>
            <wp:extent cx="4177030" cy="384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77030" cy="384175"/>
                    </a:xfrm>
                    <a:prstGeom prst="rect">
                      <a:avLst/>
                    </a:prstGeom>
                    <a:noFill/>
                  </pic:spPr>
                </pic:pic>
              </a:graphicData>
            </a:graphic>
          </wp:anchor>
        </w:drawing>
      </w:r>
    </w:p>
    <w:p>
      <w:pPr>
        <w:spacing w:after="0" w:line="224" w:lineRule="exact"/>
        <w:rPr>
          <w:sz w:val="20"/>
          <w:szCs w:val="20"/>
          <w:color w:val="auto"/>
        </w:rPr>
      </w:pPr>
    </w:p>
    <w:p>
      <w:pPr>
        <w:ind w:left="140"/>
        <w:spacing w:after="0"/>
        <w:tabs>
          <w:tab w:leader="none" w:pos="5180" w:val="left"/>
          <w:tab w:leader="none" w:pos="110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3" w:lineRule="exact"/>
        <w:rPr>
          <w:sz w:val="20"/>
          <w:szCs w:val="20"/>
          <w:color w:val="auto"/>
        </w:rPr>
      </w:pPr>
    </w:p>
    <w:p>
      <w:pPr>
        <w:ind w:left="620" w:right="1340"/>
        <w:spacing w:after="0" w:line="279" w:lineRule="auto"/>
        <w:rPr>
          <w:sz w:val="20"/>
          <w:szCs w:val="20"/>
          <w:color w:val="auto"/>
        </w:rPr>
      </w:pPr>
      <w:r>
        <w:rPr>
          <w:rFonts w:ascii="Arial" w:cs="Arial" w:eastAsia="Arial" w:hAnsi="Arial"/>
          <w:sz w:val="53"/>
          <w:szCs w:val="53"/>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-862965</wp:posOffset>
            </wp:positionV>
            <wp:extent cx="85725" cy="828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OUR BOARD OF DIRECTORS</w:t>
      </w:r>
    </w:p>
    <w:p>
      <w:pPr>
        <w:spacing w:after="0" w:line="111" w:lineRule="exact"/>
        <w:rPr>
          <w:sz w:val="20"/>
          <w:szCs w:val="20"/>
          <w:color w:val="auto"/>
        </w:rPr>
      </w:pPr>
    </w:p>
    <w:p>
      <w:pPr>
        <w:ind w:left="140" w:right="120"/>
        <w:spacing w:after="0" w:line="253" w:lineRule="auto"/>
        <w:rPr>
          <w:sz w:val="20"/>
          <w:szCs w:val="20"/>
          <w:color w:val="auto"/>
        </w:rPr>
      </w:pPr>
      <w:r>
        <w:rPr>
          <w:rFonts w:ascii="Arial" w:cs="Arial" w:eastAsia="Arial" w:hAnsi="Arial"/>
          <w:sz w:val="16"/>
          <w:szCs w:val="16"/>
          <w:color w:val="auto"/>
        </w:rPr>
        <w:t>Our Board currently consists of thirteen members. The Board size will decrease to eleven members upon the retirement of Messrs. Gellein and Martinez effective immediately prior to the commencement of the 2025 Annual Meeting of Stockholders. At our 2023 Annual Meeting of Stockholders, our stockholders approved and adopted an amendment to our Certificate of Incorporation to phase in the declassification of our Board commencing with the 2024 Annual Meeting of Stockholders. Under our Certificate of Incorporation, as so amended, directors were first elected for one-year terms at the 2024 Annual Meeting of Stockholders, the directors elected at the 2025 Annual Meeting of Stockholders will be elected for one-year terms, and beginning with the 2026 Annual Meeting of Stockholders, the entire Board will be elected on an annual basis.</w:t>
      </w:r>
    </w:p>
    <w:p>
      <w:pPr>
        <w:spacing w:after="0" w:line="74" w:lineRule="exact"/>
        <w:rPr>
          <w:sz w:val="20"/>
          <w:szCs w:val="20"/>
          <w:color w:val="auto"/>
        </w:rPr>
      </w:pPr>
    </w:p>
    <w:p>
      <w:pPr>
        <w:jc w:val="both"/>
        <w:ind w:left="140" w:right="600"/>
        <w:spacing w:after="0" w:line="258" w:lineRule="auto"/>
        <w:rPr>
          <w:sz w:val="20"/>
          <w:szCs w:val="20"/>
          <w:color w:val="auto"/>
        </w:rPr>
      </w:pPr>
      <w:r>
        <w:rPr>
          <w:rFonts w:ascii="Arial" w:cs="Arial" w:eastAsia="Arial" w:hAnsi="Arial"/>
          <w:sz w:val="16"/>
          <w:szCs w:val="16"/>
          <w:color w:val="auto"/>
        </w:rPr>
        <w:t>All of our director nominees currently serve as directors on our Board. The tables below set forth information regarding the members of our Board continuing in office or nominated for re-election. Our Board has determined that all members of our Board are “independent directors” meeting the applicable requirements of the Listing Rules of the New York Stock Exchange (the “NYSE”) other than John E. Geller, Jr., our President and Chief Executive Officer.</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Nominees for Director</w:t>
      </w:r>
    </w:p>
    <w:p>
      <w:pPr>
        <w:spacing w:after="0" w:line="102" w:lineRule="exact"/>
        <w:rPr>
          <w:sz w:val="20"/>
          <w:szCs w:val="20"/>
          <w:color w:val="auto"/>
        </w:rPr>
      </w:pPr>
    </w:p>
    <w:p>
      <w:pPr>
        <w:ind w:left="140" w:right="560"/>
        <w:spacing w:after="0" w:line="284" w:lineRule="auto"/>
        <w:rPr>
          <w:sz w:val="20"/>
          <w:szCs w:val="20"/>
          <w:color w:val="auto"/>
        </w:rPr>
      </w:pPr>
      <w:r>
        <w:rPr>
          <w:rFonts w:ascii="Arial" w:cs="Arial" w:eastAsia="Arial" w:hAnsi="Arial"/>
          <w:sz w:val="16"/>
          <w:szCs w:val="16"/>
          <w:color w:val="auto"/>
        </w:rPr>
        <w:t>The Board has nominated eight directors to be elected at the Annual Meeting to serve for a one-year term ending with the 2026 Annual Meeting of Stockholders, or until the director’s successor is duly elected and qualified, or the director’s earlier death, resignation or removal.</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MATTHEW E. AVRIL</w:t>
            </w:r>
          </w:p>
        </w:tc>
        <w:tc>
          <w:tcPr>
            <w:tcW w:w="7340" w:type="dxa"/>
            <w:vAlign w:val="bottom"/>
            <w:tcBorders>
              <w:top w:val="single" w:sz="8" w:color="003A70"/>
            </w:tcBorders>
          </w:tcPr>
          <w:p>
            <w:pPr>
              <w:spacing w:after="0"/>
              <w:rPr>
                <w:sz w:val="20"/>
                <w:szCs w:val="20"/>
                <w:color w:val="auto"/>
              </w:rPr>
            </w:pPr>
          </w:p>
        </w:tc>
      </w:tr>
      <w:tr>
        <w:trPr>
          <w:trHeight w:val="24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73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2"/>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40" w:type="dxa"/>
            <w:vAlign w:val="bottom"/>
          </w:tcPr>
          <w:p>
            <w:pPr>
              <w:spacing w:after="0"/>
              <w:rPr>
                <w:sz w:val="19"/>
                <w:szCs w:val="19"/>
                <w:color w:val="auto"/>
              </w:rPr>
            </w:pP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100"/>
        <w:spacing w:after="0" w:line="247" w:lineRule="auto"/>
        <w:rPr>
          <w:sz w:val="20"/>
          <w:szCs w:val="20"/>
          <w:color w:val="auto"/>
        </w:rPr>
      </w:pPr>
      <w:r>
        <w:rPr>
          <w:rFonts w:ascii="Arial" w:cs="Arial" w:eastAsia="Arial" w:hAnsi="Arial"/>
          <w:sz w:val="16"/>
          <w:szCs w:val="16"/>
          <w:color w:val="auto"/>
        </w:rPr>
        <w:t>Mr. Avril has over 30 years of executive experience, principally in the hospitality and vacation ownership industry. Mr. Avril has been a self-employed consultant since March 2017. He previously served as Chief Executive Officer of Diamond Resorts International, Inc., a hospitality and vacation ownership company, from November 2016 to March 2017. Prior to that, he was Chief Executive Officer-elect for Vistana Signature Experiences, Inc. (“Vistana”), a vacation ownership business, from February 2015 to May 2016, after his retirement as President, Hotel Group, for Starwood Hotels &amp; Resorts Worldwide, Inc., a publicly traded hotel and leisure company (“Starwood”) – a position he held from September 2008 to December 2012. In this role, he was responsible for hotel operations worldwide for Starwood’s nine hotel brands, consisting of 960 properties in more than approximately 97 countries. Before that, from 2002 to 2008, he served in a number of executive leadership positions with Starwood, and from 1989 to 1998, held various senior leadership positions with Vistana including President and Managing Director of Operations. Mr. Avril previously served as a director and Chairman of the Board of Directors of Franchise Group, Inc. and Babcock &amp; Wilcox Enterprises, Inc.</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120"/>
        <w:spacing w:after="0" w:line="249" w:lineRule="auto"/>
        <w:rPr>
          <w:sz w:val="20"/>
          <w:szCs w:val="20"/>
          <w:color w:val="auto"/>
        </w:rPr>
      </w:pPr>
      <w:r>
        <w:rPr>
          <w:rFonts w:ascii="Arial" w:cs="Arial" w:eastAsia="Arial" w:hAnsi="Arial"/>
          <w:sz w:val="16"/>
          <w:szCs w:val="16"/>
          <w:color w:val="auto"/>
        </w:rPr>
        <w:t>Mr. Avril provides the Board with the benefit of his over 30 years of executive experience, principally in the hospitality and vacation ownership industries, including as former Chief Executive Officer of Diamond Resorts International Inc., as former President, Hotel Group of Starwood Hotels &amp; Resorts Worldwide, Inc., and as former President and Managing Director of Operations of Starwood Vacation Ownership (later renamed Vistana Signature Experiences, Inc.), a division of Starwood Hotels &amp; Resorts Worldwide. The Board also benefits from his accounting and financial expertise as a certified public accountant (inactive), and his experience having served as a chair and member of the boards of directors and committees of the boards of directors of other publicly traded companies.</w:t>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2000" w:type="dxa"/>
            <w:vAlign w:val="bottom"/>
          </w:tcPr>
          <w:p>
            <w:pPr>
              <w:ind w:left="260"/>
              <w:spacing w:after="0"/>
              <w:rPr>
                <w:sz w:val="20"/>
                <w:szCs w:val="20"/>
                <w:color w:val="auto"/>
              </w:rPr>
            </w:pPr>
            <w:r>
              <w:rPr>
                <w:rFonts w:ascii="Arial" w:cs="Arial" w:eastAsia="Arial" w:hAnsi="Arial"/>
                <w:sz w:val="13"/>
                <w:szCs w:val="13"/>
                <w:color w:val="003A70"/>
              </w:rPr>
              <w:t>Corporate</w:t>
            </w:r>
          </w:p>
        </w:tc>
        <w:tc>
          <w:tcPr>
            <w:tcW w:w="18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40" w:type="dxa"/>
            <w:vAlign w:val="bottom"/>
          </w:tcPr>
          <w:p>
            <w:pPr>
              <w:ind w:left="340"/>
              <w:spacing w:after="0"/>
              <w:rPr>
                <w:sz w:val="20"/>
                <w:szCs w:val="20"/>
                <w:color w:val="auto"/>
              </w:rPr>
            </w:pPr>
            <w:r>
              <w:rPr>
                <w:rFonts w:ascii="Arial" w:cs="Arial" w:eastAsia="Arial" w:hAnsi="Arial"/>
                <w:sz w:val="13"/>
                <w:szCs w:val="13"/>
                <w:color w:val="003A70"/>
              </w:rPr>
              <w:t>Accounting &amp;</w:t>
            </w:r>
          </w:p>
        </w:tc>
        <w:tc>
          <w:tcPr>
            <w:tcW w:w="1840" w:type="dxa"/>
            <w:vAlign w:val="bottom"/>
          </w:tcPr>
          <w:p>
            <w:pPr>
              <w:ind w:left="480"/>
              <w:spacing w:after="0"/>
              <w:rPr>
                <w:sz w:val="20"/>
                <w:szCs w:val="20"/>
                <w:color w:val="auto"/>
              </w:rPr>
            </w:pPr>
            <w:r>
              <w:rPr>
                <w:rFonts w:ascii="Arial" w:cs="Arial" w:eastAsia="Arial" w:hAnsi="Arial"/>
                <w:sz w:val="13"/>
                <w:szCs w:val="13"/>
                <w:color w:val="003A70"/>
                <w:w w:val="95"/>
              </w:rPr>
              <w:t>Business Development /</w:t>
            </w:r>
          </w:p>
        </w:tc>
      </w:tr>
      <w:tr>
        <w:trPr>
          <w:trHeight w:val="175"/>
        </w:trPr>
        <w:tc>
          <w:tcPr>
            <w:tcW w:w="380" w:type="dxa"/>
            <w:vAlign w:val="bottom"/>
          </w:tcPr>
          <w:p>
            <w:pPr>
              <w:spacing w:after="0"/>
              <w:rPr>
                <w:sz w:val="20"/>
                <w:szCs w:val="20"/>
                <w:color w:val="auto"/>
              </w:rPr>
            </w:pPr>
            <w:r>
              <w:rPr>
                <w:rFonts w:ascii="Arial" w:cs="Arial" w:eastAsia="Arial" w:hAnsi="Arial"/>
                <w:sz w:val="13"/>
                <w:szCs w:val="13"/>
                <w:color w:val="auto"/>
              </w:rPr>
              <w:t> </w:t>
            </w:r>
          </w:p>
        </w:tc>
        <w:tc>
          <w:tcPr>
            <w:tcW w:w="2000" w:type="dxa"/>
            <w:vAlign w:val="bottom"/>
          </w:tcPr>
          <w:p>
            <w:pPr>
              <w:ind w:left="260"/>
              <w:spacing w:after="0"/>
              <w:rPr>
                <w:sz w:val="20"/>
                <w:szCs w:val="20"/>
                <w:color w:val="auto"/>
              </w:rPr>
            </w:pPr>
            <w:r>
              <w:rPr>
                <w:rFonts w:ascii="Arial" w:cs="Arial" w:eastAsia="Arial" w:hAnsi="Arial"/>
                <w:sz w:val="13"/>
                <w:szCs w:val="13"/>
                <w:color w:val="003A70"/>
              </w:rPr>
              <w:t>Leadership</w:t>
            </w:r>
          </w:p>
        </w:tc>
        <w:tc>
          <w:tcPr>
            <w:tcW w:w="1800" w:type="dxa"/>
            <w:vAlign w:val="bottom"/>
          </w:tcPr>
          <w:p>
            <w:pPr>
              <w:ind w:left="440"/>
              <w:spacing w:after="0"/>
              <w:rPr>
                <w:sz w:val="20"/>
                <w:szCs w:val="20"/>
                <w:color w:val="auto"/>
              </w:rPr>
            </w:pPr>
            <w:r>
              <w:rPr>
                <w:rFonts w:ascii="Arial" w:cs="Arial" w:eastAsia="Arial" w:hAnsi="Arial"/>
                <w:sz w:val="13"/>
                <w:szCs w:val="13"/>
                <w:color w:val="003A70"/>
              </w:rPr>
              <w:t>Independence</w:t>
            </w:r>
          </w:p>
        </w:tc>
        <w:tc>
          <w:tcPr>
            <w:tcW w:w="2920" w:type="dxa"/>
            <w:vAlign w:val="bottom"/>
          </w:tcPr>
          <w:p>
            <w:pPr>
              <w:ind w:left="840"/>
              <w:spacing w:after="0"/>
              <w:rPr>
                <w:sz w:val="20"/>
                <w:szCs w:val="20"/>
                <w:color w:val="auto"/>
              </w:rPr>
            </w:pPr>
            <w:r>
              <w:rPr>
                <w:rFonts w:ascii="Arial" w:cs="Arial" w:eastAsia="Arial" w:hAnsi="Arial"/>
                <w:sz w:val="13"/>
                <w:szCs w:val="13"/>
                <w:color w:val="003A70"/>
              </w:rPr>
              <w:t>Financial &amp; Capital Markets</w:t>
            </w:r>
          </w:p>
        </w:tc>
        <w:tc>
          <w:tcPr>
            <w:tcW w:w="2040" w:type="dxa"/>
            <w:vAlign w:val="bottom"/>
          </w:tcPr>
          <w:p>
            <w:pPr>
              <w:ind w:left="340"/>
              <w:spacing w:after="0"/>
              <w:rPr>
                <w:sz w:val="20"/>
                <w:szCs w:val="20"/>
                <w:color w:val="auto"/>
              </w:rPr>
            </w:pPr>
            <w:r>
              <w:rPr>
                <w:rFonts w:ascii="Arial" w:cs="Arial" w:eastAsia="Arial" w:hAnsi="Arial"/>
                <w:sz w:val="13"/>
                <w:szCs w:val="13"/>
                <w:color w:val="003A70"/>
              </w:rPr>
              <w:t>Financial Reporting</w:t>
            </w:r>
          </w:p>
        </w:tc>
        <w:tc>
          <w:tcPr>
            <w:tcW w:w="1840" w:type="dxa"/>
            <w:vAlign w:val="bottom"/>
          </w:tcPr>
          <w:p>
            <w:pPr>
              <w:ind w:left="480"/>
              <w:spacing w:after="0"/>
              <w:rPr>
                <w:sz w:val="20"/>
                <w:szCs w:val="20"/>
                <w:color w:val="auto"/>
              </w:rPr>
            </w:pPr>
            <w:r>
              <w:rPr>
                <w:rFonts w:ascii="Arial" w:cs="Arial" w:eastAsia="Arial" w:hAnsi="Arial"/>
                <w:sz w:val="13"/>
                <w:szCs w:val="13"/>
                <w:color w:val="003A70"/>
              </w:rPr>
              <w:t>Mergers &amp; Acquisitions</w:t>
            </w:r>
          </w:p>
        </w:tc>
      </w:tr>
      <w:tr>
        <w:trPr>
          <w:trHeight w:val="265"/>
        </w:trPr>
        <w:tc>
          <w:tcPr>
            <w:tcW w:w="380" w:type="dxa"/>
            <w:vAlign w:val="bottom"/>
          </w:tcPr>
          <w:p>
            <w:pPr>
              <w:spacing w:after="0"/>
              <w:rPr>
                <w:sz w:val="23"/>
                <w:szCs w:val="23"/>
                <w:color w:val="auto"/>
              </w:rPr>
            </w:pPr>
          </w:p>
        </w:tc>
        <w:tc>
          <w:tcPr>
            <w:tcW w:w="2000" w:type="dxa"/>
            <w:vAlign w:val="bottom"/>
          </w:tcPr>
          <w:p>
            <w:pPr>
              <w:ind w:left="260"/>
              <w:spacing w:after="0"/>
              <w:rPr>
                <w:sz w:val="20"/>
                <w:szCs w:val="20"/>
                <w:color w:val="auto"/>
              </w:rPr>
            </w:pPr>
            <w:r>
              <w:rPr>
                <w:rFonts w:ascii="Arial" w:cs="Arial" w:eastAsia="Arial" w:hAnsi="Arial"/>
                <w:sz w:val="13"/>
                <w:szCs w:val="13"/>
                <w:color w:val="003A70"/>
              </w:rPr>
              <w:t>Sales &amp; Marketing/</w:t>
            </w:r>
          </w:p>
        </w:tc>
        <w:tc>
          <w:tcPr>
            <w:tcW w:w="18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40" w:type="dxa"/>
            <w:vAlign w:val="bottom"/>
          </w:tcPr>
          <w:p>
            <w:pPr>
              <w:ind w:left="480"/>
              <w:spacing w:after="0"/>
              <w:rPr>
                <w:sz w:val="20"/>
                <w:szCs w:val="20"/>
                <w:color w:val="auto"/>
              </w:rPr>
            </w:pPr>
            <w:r>
              <w:rPr>
                <w:rFonts w:ascii="Arial" w:cs="Arial" w:eastAsia="Arial" w:hAnsi="Arial"/>
                <w:sz w:val="13"/>
                <w:szCs w:val="13"/>
                <w:color w:val="003A70"/>
              </w:rPr>
              <w:t>Vacation Ownership &amp;</w:t>
            </w:r>
          </w:p>
        </w:tc>
      </w:tr>
      <w:tr>
        <w:trPr>
          <w:trHeight w:val="166"/>
        </w:trPr>
        <w:tc>
          <w:tcPr>
            <w:tcW w:w="380" w:type="dxa"/>
            <w:vAlign w:val="bottom"/>
          </w:tcPr>
          <w:p>
            <w:pPr>
              <w:spacing w:after="0"/>
              <w:rPr>
                <w:sz w:val="14"/>
                <w:szCs w:val="14"/>
                <w:color w:val="auto"/>
              </w:rPr>
            </w:pPr>
          </w:p>
        </w:tc>
        <w:tc>
          <w:tcPr>
            <w:tcW w:w="2000" w:type="dxa"/>
            <w:vAlign w:val="bottom"/>
          </w:tcPr>
          <w:p>
            <w:pPr>
              <w:ind w:left="260"/>
              <w:spacing w:after="0"/>
              <w:rPr>
                <w:sz w:val="20"/>
                <w:szCs w:val="20"/>
                <w:color w:val="auto"/>
              </w:rPr>
            </w:pPr>
            <w:r>
              <w:rPr>
                <w:rFonts w:ascii="Arial" w:cs="Arial" w:eastAsia="Arial" w:hAnsi="Arial"/>
                <w:sz w:val="13"/>
                <w:szCs w:val="13"/>
                <w:color w:val="003A70"/>
              </w:rPr>
              <w:t>Consumer Insights</w:t>
            </w:r>
          </w:p>
        </w:tc>
        <w:tc>
          <w:tcPr>
            <w:tcW w:w="1800" w:type="dxa"/>
            <w:vAlign w:val="bottom"/>
          </w:tcPr>
          <w:p>
            <w:pPr>
              <w:ind w:left="440"/>
              <w:spacing w:after="0"/>
              <w:rPr>
                <w:sz w:val="20"/>
                <w:szCs w:val="20"/>
                <w:color w:val="auto"/>
              </w:rPr>
            </w:pPr>
            <w:r>
              <w:rPr>
                <w:rFonts w:ascii="Arial" w:cs="Arial" w:eastAsia="Arial" w:hAnsi="Arial"/>
                <w:sz w:val="13"/>
                <w:szCs w:val="13"/>
                <w:color w:val="003A70"/>
              </w:rPr>
              <w:t>Compliance</w:t>
            </w:r>
          </w:p>
        </w:tc>
        <w:tc>
          <w:tcPr>
            <w:tcW w:w="2920" w:type="dxa"/>
            <w:vAlign w:val="bottom"/>
          </w:tcPr>
          <w:p>
            <w:pPr>
              <w:ind w:left="840"/>
              <w:spacing w:after="0"/>
              <w:rPr>
                <w:sz w:val="20"/>
                <w:szCs w:val="20"/>
                <w:color w:val="auto"/>
              </w:rPr>
            </w:pPr>
            <w:r>
              <w:rPr>
                <w:rFonts w:ascii="Arial" w:cs="Arial" w:eastAsia="Arial" w:hAnsi="Arial"/>
                <w:sz w:val="13"/>
                <w:szCs w:val="13"/>
                <w:color w:val="003A70"/>
              </w:rPr>
              <w:t>Strategic Planning</w:t>
            </w:r>
          </w:p>
        </w:tc>
        <w:tc>
          <w:tcPr>
            <w:tcW w:w="2040" w:type="dxa"/>
            <w:vAlign w:val="bottom"/>
          </w:tcPr>
          <w:p>
            <w:pPr>
              <w:ind w:left="340"/>
              <w:spacing w:after="0"/>
              <w:rPr>
                <w:sz w:val="20"/>
                <w:szCs w:val="20"/>
                <w:color w:val="auto"/>
              </w:rPr>
            </w:pPr>
            <w:r>
              <w:rPr>
                <w:rFonts w:ascii="Arial" w:cs="Arial" w:eastAsia="Arial" w:hAnsi="Arial"/>
                <w:sz w:val="13"/>
                <w:szCs w:val="13"/>
                <w:color w:val="003A70"/>
              </w:rPr>
              <w:t>Global Expertise</w:t>
            </w:r>
          </w:p>
        </w:tc>
        <w:tc>
          <w:tcPr>
            <w:tcW w:w="1840" w:type="dxa"/>
            <w:vAlign w:val="bottom"/>
          </w:tcPr>
          <w:p>
            <w:pPr>
              <w:ind w:left="480"/>
              <w:spacing w:after="0"/>
              <w:rPr>
                <w:sz w:val="20"/>
                <w:szCs w:val="20"/>
                <w:color w:val="auto"/>
              </w:rPr>
            </w:pPr>
            <w:r>
              <w:rPr>
                <w:rFonts w:ascii="Arial" w:cs="Arial" w:eastAsia="Arial" w:hAnsi="Arial"/>
                <w:sz w:val="13"/>
                <w:szCs w:val="13"/>
                <w:color w:val="003A70"/>
              </w:rPr>
              <w:t>Lodging Industry</w:t>
            </w:r>
          </w:p>
        </w:tc>
      </w:tr>
      <w:tr>
        <w:trPr>
          <w:trHeight w:val="305"/>
        </w:trPr>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20" w:type="dxa"/>
            <w:vAlign w:val="bottom"/>
          </w:tcPr>
          <w:p>
            <w:pPr>
              <w:ind w:left="840"/>
              <w:spacing w:after="0"/>
              <w:rPr>
                <w:sz w:val="20"/>
                <w:szCs w:val="20"/>
                <w:color w:val="auto"/>
              </w:rPr>
            </w:pPr>
            <w:r>
              <w:rPr>
                <w:rFonts w:ascii="Arial" w:cs="Arial" w:eastAsia="Arial" w:hAnsi="Arial"/>
                <w:sz w:val="13"/>
                <w:szCs w:val="13"/>
                <w:color w:val="003A70"/>
              </w:rPr>
              <w:t>Human Capital, Professional</w:t>
            </w: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9"/>
        </w:trPr>
        <w:tc>
          <w:tcPr>
            <w:tcW w:w="380" w:type="dxa"/>
            <w:vAlign w:val="bottom"/>
          </w:tcPr>
          <w:p>
            <w:pPr>
              <w:spacing w:after="0"/>
              <w:rPr>
                <w:sz w:val="12"/>
                <w:szCs w:val="12"/>
                <w:color w:val="auto"/>
              </w:rPr>
            </w:pPr>
          </w:p>
        </w:tc>
        <w:tc>
          <w:tcPr>
            <w:tcW w:w="2000" w:type="dxa"/>
            <w:vAlign w:val="bottom"/>
          </w:tcPr>
          <w:p>
            <w:pPr>
              <w:ind w:left="260"/>
              <w:spacing w:after="0" w:line="139" w:lineRule="exact"/>
              <w:rPr>
                <w:sz w:val="20"/>
                <w:szCs w:val="20"/>
                <w:color w:val="auto"/>
              </w:rPr>
            </w:pPr>
            <w:r>
              <w:rPr>
                <w:rFonts w:ascii="Arial" w:cs="Arial" w:eastAsia="Arial" w:hAnsi="Arial"/>
                <w:sz w:val="13"/>
                <w:szCs w:val="13"/>
                <w:color w:val="003A70"/>
              </w:rPr>
              <w:t>Public Company Board</w:t>
            </w:r>
          </w:p>
        </w:tc>
        <w:tc>
          <w:tcPr>
            <w:tcW w:w="1800" w:type="dxa"/>
            <w:vAlign w:val="bottom"/>
          </w:tcPr>
          <w:p>
            <w:pPr>
              <w:ind w:left="440"/>
              <w:spacing w:after="0" w:line="139" w:lineRule="exact"/>
              <w:rPr>
                <w:sz w:val="20"/>
                <w:szCs w:val="20"/>
                <w:color w:val="auto"/>
              </w:rPr>
            </w:pPr>
            <w:r>
              <w:rPr>
                <w:rFonts w:ascii="Arial" w:cs="Arial" w:eastAsia="Arial" w:hAnsi="Arial"/>
                <w:sz w:val="13"/>
                <w:szCs w:val="13"/>
                <w:color w:val="003A70"/>
                <w:w w:val="98"/>
              </w:rPr>
              <w:t>Real Estate &amp; Business</w:t>
            </w:r>
          </w:p>
        </w:tc>
        <w:tc>
          <w:tcPr>
            <w:tcW w:w="2920" w:type="dxa"/>
            <w:vAlign w:val="bottom"/>
          </w:tcPr>
          <w:p>
            <w:pPr>
              <w:ind w:left="840"/>
              <w:spacing w:after="0" w:line="139" w:lineRule="exact"/>
              <w:rPr>
                <w:sz w:val="20"/>
                <w:szCs w:val="20"/>
                <w:color w:val="auto"/>
              </w:rPr>
            </w:pPr>
            <w:r>
              <w:rPr>
                <w:rFonts w:ascii="Arial" w:cs="Arial" w:eastAsia="Arial" w:hAnsi="Arial"/>
                <w:sz w:val="13"/>
                <w:szCs w:val="13"/>
                <w:color w:val="003A70"/>
              </w:rPr>
              <w:t>Development &amp;</w:t>
            </w:r>
          </w:p>
        </w:tc>
        <w:tc>
          <w:tcPr>
            <w:tcW w:w="2040" w:type="dxa"/>
            <w:vAlign w:val="bottom"/>
          </w:tcPr>
          <w:p>
            <w:pPr>
              <w:ind w:left="340"/>
              <w:spacing w:after="0" w:line="139" w:lineRule="exact"/>
              <w:rPr>
                <w:sz w:val="20"/>
                <w:szCs w:val="20"/>
                <w:color w:val="auto"/>
              </w:rPr>
            </w:pPr>
            <w:r>
              <w:rPr>
                <w:rFonts w:ascii="Arial" w:cs="Arial" w:eastAsia="Arial" w:hAnsi="Arial"/>
                <w:sz w:val="13"/>
                <w:szCs w:val="13"/>
                <w:color w:val="003A70"/>
              </w:rPr>
              <w:t>Legal, Regulatory &amp;</w:t>
            </w:r>
          </w:p>
        </w:tc>
        <w:tc>
          <w:tcPr>
            <w:tcW w:w="1840" w:type="dxa"/>
            <w:vAlign w:val="bottom"/>
          </w:tcPr>
          <w:p>
            <w:pPr>
              <w:spacing w:after="0"/>
              <w:rPr>
                <w:sz w:val="12"/>
                <w:szCs w:val="12"/>
                <w:color w:val="auto"/>
              </w:rPr>
            </w:pPr>
          </w:p>
        </w:tc>
      </w:tr>
      <w:tr>
        <w:trPr>
          <w:trHeight w:val="175"/>
        </w:trPr>
        <w:tc>
          <w:tcPr>
            <w:tcW w:w="380" w:type="dxa"/>
            <w:vAlign w:val="bottom"/>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3"/>
                <w:szCs w:val="13"/>
                <w:color w:val="003A70"/>
              </w:rPr>
              <w:t>Service &amp; Governance</w:t>
            </w:r>
          </w:p>
        </w:tc>
        <w:tc>
          <w:tcPr>
            <w:tcW w:w="1800" w:type="dxa"/>
            <w:vAlign w:val="bottom"/>
          </w:tcPr>
          <w:p>
            <w:pPr>
              <w:ind w:left="440"/>
              <w:spacing w:after="0"/>
              <w:rPr>
                <w:sz w:val="20"/>
                <w:szCs w:val="20"/>
                <w:color w:val="auto"/>
              </w:rPr>
            </w:pPr>
            <w:r>
              <w:rPr>
                <w:rFonts w:ascii="Arial" w:cs="Arial" w:eastAsia="Arial" w:hAnsi="Arial"/>
                <w:sz w:val="13"/>
                <w:szCs w:val="13"/>
                <w:color w:val="003A70"/>
              </w:rPr>
              <w:t>Development</w:t>
            </w:r>
          </w:p>
        </w:tc>
        <w:tc>
          <w:tcPr>
            <w:tcW w:w="2920" w:type="dxa"/>
            <w:vAlign w:val="bottom"/>
          </w:tcPr>
          <w:p>
            <w:pPr>
              <w:ind w:left="840"/>
              <w:spacing w:after="0"/>
              <w:rPr>
                <w:sz w:val="20"/>
                <w:szCs w:val="20"/>
                <w:color w:val="auto"/>
              </w:rPr>
            </w:pPr>
            <w:r>
              <w:rPr>
                <w:rFonts w:ascii="Arial" w:cs="Arial" w:eastAsia="Arial" w:hAnsi="Arial"/>
                <w:sz w:val="13"/>
                <w:szCs w:val="13"/>
                <w:color w:val="003A70"/>
              </w:rPr>
              <w:t>Organizational Culture</w:t>
            </w:r>
          </w:p>
        </w:tc>
        <w:tc>
          <w:tcPr>
            <w:tcW w:w="2040" w:type="dxa"/>
            <w:vAlign w:val="bottom"/>
          </w:tcPr>
          <w:p>
            <w:pPr>
              <w:ind w:left="340"/>
              <w:spacing w:after="0"/>
              <w:rPr>
                <w:sz w:val="20"/>
                <w:szCs w:val="20"/>
                <w:color w:val="auto"/>
              </w:rPr>
            </w:pPr>
            <w:r>
              <w:rPr>
                <w:rFonts w:ascii="Arial" w:cs="Arial" w:eastAsia="Arial" w:hAnsi="Arial"/>
                <w:sz w:val="13"/>
                <w:szCs w:val="13"/>
                <w:color w:val="003A70"/>
              </w:rPr>
              <w:t>Government Relations</w:t>
            </w:r>
          </w:p>
        </w:tc>
        <w:tc>
          <w:tcPr>
            <w:tcW w:w="1840" w:type="dxa"/>
            <w:vAlign w:val="bottom"/>
          </w:tcPr>
          <w:p>
            <w:pPr>
              <w:spacing w:after="0"/>
              <w:rPr>
                <w:sz w:val="15"/>
                <w:szCs w:val="15"/>
                <w:color w:val="auto"/>
              </w:rPr>
            </w:pPr>
          </w:p>
        </w:tc>
      </w:tr>
      <w:tr>
        <w:trPr>
          <w:trHeight w:val="256"/>
        </w:trPr>
        <w:tc>
          <w:tcPr>
            <w:tcW w:w="38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10</w:t>
            </w:r>
          </w:p>
        </w:tc>
        <w:tc>
          <w:tcPr>
            <w:tcW w:w="2000" w:type="dxa"/>
            <w:vAlign w:val="bottom"/>
            <w:tcBorders>
              <w:bottom w:val="single" w:sz="8" w:color="003A70"/>
            </w:tcBorders>
          </w:tcPr>
          <w:p>
            <w:pPr>
              <w:spacing w:after="0"/>
              <w:rPr>
                <w:sz w:val="22"/>
                <w:szCs w:val="22"/>
                <w:color w:val="auto"/>
              </w:rPr>
            </w:pPr>
          </w:p>
        </w:tc>
        <w:tc>
          <w:tcPr>
            <w:tcW w:w="1800" w:type="dxa"/>
            <w:vAlign w:val="bottom"/>
            <w:tcBorders>
              <w:bottom w:val="single" w:sz="8" w:color="003A70"/>
            </w:tcBorders>
          </w:tcPr>
          <w:p>
            <w:pPr>
              <w:spacing w:after="0"/>
              <w:rPr>
                <w:sz w:val="22"/>
                <w:szCs w:val="22"/>
                <w:color w:val="auto"/>
              </w:rPr>
            </w:pPr>
          </w:p>
        </w:tc>
        <w:tc>
          <w:tcPr>
            <w:tcW w:w="2920" w:type="dxa"/>
            <w:vAlign w:val="bottom"/>
            <w:tcBorders>
              <w:bottom w:val="single" w:sz="8" w:color="003A70"/>
            </w:tcBorders>
          </w:tcPr>
          <w:p>
            <w:pPr>
              <w:ind w:left="60"/>
              <w:spacing w:after="0"/>
              <w:rPr>
                <w:sz w:val="20"/>
                <w:szCs w:val="20"/>
                <w:color w:val="auto"/>
              </w:rPr>
            </w:pPr>
            <w:r>
              <w:rPr>
                <w:rFonts w:ascii="Arial" w:cs="Arial" w:eastAsia="Arial" w:hAnsi="Arial"/>
                <w:sz w:val="11"/>
                <w:szCs w:val="11"/>
                <w:color w:val="auto"/>
              </w:rPr>
              <w:t>Report on the Board of Directors and its Committees</w:t>
            </w:r>
          </w:p>
        </w:tc>
        <w:tc>
          <w:tcPr>
            <w:tcW w:w="3880" w:type="dxa"/>
            <w:vAlign w:val="bottom"/>
            <w:tcBorders>
              <w:bottom w:val="single" w:sz="8" w:color="003A70"/>
            </w:tcBorders>
            <w:gridSpan w:val="2"/>
          </w:tcPr>
          <w:p>
            <w:pPr>
              <w:ind w:left="60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-1007110</wp:posOffset>
            </wp:positionV>
            <wp:extent cx="93980" cy="136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-981710</wp:posOffset>
            </wp:positionV>
            <wp:extent cx="162560" cy="136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-981710</wp:posOffset>
            </wp:positionV>
            <wp:extent cx="162560" cy="136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-981710</wp:posOffset>
            </wp:positionV>
            <wp:extent cx="136525"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-981710</wp:posOffset>
            </wp:positionV>
            <wp:extent cx="153670" cy="136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-708660</wp:posOffset>
            </wp:positionV>
            <wp:extent cx="145415" cy="13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-716915</wp:posOffset>
            </wp:positionV>
            <wp:extent cx="196215" cy="136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215" cy="13652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-708660</wp:posOffset>
            </wp:positionV>
            <wp:extent cx="145415" cy="136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-708660</wp:posOffset>
            </wp:positionV>
            <wp:extent cx="145415" cy="136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-708660</wp:posOffset>
            </wp:positionV>
            <wp:extent cx="128270" cy="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-315595</wp:posOffset>
            </wp:positionV>
            <wp:extent cx="162560" cy="136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1525270</wp:posOffset>
            </wp:positionH>
            <wp:positionV relativeFrom="paragraph">
              <wp:posOffset>-315595</wp:posOffset>
            </wp:positionV>
            <wp:extent cx="145415" cy="136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-315595</wp:posOffset>
            </wp:positionV>
            <wp:extent cx="145415" cy="136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-315595</wp:posOffset>
            </wp:positionV>
            <wp:extent cx="136525" cy="136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8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JAMES A. “JIM” DAUSCH</w:t>
            </w:r>
          </w:p>
        </w:tc>
        <w:tc>
          <w:tcPr>
            <w:tcW w:w="7140" w:type="dxa"/>
            <w:vAlign w:val="bottom"/>
            <w:tcBorders>
              <w:top w:val="single" w:sz="8" w:color="003A70"/>
            </w:tcBorders>
          </w:tcPr>
          <w:p>
            <w:pPr>
              <w:spacing w:after="0"/>
              <w:rPr>
                <w:sz w:val="20"/>
                <w:szCs w:val="20"/>
                <w:color w:val="auto"/>
              </w:rPr>
            </w:pPr>
          </w:p>
        </w:tc>
      </w:tr>
      <w:tr>
        <w:trPr>
          <w:trHeight w:val="248"/>
        </w:trPr>
        <w:tc>
          <w:tcPr>
            <w:tcW w:w="38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tc>
        <w:tc>
          <w:tcPr>
            <w:tcW w:w="7140" w:type="dxa"/>
            <w:vAlign w:val="bottom"/>
          </w:tcPr>
          <w:p>
            <w:pPr>
              <w:ind w:left="1880"/>
              <w:spacing w:after="0"/>
              <w:rPr>
                <w:sz w:val="20"/>
                <w:szCs w:val="20"/>
                <w:color w:val="auto"/>
              </w:rPr>
            </w:pPr>
            <w:r>
              <w:rPr>
                <w:rFonts w:ascii="Arial" w:cs="Arial" w:eastAsia="Arial" w:hAnsi="Arial"/>
                <w:sz w:val="16"/>
                <w:szCs w:val="16"/>
                <w:color w:val="auto"/>
              </w:rPr>
              <w:t>Committees:</w:t>
            </w:r>
          </w:p>
        </w:tc>
      </w:tr>
      <w:tr>
        <w:trPr>
          <w:trHeight w:val="188"/>
        </w:trPr>
        <w:tc>
          <w:tcPr>
            <w:tcW w:w="38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tc>
        <w:tc>
          <w:tcPr>
            <w:tcW w:w="7140" w:type="dxa"/>
            <w:vAlign w:val="bottom"/>
          </w:tcPr>
          <w:p>
            <w:pPr>
              <w:ind w:left="18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2"/>
        </w:trPr>
        <w:tc>
          <w:tcPr>
            <w:tcW w:w="38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140" w:type="dxa"/>
            <w:vAlign w:val="bottom"/>
          </w:tcPr>
          <w:p>
            <w:pPr>
              <w:spacing w:after="0"/>
              <w:rPr>
                <w:sz w:val="19"/>
                <w:szCs w:val="19"/>
                <w:color w:val="auto"/>
              </w:rPr>
            </w:pP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40"/>
        <w:spacing w:after="0" w:line="247" w:lineRule="auto"/>
        <w:rPr>
          <w:sz w:val="20"/>
          <w:szCs w:val="20"/>
          <w:color w:val="auto"/>
        </w:rPr>
      </w:pPr>
      <w:r>
        <w:rPr>
          <w:rFonts w:ascii="Arial" w:cs="Arial" w:eastAsia="Arial" w:hAnsi="Arial"/>
          <w:sz w:val="16"/>
          <w:szCs w:val="16"/>
          <w:color w:val="auto"/>
        </w:rPr>
        <w:t>Mr. Dausch has served as Global Chief Digital and Technology Officer, Pizza Hut at Yum! Brands, Inc., a multinational fast food company, since December 2024. Prior to that, he served as Executive Vice President and Chief Strategy and Consumer Experience Officer at Under Armour, Inc., one of the world’s leading athletic performance brands from May 2024 to December 2024 and Executive Vice President, Chief Customer Officer from July 2023 to May 2024, where he led the company’s efforts to drive stronger consumer demand and engagement. Prior to joining Under Armour, Mr. Dausch was the Chief Digital and Transformation Officer of Marriott International, a global lodging company, from March 2021 to July 2023, where he led Marriott International’s direct digital channels and spearheaded one of the company’s largest business transformation initiatives; Senior Vice President, Enterprise Products from 2016 to 2021, where he played a leading role in the successful merger and integration of Marriott International and Starwood from 2016 to 2019, and Senior Vice President, Global Operations from 2014 to 2016. Mr. Dausch’s career at Marriott International spanned over 20 years with increasing leadership responsibility in the areas of Corporate Finance, Sales &amp; Marketing, Brand Management, Franchising, Operations, Digital and Technology.</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0"/>
        <w:spacing w:after="0" w:line="250" w:lineRule="auto"/>
        <w:rPr>
          <w:sz w:val="20"/>
          <w:szCs w:val="20"/>
          <w:color w:val="auto"/>
        </w:rPr>
      </w:pPr>
      <w:r>
        <w:rPr>
          <w:rFonts w:ascii="Arial" w:cs="Arial" w:eastAsia="Arial" w:hAnsi="Arial"/>
          <w:sz w:val="16"/>
          <w:szCs w:val="16"/>
          <w:color w:val="auto"/>
        </w:rPr>
        <w:t>Mr. Dausch provides the Board with the benefit of his extensive experience in the hospitality and vacation ownership and consumer products industries, including: as Global Chief Digital and Technology Officer, Pizza Hut at Yum! Brands, Inc.; as former Chief Strategy and Consumer Experience Officer at Under Armour, Inc.; and as former Chief Digital and Transformation Officer and former Senior Vice President, Enterprise Products of Marriott International, Inc.; and as an experienced leader in the areas of corporate finance, sales and marketing, brand management, franchising, operations, digital and technology.</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900" w:type="dxa"/>
            <w:vAlign w:val="bottom"/>
          </w:tcPr>
          <w:p>
            <w:pPr>
              <w:ind w:left="280"/>
              <w:spacing w:after="0"/>
              <w:rPr>
                <w:sz w:val="20"/>
                <w:szCs w:val="20"/>
                <w:color w:val="auto"/>
              </w:rPr>
            </w:pPr>
            <w:r>
              <w:rPr>
                <w:rFonts w:ascii="Arial" w:cs="Arial" w:eastAsia="Arial" w:hAnsi="Arial"/>
                <w:sz w:val="13"/>
                <w:szCs w:val="13"/>
                <w:color w:val="003A70"/>
              </w:rPr>
              <w:t>Corporate</w:t>
            </w:r>
          </w:p>
        </w:tc>
        <w:tc>
          <w:tcPr>
            <w:tcW w:w="18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40" w:type="dxa"/>
            <w:vAlign w:val="bottom"/>
          </w:tcPr>
          <w:p>
            <w:pPr>
              <w:ind w:left="580"/>
              <w:spacing w:after="0"/>
              <w:rPr>
                <w:sz w:val="20"/>
                <w:szCs w:val="20"/>
                <w:color w:val="auto"/>
              </w:rPr>
            </w:pPr>
            <w:r>
              <w:rPr>
                <w:rFonts w:ascii="Arial" w:cs="Arial" w:eastAsia="Arial" w:hAnsi="Arial"/>
                <w:sz w:val="13"/>
                <w:szCs w:val="13"/>
                <w:color w:val="003A70"/>
                <w:w w:val="95"/>
              </w:rPr>
              <w:t>Business Development /</w:t>
            </w: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1900" w:type="dxa"/>
            <w:vAlign w:val="bottom"/>
          </w:tcPr>
          <w:p>
            <w:pPr>
              <w:ind w:left="280"/>
              <w:spacing w:after="0"/>
              <w:rPr>
                <w:sz w:val="20"/>
                <w:szCs w:val="20"/>
                <w:color w:val="auto"/>
              </w:rPr>
            </w:pPr>
            <w:r>
              <w:rPr>
                <w:rFonts w:ascii="Arial" w:cs="Arial" w:eastAsia="Arial" w:hAnsi="Arial"/>
                <w:sz w:val="13"/>
                <w:szCs w:val="13"/>
                <w:color w:val="003A70"/>
              </w:rPr>
              <w:t>Leadership</w:t>
            </w:r>
          </w:p>
        </w:tc>
        <w:tc>
          <w:tcPr>
            <w:tcW w:w="1860" w:type="dxa"/>
            <w:vAlign w:val="bottom"/>
          </w:tcPr>
          <w:p>
            <w:pPr>
              <w:ind w:left="540"/>
              <w:spacing w:after="0"/>
              <w:rPr>
                <w:sz w:val="20"/>
                <w:szCs w:val="20"/>
                <w:color w:val="auto"/>
              </w:rPr>
            </w:pPr>
            <w:r>
              <w:rPr>
                <w:rFonts w:ascii="Arial" w:cs="Arial" w:eastAsia="Arial" w:hAnsi="Arial"/>
                <w:sz w:val="13"/>
                <w:szCs w:val="13"/>
                <w:color w:val="003A70"/>
              </w:rPr>
              <w:t>Independence</w:t>
            </w:r>
          </w:p>
        </w:tc>
        <w:tc>
          <w:tcPr>
            <w:tcW w:w="2360" w:type="dxa"/>
            <w:vAlign w:val="bottom"/>
          </w:tcPr>
          <w:p>
            <w:pPr>
              <w:ind w:left="540"/>
              <w:spacing w:after="0"/>
              <w:rPr>
                <w:sz w:val="20"/>
                <w:szCs w:val="20"/>
                <w:color w:val="auto"/>
              </w:rPr>
            </w:pPr>
            <w:r>
              <w:rPr>
                <w:rFonts w:ascii="Arial" w:cs="Arial" w:eastAsia="Arial" w:hAnsi="Arial"/>
                <w:sz w:val="13"/>
                <w:szCs w:val="13"/>
                <w:color w:val="003A70"/>
              </w:rPr>
              <w:t>Strategic Planning</w:t>
            </w:r>
          </w:p>
        </w:tc>
        <w:tc>
          <w:tcPr>
            <w:tcW w:w="2380" w:type="dxa"/>
            <w:vAlign w:val="bottom"/>
          </w:tcPr>
          <w:p>
            <w:pPr>
              <w:ind w:left="560"/>
              <w:spacing w:after="0"/>
              <w:rPr>
                <w:sz w:val="20"/>
                <w:szCs w:val="20"/>
                <w:color w:val="auto"/>
              </w:rPr>
            </w:pPr>
            <w:r>
              <w:rPr>
                <w:rFonts w:ascii="Arial" w:cs="Arial" w:eastAsia="Arial" w:hAnsi="Arial"/>
                <w:sz w:val="13"/>
                <w:szCs w:val="13"/>
                <w:color w:val="003A70"/>
              </w:rPr>
              <w:t>Global Expertise</w:t>
            </w:r>
          </w:p>
        </w:tc>
        <w:tc>
          <w:tcPr>
            <w:tcW w:w="1940" w:type="dxa"/>
            <w:vAlign w:val="bottom"/>
          </w:tcPr>
          <w:p>
            <w:pPr>
              <w:ind w:left="580"/>
              <w:spacing w:after="0"/>
              <w:rPr>
                <w:sz w:val="20"/>
                <w:szCs w:val="20"/>
                <w:color w:val="auto"/>
              </w:rPr>
            </w:pPr>
            <w:r>
              <w:rPr>
                <w:rFonts w:ascii="Arial" w:cs="Arial" w:eastAsia="Arial" w:hAnsi="Arial"/>
                <w:sz w:val="13"/>
                <w:szCs w:val="13"/>
                <w:color w:val="003A70"/>
              </w:rPr>
              <w:t>Mergers &amp; Acquisitions</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3"/>
                <w:szCs w:val="13"/>
                <w:color w:val="003A70"/>
              </w:rPr>
              <w:t>Sales &amp; Marketing/</w:t>
            </w:r>
          </w:p>
        </w:tc>
        <w:tc>
          <w:tcPr>
            <w:tcW w:w="1860" w:type="dxa"/>
            <w:vAlign w:val="bottom"/>
          </w:tcPr>
          <w:p>
            <w:pPr>
              <w:ind w:left="540"/>
              <w:spacing w:after="0"/>
              <w:rPr>
                <w:sz w:val="20"/>
                <w:szCs w:val="20"/>
                <w:color w:val="auto"/>
              </w:rPr>
            </w:pPr>
            <w:r>
              <w:rPr>
                <w:rFonts w:ascii="Arial" w:cs="Arial" w:eastAsia="Arial" w:hAnsi="Arial"/>
                <w:sz w:val="13"/>
                <w:szCs w:val="13"/>
                <w:color w:val="003A70"/>
              </w:rPr>
              <w:t>Technology &amp;</w:t>
            </w:r>
          </w:p>
        </w:tc>
        <w:tc>
          <w:tcPr>
            <w:tcW w:w="2360" w:type="dxa"/>
            <w:vAlign w:val="bottom"/>
          </w:tcPr>
          <w:p>
            <w:pPr>
              <w:spacing w:after="0"/>
              <w:rPr>
                <w:sz w:val="24"/>
                <w:szCs w:val="24"/>
                <w:color w:val="auto"/>
              </w:rPr>
            </w:pPr>
          </w:p>
        </w:tc>
        <w:tc>
          <w:tcPr>
            <w:tcW w:w="2380" w:type="dxa"/>
            <w:vAlign w:val="bottom"/>
          </w:tcPr>
          <w:p>
            <w:pPr>
              <w:ind w:left="560"/>
              <w:spacing w:after="0"/>
              <w:rPr>
                <w:sz w:val="20"/>
                <w:szCs w:val="20"/>
                <w:color w:val="auto"/>
              </w:rPr>
            </w:pPr>
            <w:r>
              <w:rPr>
                <w:rFonts w:ascii="Arial" w:cs="Arial" w:eastAsia="Arial" w:hAnsi="Arial"/>
                <w:sz w:val="13"/>
                <w:szCs w:val="13"/>
                <w:color w:val="003A70"/>
              </w:rPr>
              <w:t>Vacation Ownership &amp;</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900" w:type="dxa"/>
            <w:vAlign w:val="bottom"/>
          </w:tcPr>
          <w:p>
            <w:pPr>
              <w:ind w:left="280"/>
              <w:spacing w:after="0"/>
              <w:rPr>
                <w:sz w:val="20"/>
                <w:szCs w:val="20"/>
                <w:color w:val="auto"/>
              </w:rPr>
            </w:pPr>
            <w:r>
              <w:rPr>
                <w:rFonts w:ascii="Arial" w:cs="Arial" w:eastAsia="Arial" w:hAnsi="Arial"/>
                <w:sz w:val="13"/>
                <w:szCs w:val="13"/>
                <w:color w:val="003A70"/>
              </w:rPr>
              <w:t>Consumer Insights</w:t>
            </w:r>
          </w:p>
        </w:tc>
        <w:tc>
          <w:tcPr>
            <w:tcW w:w="1860" w:type="dxa"/>
            <w:vAlign w:val="bottom"/>
          </w:tcPr>
          <w:p>
            <w:pPr>
              <w:ind w:left="540"/>
              <w:spacing w:after="0"/>
              <w:rPr>
                <w:sz w:val="20"/>
                <w:szCs w:val="20"/>
                <w:color w:val="auto"/>
              </w:rPr>
            </w:pPr>
            <w:r>
              <w:rPr>
                <w:rFonts w:ascii="Arial" w:cs="Arial" w:eastAsia="Arial" w:hAnsi="Arial"/>
                <w:sz w:val="13"/>
                <w:szCs w:val="13"/>
                <w:color w:val="003A70"/>
              </w:rPr>
              <w:t>Cybersecurity</w:t>
            </w:r>
          </w:p>
        </w:tc>
        <w:tc>
          <w:tcPr>
            <w:tcW w:w="2360" w:type="dxa"/>
            <w:vAlign w:val="bottom"/>
          </w:tcPr>
          <w:p>
            <w:pPr>
              <w:ind w:left="540"/>
              <w:spacing w:after="0"/>
              <w:rPr>
                <w:sz w:val="20"/>
                <w:szCs w:val="20"/>
                <w:color w:val="auto"/>
              </w:rPr>
            </w:pPr>
            <w:r>
              <w:rPr>
                <w:rFonts w:ascii="Arial" w:cs="Arial" w:eastAsia="Arial" w:hAnsi="Arial"/>
                <w:sz w:val="13"/>
                <w:szCs w:val="13"/>
                <w:color w:val="003A70"/>
              </w:rPr>
              <w:t>Digital &amp; Social Medial</w:t>
            </w:r>
          </w:p>
        </w:tc>
        <w:tc>
          <w:tcPr>
            <w:tcW w:w="2380" w:type="dxa"/>
            <w:vAlign w:val="bottom"/>
          </w:tcPr>
          <w:p>
            <w:pPr>
              <w:ind w:left="560"/>
              <w:spacing w:after="0"/>
              <w:rPr>
                <w:sz w:val="20"/>
                <w:szCs w:val="20"/>
                <w:color w:val="auto"/>
              </w:rPr>
            </w:pPr>
            <w:r>
              <w:rPr>
                <w:rFonts w:ascii="Arial" w:cs="Arial" w:eastAsia="Arial" w:hAnsi="Arial"/>
                <w:sz w:val="13"/>
                <w:szCs w:val="13"/>
                <w:color w:val="003A70"/>
              </w:rPr>
              <w:t>Lodging Industry</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-485775</wp:posOffset>
            </wp:positionV>
            <wp:extent cx="102235"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-452120</wp:posOffset>
            </wp:positionV>
            <wp:extent cx="162560" cy="136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-452120</wp:posOffset>
            </wp:positionV>
            <wp:extent cx="145415" cy="136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-452120</wp:posOffset>
            </wp:positionV>
            <wp:extent cx="145415" cy="136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5728335</wp:posOffset>
            </wp:positionH>
            <wp:positionV relativeFrom="paragraph">
              <wp:posOffset>-452120</wp:posOffset>
            </wp:positionV>
            <wp:extent cx="153670" cy="136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-144145</wp:posOffset>
            </wp:positionV>
            <wp:extent cx="145415" cy="136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-144145</wp:posOffset>
            </wp:positionV>
            <wp:extent cx="136525"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-144145</wp:posOffset>
            </wp:positionV>
            <wp:extent cx="153670" cy="136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-144145</wp:posOffset>
            </wp:positionV>
            <wp:extent cx="128270" cy="136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270" cy="136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7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LIZANNE GALBREATH</w:t>
            </w:r>
          </w:p>
        </w:tc>
        <w:tc>
          <w:tcPr>
            <w:tcW w:w="7260" w:type="dxa"/>
            <w:vAlign w:val="bottom"/>
            <w:tcBorders>
              <w:top w:val="single" w:sz="8" w:color="003A70"/>
            </w:tcBorders>
          </w:tcPr>
          <w:p>
            <w:pPr>
              <w:spacing w:after="0"/>
              <w:rPr>
                <w:sz w:val="20"/>
                <w:szCs w:val="20"/>
                <w:color w:val="auto"/>
              </w:rPr>
            </w:pPr>
          </w:p>
        </w:tc>
      </w:tr>
      <w:tr>
        <w:trPr>
          <w:trHeight w:val="248"/>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tc>
        <w:tc>
          <w:tcPr>
            <w:tcW w:w="7260" w:type="dxa"/>
            <w:vAlign w:val="bottom"/>
          </w:tcPr>
          <w:p>
            <w:pPr>
              <w:ind w:left="2000"/>
              <w:spacing w:after="0"/>
              <w:rPr>
                <w:sz w:val="20"/>
                <w:szCs w:val="20"/>
                <w:color w:val="auto"/>
              </w:rPr>
            </w:pPr>
            <w:r>
              <w:rPr>
                <w:rFonts w:ascii="Arial" w:cs="Arial" w:eastAsia="Arial" w:hAnsi="Arial"/>
                <w:sz w:val="16"/>
                <w:szCs w:val="16"/>
                <w:color w:val="auto"/>
              </w:rPr>
              <w:t>Committees:</w:t>
            </w:r>
          </w:p>
        </w:tc>
      </w:tr>
      <w:tr>
        <w:trPr>
          <w:trHeight w:val="188"/>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7260" w:type="dxa"/>
            <w:vAlign w:val="bottom"/>
          </w:tcPr>
          <w:p>
            <w:pPr>
              <w:ind w:left="200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r>
        <w:trPr>
          <w:trHeight w:val="222"/>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60" w:type="dxa"/>
            <w:vAlign w:val="bottom"/>
          </w:tcPr>
          <w:p>
            <w:pPr>
              <w:ind w:left="200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60"/>
        <w:spacing w:after="0" w:line="248" w:lineRule="auto"/>
        <w:rPr>
          <w:sz w:val="20"/>
          <w:szCs w:val="20"/>
          <w:color w:val="auto"/>
        </w:rPr>
      </w:pPr>
      <w:r>
        <w:rPr>
          <w:rFonts w:ascii="Arial" w:cs="Arial" w:eastAsia="Arial" w:hAnsi="Arial"/>
          <w:sz w:val="16"/>
          <w:szCs w:val="16"/>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Chief Executive Officer of The Galbreath Company, the predecessor of Galbreath &amp; Company. Ms. Galbreath has served on the Board of Directors of BGO Industrial Real Estate Income Trust, Inc., a publicly traded real estate investment trust (“REIT”), since 2023. Ms. Galbreath was a director of Paramount Group, Inc., a publicly traded REIT, from 2014 to 2020. She was also a director of Starwood from 2005 to September 2016. She served as a director of ILG, Inc. (“ILG”), a publicly traded vacation ownership company, from May 2016 through August 2018, prior to the Company’s acquisition of ILG.</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160"/>
        <w:spacing w:after="0" w:line="254" w:lineRule="auto"/>
        <w:rPr>
          <w:sz w:val="20"/>
          <w:szCs w:val="20"/>
          <w:color w:val="auto"/>
        </w:rPr>
      </w:pPr>
      <w:r>
        <w:rPr>
          <w:rFonts w:ascii="Arial" w:cs="Arial" w:eastAsia="Arial" w:hAnsi="Arial"/>
          <w:sz w:val="16"/>
          <w:szCs w:val="16"/>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4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74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20" w:type="dxa"/>
            <w:vAlign w:val="bottom"/>
          </w:tcPr>
          <w:p>
            <w:pPr>
              <w:ind w:left="380"/>
              <w:spacing w:after="0"/>
              <w:rPr>
                <w:sz w:val="20"/>
                <w:szCs w:val="20"/>
                <w:color w:val="auto"/>
              </w:rPr>
            </w:pPr>
            <w:r>
              <w:rPr>
                <w:rFonts w:ascii="Arial" w:cs="Arial" w:eastAsia="Arial" w:hAnsi="Arial"/>
                <w:sz w:val="13"/>
                <w:szCs w:val="13"/>
                <w:color w:val="003A70"/>
              </w:rPr>
              <w:t>Public Company Board</w:t>
            </w:r>
          </w:p>
        </w:tc>
        <w:tc>
          <w:tcPr>
            <w:tcW w:w="2660" w:type="dxa"/>
            <w:vAlign w:val="bottom"/>
          </w:tcPr>
          <w:p>
            <w:pPr>
              <w:ind w:left="360"/>
              <w:spacing w:after="0"/>
              <w:rPr>
                <w:sz w:val="20"/>
                <w:szCs w:val="20"/>
                <w:color w:val="auto"/>
              </w:rPr>
            </w:pPr>
            <w:r>
              <w:rPr>
                <w:rFonts w:ascii="Arial" w:cs="Arial" w:eastAsia="Arial" w:hAnsi="Arial"/>
                <w:sz w:val="13"/>
                <w:szCs w:val="13"/>
                <w:color w:val="003A70"/>
              </w:rPr>
              <w:t>Human Capital, Professional</w:t>
            </w:r>
          </w:p>
        </w:tc>
        <w:tc>
          <w:tcPr>
            <w:tcW w:w="0" w:type="dxa"/>
            <w:vAlign w:val="bottom"/>
          </w:tcPr>
          <w:p>
            <w:pPr>
              <w:spacing w:after="0"/>
              <w:rPr>
                <w:sz w:val="1"/>
                <w:szCs w:val="1"/>
                <w:color w:val="auto"/>
              </w:rPr>
            </w:pPr>
          </w:p>
        </w:tc>
      </w:tr>
      <w:tr>
        <w:trPr>
          <w:trHeight w:val="179"/>
        </w:trPr>
        <w:tc>
          <w:tcPr>
            <w:tcW w:w="340" w:type="dxa"/>
            <w:vAlign w:val="bottom"/>
            <w:vMerge w:val="continue"/>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920" w:type="dxa"/>
            <w:vAlign w:val="bottom"/>
          </w:tcPr>
          <w:p>
            <w:pPr>
              <w:ind w:left="380"/>
              <w:spacing w:after="0"/>
              <w:rPr>
                <w:sz w:val="20"/>
                <w:szCs w:val="20"/>
                <w:color w:val="auto"/>
              </w:rPr>
            </w:pPr>
            <w:r>
              <w:rPr>
                <w:rFonts w:ascii="Arial" w:cs="Arial" w:eastAsia="Arial" w:hAnsi="Arial"/>
                <w:sz w:val="13"/>
                <w:szCs w:val="13"/>
                <w:color w:val="003A70"/>
              </w:rPr>
              <w:t>Independence</w:t>
            </w:r>
          </w:p>
        </w:tc>
        <w:tc>
          <w:tcPr>
            <w:tcW w:w="2300" w:type="dxa"/>
            <w:vAlign w:val="bottom"/>
          </w:tcPr>
          <w:p>
            <w:pPr>
              <w:ind w:left="560"/>
              <w:spacing w:after="0"/>
              <w:rPr>
                <w:sz w:val="20"/>
                <w:szCs w:val="20"/>
                <w:color w:val="auto"/>
              </w:rPr>
            </w:pPr>
            <w:r>
              <w:rPr>
                <w:rFonts w:ascii="Arial" w:cs="Arial" w:eastAsia="Arial" w:hAnsi="Arial"/>
                <w:sz w:val="13"/>
                <w:szCs w:val="13"/>
                <w:color w:val="003A70"/>
              </w:rPr>
              <w:t>Diversity</w:t>
            </w:r>
          </w:p>
        </w:tc>
        <w:tc>
          <w:tcPr>
            <w:tcW w:w="2020" w:type="dxa"/>
            <w:vAlign w:val="bottom"/>
          </w:tcPr>
          <w:p>
            <w:pPr>
              <w:ind w:left="380"/>
              <w:spacing w:after="0"/>
              <w:rPr>
                <w:sz w:val="20"/>
                <w:szCs w:val="20"/>
                <w:color w:val="auto"/>
              </w:rPr>
            </w:pPr>
            <w:r>
              <w:rPr>
                <w:rFonts w:ascii="Arial" w:cs="Arial" w:eastAsia="Arial" w:hAnsi="Arial"/>
                <w:sz w:val="13"/>
                <w:szCs w:val="13"/>
                <w:color w:val="003A70"/>
              </w:rPr>
              <w:t>Service &amp; Governance</w:t>
            </w:r>
          </w:p>
        </w:tc>
        <w:tc>
          <w:tcPr>
            <w:tcW w:w="2660" w:type="dxa"/>
            <w:vAlign w:val="bottom"/>
          </w:tcPr>
          <w:p>
            <w:pPr>
              <w:ind w:left="360"/>
              <w:spacing w:after="0"/>
              <w:rPr>
                <w:sz w:val="20"/>
                <w:szCs w:val="20"/>
                <w:color w:val="auto"/>
              </w:rPr>
            </w:pPr>
            <w:r>
              <w:rPr>
                <w:rFonts w:ascii="Arial" w:cs="Arial" w:eastAsia="Arial" w:hAnsi="Arial"/>
                <w:sz w:val="13"/>
                <w:szCs w:val="13"/>
                <w:color w:val="003A70"/>
              </w:rPr>
              <w:t>Development &amp; Organizational Culture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Vacation Ownership</w:t>
            </w:r>
          </w:p>
        </w:tc>
        <w:tc>
          <w:tcPr>
            <w:tcW w:w="1920" w:type="dxa"/>
            <w:vAlign w:val="bottom"/>
          </w:tcPr>
          <w:p>
            <w:pPr>
              <w:ind w:left="380"/>
              <w:spacing w:after="0"/>
              <w:rPr>
                <w:sz w:val="20"/>
                <w:szCs w:val="20"/>
                <w:color w:val="auto"/>
              </w:rPr>
            </w:pPr>
            <w:r>
              <w:rPr>
                <w:rFonts w:ascii="Arial" w:cs="Arial" w:eastAsia="Arial" w:hAnsi="Arial"/>
                <w:sz w:val="13"/>
                <w:szCs w:val="13"/>
                <w:color w:val="003A70"/>
              </w:rPr>
              <w:t>Real Estate &amp;</w:t>
            </w:r>
          </w:p>
        </w:tc>
        <w:tc>
          <w:tcPr>
            <w:tcW w:w="2300" w:type="dxa"/>
            <w:vAlign w:val="bottom"/>
          </w:tcPr>
          <w:p>
            <w:pPr>
              <w:ind w:left="560"/>
              <w:spacing w:after="0"/>
              <w:rPr>
                <w:sz w:val="20"/>
                <w:szCs w:val="20"/>
                <w:color w:val="auto"/>
              </w:rPr>
            </w:pPr>
            <w:r>
              <w:rPr>
                <w:rFonts w:ascii="Arial" w:cs="Arial" w:eastAsia="Arial" w:hAnsi="Arial"/>
                <w:sz w:val="13"/>
                <w:szCs w:val="13"/>
                <w:color w:val="003A70"/>
              </w:rPr>
              <w:t>Business Development /</w:t>
            </w:r>
          </w:p>
        </w:tc>
        <w:tc>
          <w:tcPr>
            <w:tcW w:w="2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&amp; Lodging Industry</w:t>
            </w:r>
          </w:p>
        </w:tc>
        <w:tc>
          <w:tcPr>
            <w:tcW w:w="1920" w:type="dxa"/>
            <w:vAlign w:val="bottom"/>
          </w:tcPr>
          <w:p>
            <w:pPr>
              <w:ind w:left="380"/>
              <w:spacing w:after="0"/>
              <w:rPr>
                <w:sz w:val="20"/>
                <w:szCs w:val="20"/>
                <w:color w:val="auto"/>
              </w:rPr>
            </w:pPr>
            <w:r>
              <w:rPr>
                <w:rFonts w:ascii="Arial" w:cs="Arial" w:eastAsia="Arial" w:hAnsi="Arial"/>
                <w:sz w:val="13"/>
                <w:szCs w:val="13"/>
                <w:color w:val="003A70"/>
              </w:rPr>
              <w:t>Business Development</w:t>
            </w:r>
          </w:p>
        </w:tc>
        <w:tc>
          <w:tcPr>
            <w:tcW w:w="2300" w:type="dxa"/>
            <w:vAlign w:val="bottom"/>
          </w:tcPr>
          <w:p>
            <w:pPr>
              <w:ind w:left="560"/>
              <w:spacing w:after="0"/>
              <w:rPr>
                <w:sz w:val="20"/>
                <w:szCs w:val="20"/>
                <w:color w:val="auto"/>
              </w:rPr>
            </w:pPr>
            <w:r>
              <w:rPr>
                <w:rFonts w:ascii="Arial" w:cs="Arial" w:eastAsia="Arial" w:hAnsi="Arial"/>
                <w:sz w:val="13"/>
                <w:szCs w:val="13"/>
                <w:color w:val="003A70"/>
              </w:rPr>
              <w:t>Mergers &amp; Acquisitions</w:t>
            </w:r>
          </w:p>
        </w:tc>
        <w:tc>
          <w:tcPr>
            <w:tcW w:w="2020" w:type="dxa"/>
            <w:vAlign w:val="bottom"/>
          </w:tcPr>
          <w:p>
            <w:pPr>
              <w:ind w:left="380"/>
              <w:spacing w:after="0"/>
              <w:rPr>
                <w:sz w:val="20"/>
                <w:szCs w:val="20"/>
                <w:color w:val="auto"/>
              </w:rPr>
            </w:pPr>
            <w:r>
              <w:rPr>
                <w:rFonts w:ascii="Arial" w:cs="Arial" w:eastAsia="Arial" w:hAnsi="Arial"/>
                <w:sz w:val="13"/>
                <w:szCs w:val="13"/>
                <w:color w:val="003A70"/>
              </w:rPr>
              <w:t>Strategic Planning</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p>
        </w:tc>
        <w:tc>
          <w:tcPr>
            <w:tcW w:w="4320" w:type="dxa"/>
            <w:vAlign w:val="bottom"/>
            <w:tcBorders>
              <w:bottom w:val="single" w:sz="8" w:color="003A70"/>
            </w:tcBorders>
            <w:gridSpan w:val="2"/>
          </w:tcPr>
          <w:p>
            <w:pPr>
              <w:ind w:left="240"/>
              <w:spacing w:after="0"/>
              <w:rPr>
                <w:sz w:val="20"/>
                <w:szCs w:val="20"/>
                <w:color w:val="auto"/>
              </w:rPr>
            </w:pPr>
            <w:r>
              <w:rPr>
                <w:rFonts w:ascii="Arial" w:cs="Arial" w:eastAsia="Arial" w:hAnsi="Arial"/>
                <w:sz w:val="11"/>
                <w:szCs w:val="11"/>
                <w:color w:val="auto"/>
              </w:rPr>
              <w:t>Report on the Board of Directors and its Committees</w:t>
            </w:r>
          </w:p>
        </w:tc>
        <w:tc>
          <w:tcPr>
            <w:tcW w:w="266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-657225</wp:posOffset>
            </wp:positionV>
            <wp:extent cx="102235" cy="136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-622935</wp:posOffset>
            </wp:positionV>
            <wp:extent cx="162560" cy="136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-622935</wp:posOffset>
            </wp:positionV>
            <wp:extent cx="153670"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-622935</wp:posOffset>
            </wp:positionV>
            <wp:extent cx="162560" cy="136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-622935</wp:posOffset>
            </wp:positionV>
            <wp:extent cx="145415" cy="136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-315595</wp:posOffset>
            </wp:positionV>
            <wp:extent cx="128270" cy="136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-315595</wp:posOffset>
            </wp:positionV>
            <wp:extent cx="145415" cy="136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-315595</wp:posOffset>
            </wp:positionV>
            <wp:extent cx="153670" cy="136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4028440</wp:posOffset>
            </wp:positionH>
            <wp:positionV relativeFrom="paragraph">
              <wp:posOffset>-315595</wp:posOffset>
            </wp:positionV>
            <wp:extent cx="145415" cy="136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MARY E. GALLIGAN</w:t>
            </w:r>
          </w:p>
        </w:tc>
        <w:tc>
          <w:tcPr>
            <w:tcW w:w="7340" w:type="dxa"/>
            <w:vAlign w:val="bottom"/>
            <w:tcBorders>
              <w:top w:val="single" w:sz="8" w:color="003A70"/>
            </w:tcBorders>
          </w:tcPr>
          <w:p>
            <w:pPr>
              <w:spacing w:after="0"/>
              <w:rPr>
                <w:sz w:val="20"/>
                <w:szCs w:val="20"/>
                <w:color w:val="auto"/>
              </w:rPr>
            </w:pPr>
          </w:p>
        </w:tc>
      </w:tr>
      <w:tr>
        <w:trPr>
          <w:trHeight w:val="24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tc>
        <w:tc>
          <w:tcPr>
            <w:tcW w:w="73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r>
        <w:trPr>
          <w:trHeight w:val="222"/>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40" w:type="dxa"/>
            <w:vAlign w:val="bottom"/>
          </w:tcPr>
          <w:p>
            <w:pPr>
              <w:spacing w:after="0"/>
              <w:rPr>
                <w:sz w:val="19"/>
                <w:szCs w:val="19"/>
                <w:color w:val="auto"/>
              </w:rPr>
            </w:pP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160"/>
        <w:spacing w:after="0" w:line="249" w:lineRule="auto"/>
        <w:rPr>
          <w:sz w:val="20"/>
          <w:szCs w:val="20"/>
          <w:color w:val="auto"/>
        </w:rPr>
      </w:pPr>
      <w:r>
        <w:rPr>
          <w:rFonts w:ascii="Arial" w:cs="Arial" w:eastAsia="Arial" w:hAnsi="Arial"/>
          <w:sz w:val="16"/>
          <w:szCs w:val="16"/>
          <w:color w:val="auto"/>
        </w:rPr>
        <w:t>Ms. Galligan served as a Managing Director in the Cyber and Strategic Risk practice from September 2013 to October 2023 of Deloitte LLP, a multinational accounting firm, and led the response to several high-profile cyber breaches at Deloitte’s clients. She also served as an advisor to Fortune 500 boards of directors and senior executives in how to address global cyber incidents. Ms. Galligan started her cyber and crisis management career in 1988 as a special agent of the Federal Bureau of Investigation (“FBI”). She assumed positions of increasing responsibility and most recently served as Special Agent in Charge of Cyber and Special Operations, a 500-person division of the New York Office of the FBI. Ms. Galligan is also a director on the Intermediate Holding Company Board of Barclays, US LLC, a non-publicly traded company.</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0"/>
        <w:spacing w:after="0" w:line="264" w:lineRule="auto"/>
        <w:rPr>
          <w:sz w:val="20"/>
          <w:szCs w:val="20"/>
          <w:color w:val="auto"/>
        </w:rPr>
      </w:pPr>
      <w:r>
        <w:rPr>
          <w:rFonts w:ascii="Arial" w:cs="Arial" w:eastAsia="Arial" w:hAnsi="Arial"/>
          <w:sz w:val="16"/>
          <w:szCs w:val="16"/>
          <w:color w:val="auto"/>
        </w:rPr>
        <w:t>Ms. Galligan provides the Board with the benefit of her significant cyber security experience working for the U.S. government and advising multinational companies. Ms. Galligan is also an experienced leader, decision maker and problem solver.</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160" w:type="dxa"/>
            <w:vAlign w:val="bottom"/>
          </w:tcPr>
          <w:p>
            <w:pPr>
              <w:ind w:left="320"/>
              <w:spacing w:after="0"/>
              <w:rPr>
                <w:sz w:val="20"/>
                <w:szCs w:val="20"/>
                <w:color w:val="auto"/>
              </w:rPr>
            </w:pPr>
            <w:r>
              <w:rPr>
                <w:rFonts w:ascii="Arial" w:cs="Arial" w:eastAsia="Arial" w:hAnsi="Arial"/>
                <w:sz w:val="13"/>
                <w:szCs w:val="13"/>
                <w:color w:val="003A70"/>
              </w:rPr>
              <w:t>Corporate</w:t>
            </w: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20" w:type="dxa"/>
            <w:vAlign w:val="bottom"/>
          </w:tcPr>
          <w:p>
            <w:pPr>
              <w:ind w:left="660"/>
              <w:spacing w:after="0"/>
              <w:rPr>
                <w:sz w:val="20"/>
                <w:szCs w:val="20"/>
                <w:color w:val="auto"/>
              </w:rPr>
            </w:pPr>
            <w:r>
              <w:rPr>
                <w:rFonts w:ascii="Arial" w:cs="Arial" w:eastAsia="Arial" w:hAnsi="Arial"/>
                <w:sz w:val="13"/>
                <w:szCs w:val="13"/>
                <w:color w:val="003A70"/>
              </w:rPr>
              <w:t>Legal, Regulatory &amp;</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3"/>
                <w:szCs w:val="13"/>
                <w:color w:val="auto"/>
              </w:rPr>
              <w:t> </w:t>
            </w:r>
          </w:p>
        </w:tc>
        <w:tc>
          <w:tcPr>
            <w:tcW w:w="2160" w:type="dxa"/>
            <w:vAlign w:val="bottom"/>
          </w:tcPr>
          <w:p>
            <w:pPr>
              <w:ind w:left="320"/>
              <w:spacing w:after="0"/>
              <w:rPr>
                <w:sz w:val="20"/>
                <w:szCs w:val="20"/>
                <w:color w:val="auto"/>
              </w:rPr>
            </w:pPr>
            <w:r>
              <w:rPr>
                <w:rFonts w:ascii="Arial" w:cs="Arial" w:eastAsia="Arial" w:hAnsi="Arial"/>
                <w:sz w:val="13"/>
                <w:szCs w:val="13"/>
                <w:color w:val="003A70"/>
              </w:rPr>
              <w:t>Leadership</w:t>
            </w:r>
          </w:p>
        </w:tc>
        <w:tc>
          <w:tcPr>
            <w:tcW w:w="2100" w:type="dxa"/>
            <w:vAlign w:val="bottom"/>
          </w:tcPr>
          <w:p>
            <w:pPr>
              <w:ind w:left="640"/>
              <w:spacing w:after="0"/>
              <w:rPr>
                <w:sz w:val="20"/>
                <w:szCs w:val="20"/>
                <w:color w:val="auto"/>
              </w:rPr>
            </w:pPr>
            <w:r>
              <w:rPr>
                <w:rFonts w:ascii="Arial" w:cs="Arial" w:eastAsia="Arial" w:hAnsi="Arial"/>
                <w:sz w:val="13"/>
                <w:szCs w:val="13"/>
                <w:color w:val="003A70"/>
              </w:rPr>
              <w:t>Independence</w:t>
            </w:r>
          </w:p>
        </w:tc>
        <w:tc>
          <w:tcPr>
            <w:tcW w:w="1840" w:type="dxa"/>
            <w:vAlign w:val="bottom"/>
          </w:tcPr>
          <w:p>
            <w:pPr>
              <w:ind w:left="660"/>
              <w:spacing w:after="0"/>
              <w:rPr>
                <w:sz w:val="20"/>
                <w:szCs w:val="20"/>
                <w:color w:val="auto"/>
              </w:rPr>
            </w:pPr>
            <w:r>
              <w:rPr>
                <w:rFonts w:ascii="Arial" w:cs="Arial" w:eastAsia="Arial" w:hAnsi="Arial"/>
                <w:sz w:val="13"/>
                <w:szCs w:val="13"/>
                <w:color w:val="003A70"/>
              </w:rPr>
              <w:t>Diversity</w:t>
            </w:r>
          </w:p>
        </w:tc>
        <w:tc>
          <w:tcPr>
            <w:tcW w:w="2400" w:type="dxa"/>
            <w:vAlign w:val="bottom"/>
          </w:tcPr>
          <w:p>
            <w:pPr>
              <w:ind w:left="720"/>
              <w:spacing w:after="0"/>
              <w:rPr>
                <w:sz w:val="20"/>
                <w:szCs w:val="20"/>
                <w:color w:val="auto"/>
              </w:rPr>
            </w:pPr>
            <w:r>
              <w:rPr>
                <w:rFonts w:ascii="Arial" w:cs="Arial" w:eastAsia="Arial" w:hAnsi="Arial"/>
                <w:sz w:val="13"/>
                <w:szCs w:val="13"/>
                <w:color w:val="003A70"/>
              </w:rPr>
              <w:t>Risk Management</w:t>
            </w:r>
          </w:p>
        </w:tc>
        <w:tc>
          <w:tcPr>
            <w:tcW w:w="1920" w:type="dxa"/>
            <w:vAlign w:val="bottom"/>
          </w:tcPr>
          <w:p>
            <w:pPr>
              <w:ind w:left="660"/>
              <w:spacing w:after="0"/>
              <w:rPr>
                <w:sz w:val="20"/>
                <w:szCs w:val="20"/>
                <w:color w:val="auto"/>
              </w:rPr>
            </w:pPr>
            <w:r>
              <w:rPr>
                <w:rFonts w:ascii="Arial" w:cs="Arial" w:eastAsia="Arial" w:hAnsi="Arial"/>
                <w:sz w:val="13"/>
                <w:szCs w:val="13"/>
                <w:color w:val="003A70"/>
                <w:w w:val="95"/>
              </w:rPr>
              <w:t>Government Relations</w:t>
            </w:r>
          </w:p>
        </w:tc>
        <w:tc>
          <w:tcPr>
            <w:tcW w:w="0" w:type="dxa"/>
            <w:vAlign w:val="bottom"/>
          </w:tcPr>
          <w:p>
            <w:pPr>
              <w:spacing w:after="0"/>
              <w:rPr>
                <w:sz w:val="1"/>
                <w:szCs w:val="1"/>
                <w:color w:val="auto"/>
              </w:rPr>
            </w:pPr>
          </w:p>
        </w:tc>
      </w:tr>
      <w:tr>
        <w:trPr>
          <w:trHeight w:val="278"/>
        </w:trPr>
        <w:tc>
          <w:tcPr>
            <w:tcW w:w="340" w:type="dxa"/>
            <w:vAlign w:val="bottom"/>
          </w:tcPr>
          <w:p>
            <w:pPr>
              <w:spacing w:after="0"/>
              <w:rPr>
                <w:sz w:val="24"/>
                <w:szCs w:val="24"/>
                <w:color w:val="auto"/>
              </w:rPr>
            </w:pPr>
          </w:p>
        </w:tc>
        <w:tc>
          <w:tcPr>
            <w:tcW w:w="2160" w:type="dxa"/>
            <w:vAlign w:val="bottom"/>
            <w:vMerge w:val="restart"/>
          </w:tcPr>
          <w:p>
            <w:pPr>
              <w:ind w:left="320"/>
              <w:spacing w:after="0"/>
              <w:rPr>
                <w:sz w:val="20"/>
                <w:szCs w:val="20"/>
                <w:color w:val="auto"/>
              </w:rPr>
            </w:pPr>
            <w:r>
              <w:rPr>
                <w:rFonts w:ascii="Arial" w:cs="Arial" w:eastAsia="Arial" w:hAnsi="Arial"/>
                <w:sz w:val="13"/>
                <w:szCs w:val="13"/>
                <w:color w:val="003A70"/>
              </w:rPr>
              <w:t>Digital &amp; Social Media</w:t>
            </w:r>
          </w:p>
        </w:tc>
        <w:tc>
          <w:tcPr>
            <w:tcW w:w="2100" w:type="dxa"/>
            <w:vAlign w:val="bottom"/>
          </w:tcPr>
          <w:p>
            <w:pPr>
              <w:ind w:left="640"/>
              <w:spacing w:after="0"/>
              <w:rPr>
                <w:sz w:val="20"/>
                <w:szCs w:val="20"/>
                <w:color w:val="auto"/>
              </w:rPr>
            </w:pPr>
            <w:r>
              <w:rPr>
                <w:rFonts w:ascii="Arial" w:cs="Arial" w:eastAsia="Arial" w:hAnsi="Arial"/>
                <w:sz w:val="13"/>
                <w:szCs w:val="13"/>
                <w:color w:val="003A70"/>
              </w:rPr>
              <w:t>Technology &amp;</w:t>
            </w: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2100" w:type="dxa"/>
            <w:vAlign w:val="bottom"/>
          </w:tcPr>
          <w:p>
            <w:pPr>
              <w:ind w:left="640"/>
              <w:spacing w:after="0"/>
              <w:rPr>
                <w:sz w:val="20"/>
                <w:szCs w:val="20"/>
                <w:color w:val="auto"/>
              </w:rPr>
            </w:pPr>
            <w:r>
              <w:rPr>
                <w:rFonts w:ascii="Arial" w:cs="Arial" w:eastAsia="Arial" w:hAnsi="Arial"/>
                <w:sz w:val="13"/>
                <w:szCs w:val="13"/>
                <w:color w:val="003A70"/>
              </w:rPr>
              <w:t>Cybersecurity</w:t>
            </w:r>
          </w:p>
        </w:tc>
        <w:tc>
          <w:tcPr>
            <w:tcW w:w="1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-452120</wp:posOffset>
            </wp:positionV>
            <wp:extent cx="102235" cy="136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-426085</wp:posOffset>
            </wp:positionV>
            <wp:extent cx="162560" cy="136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-426085</wp:posOffset>
            </wp:positionV>
            <wp:extent cx="153670" cy="136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-426085</wp:posOffset>
            </wp:positionV>
            <wp:extent cx="136525" cy="136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-426085</wp:posOffset>
            </wp:positionV>
            <wp:extent cx="136525" cy="136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-161290</wp:posOffset>
            </wp:positionV>
            <wp:extent cx="153670" cy="13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-144145</wp:posOffset>
            </wp:positionV>
            <wp:extent cx="136525" cy="136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70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JOHN E. GELLER, JR.</w:t>
            </w:r>
          </w:p>
        </w:tc>
        <w:tc>
          <w:tcPr>
            <w:tcW w:w="7280" w:type="dxa"/>
            <w:vAlign w:val="bottom"/>
            <w:tcBorders>
              <w:top w:val="single" w:sz="8" w:color="003A70"/>
            </w:tcBorders>
          </w:tcPr>
          <w:p>
            <w:pPr>
              <w:spacing w:after="0"/>
              <w:rPr>
                <w:sz w:val="20"/>
                <w:szCs w:val="20"/>
                <w:color w:val="auto"/>
              </w:rPr>
            </w:pPr>
          </w:p>
        </w:tc>
      </w:tr>
      <w:tr>
        <w:trPr>
          <w:trHeight w:val="248"/>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tc>
        <w:tc>
          <w:tcPr>
            <w:tcW w:w="728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188"/>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tc>
        <w:tc>
          <w:tcPr>
            <w:tcW w:w="7280" w:type="dxa"/>
            <w:vAlign w:val="bottom"/>
          </w:tcPr>
          <w:p>
            <w:pPr>
              <w:ind w:left="20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2"/>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tc>
        <w:tc>
          <w:tcPr>
            <w:tcW w:w="7280" w:type="dxa"/>
            <w:vAlign w:val="bottom"/>
          </w:tcPr>
          <w:p>
            <w:pPr>
              <w:spacing w:after="0"/>
              <w:rPr>
                <w:sz w:val="19"/>
                <w:szCs w:val="19"/>
                <w:color w:val="auto"/>
              </w:rPr>
            </w:pP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120"/>
        <w:spacing w:after="0" w:line="245" w:lineRule="auto"/>
        <w:rPr>
          <w:sz w:val="20"/>
          <w:szCs w:val="20"/>
          <w:color w:val="auto"/>
        </w:rPr>
      </w:pPr>
      <w:r>
        <w:rPr>
          <w:rFonts w:ascii="Arial" w:cs="Arial" w:eastAsia="Arial" w:hAnsi="Arial"/>
          <w:sz w:val="16"/>
          <w:szCs w:val="16"/>
          <w:color w:val="auto"/>
        </w:rPr>
        <w:t>John E. Geller, Jr. has served as our Chief Executive Officer since January 2023 and as President since October 2021. He was previously President and Chief Financial Officer from January 2021 to October 2021. Mr. Geller served as our Executive Vice President and Chief Financial and Administrative Officer from January 2018 to January 2021. He also served as our Executive Vice President and Chief Financial Officer from 2009 to January 2018.</w:t>
      </w:r>
    </w:p>
    <w:p>
      <w:pPr>
        <w:spacing w:after="0" w:line="2" w:lineRule="exact"/>
        <w:rPr>
          <w:sz w:val="20"/>
          <w:szCs w:val="20"/>
          <w:color w:val="auto"/>
        </w:rPr>
      </w:pPr>
    </w:p>
    <w:p>
      <w:pPr>
        <w:ind w:left="140" w:right="100"/>
        <w:spacing w:after="0" w:line="250" w:lineRule="auto"/>
        <w:rPr>
          <w:sz w:val="20"/>
          <w:szCs w:val="20"/>
          <w:color w:val="auto"/>
        </w:rPr>
      </w:pPr>
      <w:r>
        <w:rPr>
          <w:rFonts w:ascii="Arial" w:cs="Arial" w:eastAsia="Arial" w:hAnsi="Arial"/>
          <w:sz w:val="16"/>
          <w:szCs w:val="16"/>
          <w:color w:val="auto"/>
        </w:rPr>
        <w:t>Mr. Geller joined Marriott International in 2005 as Senior Vice President and Chief Audit Executive and Information Security Officer. In 2008, he led finance and accounting for Marriott International’s North American Lodging Operation’s West region as Chief Financial Officer. Mr. Geller began his professional career at Arthur Andersen, where he was promoted to audit partner in its real estate and hospitality practice in 2000. During 2002 and 2003, he was an audit partner with Ernst &amp; Young in its real estate and hospitality practice. Mr. Geller served as Chief Financial Officer at AutoStar Realty in 2004.</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
        <w:spacing w:after="0" w:line="251" w:lineRule="auto"/>
        <w:rPr>
          <w:sz w:val="20"/>
          <w:szCs w:val="20"/>
          <w:color w:val="auto"/>
        </w:rPr>
      </w:pPr>
      <w:r>
        <w:rPr>
          <w:rFonts w:ascii="Arial" w:cs="Arial" w:eastAsia="Arial" w:hAnsi="Arial"/>
          <w:sz w:val="16"/>
          <w:szCs w:val="16"/>
          <w:color w:val="auto"/>
        </w:rPr>
        <w:t>Mr. Geller provides the Board with the benefit of his senior leadership experience as President and Chief Executive Officer and former Chief Financial and Administrative Officer of the Company. The Board also benefits from his prior service in financial and accounting positions with Marriott International, including as Chief Financial Officer of Marriott International’s North American Lodging Operation’s West region, his prior experience as an audit partner with Ernst &amp; Young in its real estate and hospitality practice, and his prior service as Chief Financial Officer of AutoStar Realty.</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92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60" w:type="dxa"/>
            <w:vAlign w:val="bottom"/>
          </w:tcPr>
          <w:p>
            <w:pPr>
              <w:ind w:left="240"/>
              <w:spacing w:after="0"/>
              <w:rPr>
                <w:sz w:val="20"/>
                <w:szCs w:val="20"/>
                <w:color w:val="auto"/>
              </w:rPr>
            </w:pPr>
            <w:r>
              <w:rPr>
                <w:rFonts w:ascii="Arial" w:cs="Arial" w:eastAsia="Arial" w:hAnsi="Arial"/>
                <w:sz w:val="13"/>
                <w:szCs w:val="13"/>
                <w:color w:val="003A70"/>
              </w:rPr>
              <w:t>Accounting &amp;</w:t>
            </w:r>
          </w:p>
        </w:tc>
        <w:tc>
          <w:tcPr>
            <w:tcW w:w="2220" w:type="dxa"/>
            <w:vAlign w:val="bottom"/>
          </w:tcPr>
          <w:p>
            <w:pPr>
              <w:ind w:left="460"/>
              <w:spacing w:after="0"/>
              <w:rPr>
                <w:sz w:val="20"/>
                <w:szCs w:val="20"/>
                <w:color w:val="auto"/>
              </w:rPr>
            </w:pPr>
            <w:r>
              <w:rPr>
                <w:rFonts w:ascii="Arial" w:cs="Arial" w:eastAsia="Arial" w:hAnsi="Arial"/>
                <w:sz w:val="13"/>
                <w:szCs w:val="13"/>
                <w:color w:val="003A70"/>
              </w:rPr>
              <w:t>Business Development /</w:t>
            </w:r>
          </w:p>
        </w:tc>
      </w:tr>
      <w:tr>
        <w:trPr>
          <w:trHeight w:val="175"/>
        </w:trPr>
        <w:tc>
          <w:tcPr>
            <w:tcW w:w="340" w:type="dxa"/>
            <w:vAlign w:val="bottom"/>
          </w:tcPr>
          <w:p>
            <w:pPr>
              <w:jc w:val="center"/>
              <w:ind w:right="200"/>
              <w:spacing w:after="0"/>
              <w:rPr>
                <w:sz w:val="20"/>
                <w:szCs w:val="20"/>
                <w:color w:val="auto"/>
              </w:rPr>
            </w:pPr>
            <w:r>
              <w:rPr>
                <w:rFonts w:ascii="Arial" w:cs="Arial" w:eastAsia="Arial" w:hAnsi="Arial"/>
                <w:sz w:val="5"/>
                <w:szCs w:val="5"/>
                <w:color w:val="auto"/>
                <w:w w:val="78"/>
              </w:rPr>
              <w:t> </w:t>
            </w:r>
          </w:p>
        </w:tc>
        <w:tc>
          <w:tcPr>
            <w:tcW w:w="192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860" w:type="dxa"/>
            <w:vAlign w:val="bottom"/>
          </w:tcPr>
          <w:p>
            <w:pPr>
              <w:ind w:left="420"/>
              <w:spacing w:after="0"/>
              <w:rPr>
                <w:sz w:val="20"/>
                <w:szCs w:val="20"/>
                <w:color w:val="auto"/>
              </w:rPr>
            </w:pPr>
            <w:r>
              <w:rPr>
                <w:rFonts w:ascii="Arial" w:cs="Arial" w:eastAsia="Arial" w:hAnsi="Arial"/>
                <w:sz w:val="13"/>
                <w:szCs w:val="13"/>
                <w:color w:val="003A70"/>
              </w:rPr>
              <w:t>Compliance</w:t>
            </w:r>
          </w:p>
        </w:tc>
        <w:tc>
          <w:tcPr>
            <w:tcW w:w="2880" w:type="dxa"/>
            <w:vAlign w:val="bottom"/>
          </w:tcPr>
          <w:p>
            <w:pPr>
              <w:ind w:left="780"/>
              <w:spacing w:after="0"/>
              <w:rPr>
                <w:sz w:val="20"/>
                <w:szCs w:val="20"/>
                <w:color w:val="auto"/>
              </w:rPr>
            </w:pPr>
            <w:r>
              <w:rPr>
                <w:rFonts w:ascii="Arial" w:cs="Arial" w:eastAsia="Arial" w:hAnsi="Arial"/>
                <w:sz w:val="13"/>
                <w:szCs w:val="13"/>
                <w:color w:val="003A70"/>
              </w:rPr>
              <w:t>Financial &amp; Capital Markets</w:t>
            </w:r>
          </w:p>
        </w:tc>
        <w:tc>
          <w:tcPr>
            <w:tcW w:w="1760" w:type="dxa"/>
            <w:vAlign w:val="bottom"/>
          </w:tcPr>
          <w:p>
            <w:pPr>
              <w:ind w:left="240"/>
              <w:spacing w:after="0"/>
              <w:rPr>
                <w:sz w:val="20"/>
                <w:szCs w:val="20"/>
                <w:color w:val="auto"/>
              </w:rPr>
            </w:pPr>
            <w:r>
              <w:rPr>
                <w:rFonts w:ascii="Arial" w:cs="Arial" w:eastAsia="Arial" w:hAnsi="Arial"/>
                <w:sz w:val="13"/>
                <w:szCs w:val="13"/>
                <w:color w:val="003A70"/>
              </w:rPr>
              <w:t>Financial Reporting</w:t>
            </w:r>
          </w:p>
        </w:tc>
        <w:tc>
          <w:tcPr>
            <w:tcW w:w="2220" w:type="dxa"/>
            <w:vAlign w:val="bottom"/>
          </w:tcPr>
          <w:p>
            <w:pPr>
              <w:ind w:left="460"/>
              <w:spacing w:after="0"/>
              <w:rPr>
                <w:sz w:val="20"/>
                <w:szCs w:val="20"/>
                <w:color w:val="auto"/>
              </w:rPr>
            </w:pPr>
            <w:r>
              <w:rPr>
                <w:rFonts w:ascii="Arial" w:cs="Arial" w:eastAsia="Arial" w:hAnsi="Arial"/>
                <w:sz w:val="13"/>
                <w:szCs w:val="13"/>
                <w:color w:val="003A70"/>
              </w:rPr>
              <w:t>Mergers &amp; Acquisitions</w:t>
            </w:r>
          </w:p>
        </w:tc>
      </w:tr>
      <w:tr>
        <w:trPr>
          <w:trHeight w:val="305"/>
        </w:trPr>
        <w:tc>
          <w:tcPr>
            <w:tcW w:w="34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Arial" w:cs="Arial" w:eastAsia="Arial" w:hAnsi="Arial"/>
                <w:sz w:val="13"/>
                <w:szCs w:val="13"/>
                <w:color w:val="003A70"/>
              </w:rPr>
              <w:t>Sales &amp; Marketing/</w:t>
            </w:r>
          </w:p>
        </w:tc>
        <w:tc>
          <w:tcPr>
            <w:tcW w:w="1860" w:type="dxa"/>
            <w:vAlign w:val="bottom"/>
          </w:tcPr>
          <w:p>
            <w:pPr>
              <w:ind w:left="420"/>
              <w:spacing w:after="0"/>
              <w:rPr>
                <w:sz w:val="20"/>
                <w:szCs w:val="20"/>
                <w:color w:val="auto"/>
              </w:rPr>
            </w:pPr>
            <w:r>
              <w:rPr>
                <w:rFonts w:ascii="Arial" w:cs="Arial" w:eastAsia="Arial" w:hAnsi="Arial"/>
                <w:sz w:val="13"/>
                <w:szCs w:val="13"/>
                <w:color w:val="003A70"/>
              </w:rPr>
              <w:t>Risk</w:t>
            </w:r>
          </w:p>
        </w:tc>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20" w:type="dxa"/>
            <w:vAlign w:val="bottom"/>
          </w:tcPr>
          <w:p>
            <w:pPr>
              <w:ind w:left="460"/>
              <w:spacing w:after="0"/>
              <w:rPr>
                <w:sz w:val="20"/>
                <w:szCs w:val="20"/>
                <w:color w:val="auto"/>
              </w:rPr>
            </w:pPr>
            <w:r>
              <w:rPr>
                <w:rFonts w:ascii="Arial" w:cs="Arial" w:eastAsia="Arial" w:hAnsi="Arial"/>
                <w:sz w:val="13"/>
                <w:szCs w:val="13"/>
                <w:color w:val="003A70"/>
              </w:rPr>
              <w:t>Vacation Ownership &amp;</w:t>
            </w:r>
          </w:p>
        </w:tc>
      </w:tr>
      <w:tr>
        <w:trPr>
          <w:trHeight w:val="179"/>
        </w:trPr>
        <w:tc>
          <w:tcPr>
            <w:tcW w:w="340" w:type="dxa"/>
            <w:vAlign w:val="bottom"/>
          </w:tcPr>
          <w:p>
            <w:pPr>
              <w:spacing w:after="0"/>
              <w:rPr>
                <w:sz w:val="15"/>
                <w:szCs w:val="15"/>
                <w:color w:val="auto"/>
              </w:rPr>
            </w:pPr>
          </w:p>
        </w:tc>
        <w:tc>
          <w:tcPr>
            <w:tcW w:w="1920" w:type="dxa"/>
            <w:vAlign w:val="bottom"/>
          </w:tcPr>
          <w:p>
            <w:pPr>
              <w:ind w:left="240"/>
              <w:spacing w:after="0"/>
              <w:rPr>
                <w:sz w:val="20"/>
                <w:szCs w:val="20"/>
                <w:color w:val="auto"/>
              </w:rPr>
            </w:pPr>
            <w:r>
              <w:rPr>
                <w:rFonts w:ascii="Arial" w:cs="Arial" w:eastAsia="Arial" w:hAnsi="Arial"/>
                <w:sz w:val="13"/>
                <w:szCs w:val="13"/>
                <w:color w:val="003A70"/>
              </w:rPr>
              <w:t>Consumer Insights</w:t>
            </w:r>
          </w:p>
        </w:tc>
        <w:tc>
          <w:tcPr>
            <w:tcW w:w="1860" w:type="dxa"/>
            <w:vAlign w:val="bottom"/>
          </w:tcPr>
          <w:p>
            <w:pPr>
              <w:ind w:left="420"/>
              <w:spacing w:after="0"/>
              <w:rPr>
                <w:sz w:val="20"/>
                <w:szCs w:val="20"/>
                <w:color w:val="auto"/>
              </w:rPr>
            </w:pPr>
            <w:r>
              <w:rPr>
                <w:rFonts w:ascii="Arial" w:cs="Arial" w:eastAsia="Arial" w:hAnsi="Arial"/>
                <w:sz w:val="13"/>
                <w:szCs w:val="13"/>
                <w:color w:val="003A70"/>
              </w:rPr>
              <w:t>Management</w:t>
            </w:r>
          </w:p>
        </w:tc>
        <w:tc>
          <w:tcPr>
            <w:tcW w:w="2880" w:type="dxa"/>
            <w:vAlign w:val="bottom"/>
          </w:tcPr>
          <w:p>
            <w:pPr>
              <w:ind w:left="780"/>
              <w:spacing w:after="0"/>
              <w:rPr>
                <w:sz w:val="20"/>
                <w:szCs w:val="20"/>
                <w:color w:val="auto"/>
              </w:rPr>
            </w:pPr>
            <w:r>
              <w:rPr>
                <w:rFonts w:ascii="Arial" w:cs="Arial" w:eastAsia="Arial" w:hAnsi="Arial"/>
                <w:sz w:val="13"/>
                <w:szCs w:val="13"/>
                <w:color w:val="003A70"/>
              </w:rPr>
              <w:t>Strategic Planning</w:t>
            </w:r>
          </w:p>
        </w:tc>
        <w:tc>
          <w:tcPr>
            <w:tcW w:w="1760" w:type="dxa"/>
            <w:vAlign w:val="bottom"/>
          </w:tcPr>
          <w:p>
            <w:pPr>
              <w:ind w:left="240"/>
              <w:spacing w:after="0"/>
              <w:rPr>
                <w:sz w:val="20"/>
                <w:szCs w:val="20"/>
                <w:color w:val="auto"/>
              </w:rPr>
            </w:pPr>
            <w:r>
              <w:rPr>
                <w:rFonts w:ascii="Arial" w:cs="Arial" w:eastAsia="Arial" w:hAnsi="Arial"/>
                <w:sz w:val="13"/>
                <w:szCs w:val="13"/>
                <w:color w:val="003A70"/>
              </w:rPr>
              <w:t>Global Expertise</w:t>
            </w:r>
          </w:p>
        </w:tc>
        <w:tc>
          <w:tcPr>
            <w:tcW w:w="2220" w:type="dxa"/>
            <w:vAlign w:val="bottom"/>
          </w:tcPr>
          <w:p>
            <w:pPr>
              <w:ind w:left="460"/>
              <w:spacing w:after="0"/>
              <w:rPr>
                <w:sz w:val="20"/>
                <w:szCs w:val="20"/>
                <w:color w:val="auto"/>
              </w:rPr>
            </w:pPr>
            <w:r>
              <w:rPr>
                <w:rFonts w:ascii="Arial" w:cs="Arial" w:eastAsia="Arial" w:hAnsi="Arial"/>
                <w:sz w:val="13"/>
                <w:szCs w:val="13"/>
                <w:color w:val="003A70"/>
              </w:rPr>
              <w:t>Lodging Industry</w:t>
            </w:r>
          </w:p>
        </w:tc>
      </w:tr>
      <w:tr>
        <w:trPr>
          <w:trHeight w:val="305"/>
        </w:trPr>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80" w:type="dxa"/>
            <w:vAlign w:val="bottom"/>
          </w:tcPr>
          <w:p>
            <w:pPr>
              <w:ind w:left="780"/>
              <w:spacing w:after="0"/>
              <w:rPr>
                <w:sz w:val="20"/>
                <w:szCs w:val="20"/>
                <w:color w:val="auto"/>
              </w:rPr>
            </w:pPr>
            <w:r>
              <w:rPr>
                <w:rFonts w:ascii="Arial" w:cs="Arial" w:eastAsia="Arial" w:hAnsi="Arial"/>
                <w:sz w:val="13"/>
                <w:szCs w:val="13"/>
                <w:color w:val="003A70"/>
              </w:rPr>
              <w:t>Human Capital, Professional</w:t>
            </w:r>
          </w:p>
        </w:tc>
        <w:tc>
          <w:tcPr>
            <w:tcW w:w="17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1920" w:type="dxa"/>
            <w:vAlign w:val="bottom"/>
          </w:tcPr>
          <w:p>
            <w:pPr>
              <w:ind w:left="240"/>
              <w:spacing w:after="0" w:line="134" w:lineRule="exact"/>
              <w:rPr>
                <w:sz w:val="20"/>
                <w:szCs w:val="20"/>
                <w:color w:val="auto"/>
              </w:rPr>
            </w:pPr>
            <w:r>
              <w:rPr>
                <w:rFonts w:ascii="Arial" w:cs="Arial" w:eastAsia="Arial" w:hAnsi="Arial"/>
                <w:sz w:val="13"/>
                <w:szCs w:val="13"/>
                <w:color w:val="003A70"/>
              </w:rPr>
              <w:t>Public Company Board</w:t>
            </w:r>
          </w:p>
        </w:tc>
        <w:tc>
          <w:tcPr>
            <w:tcW w:w="1860" w:type="dxa"/>
            <w:vAlign w:val="bottom"/>
          </w:tcPr>
          <w:p>
            <w:pPr>
              <w:ind w:left="420"/>
              <w:spacing w:after="0" w:line="134" w:lineRule="exact"/>
              <w:rPr>
                <w:sz w:val="20"/>
                <w:szCs w:val="20"/>
                <w:color w:val="auto"/>
              </w:rPr>
            </w:pPr>
            <w:r>
              <w:rPr>
                <w:rFonts w:ascii="Arial" w:cs="Arial" w:eastAsia="Arial" w:hAnsi="Arial"/>
                <w:sz w:val="13"/>
                <w:szCs w:val="13"/>
                <w:color w:val="003A70"/>
              </w:rPr>
              <w:t>Real Estate &amp; Business</w:t>
            </w:r>
          </w:p>
        </w:tc>
        <w:tc>
          <w:tcPr>
            <w:tcW w:w="2880" w:type="dxa"/>
            <w:vAlign w:val="bottom"/>
          </w:tcPr>
          <w:p>
            <w:pPr>
              <w:ind w:left="780"/>
              <w:spacing w:after="0" w:line="134" w:lineRule="exact"/>
              <w:rPr>
                <w:sz w:val="20"/>
                <w:szCs w:val="20"/>
                <w:color w:val="auto"/>
              </w:rPr>
            </w:pPr>
            <w:r>
              <w:rPr>
                <w:rFonts w:ascii="Arial" w:cs="Arial" w:eastAsia="Arial" w:hAnsi="Arial"/>
                <w:sz w:val="13"/>
                <w:szCs w:val="13"/>
                <w:color w:val="003A70"/>
              </w:rPr>
              <w:t>Development &amp;</w:t>
            </w:r>
          </w:p>
        </w:tc>
        <w:tc>
          <w:tcPr>
            <w:tcW w:w="1760" w:type="dxa"/>
            <w:vAlign w:val="bottom"/>
          </w:tcPr>
          <w:p>
            <w:pPr>
              <w:ind w:left="240"/>
              <w:spacing w:after="0" w:line="134" w:lineRule="exact"/>
              <w:rPr>
                <w:sz w:val="20"/>
                <w:szCs w:val="20"/>
                <w:color w:val="auto"/>
              </w:rPr>
            </w:pPr>
            <w:r>
              <w:rPr>
                <w:rFonts w:ascii="Arial" w:cs="Arial" w:eastAsia="Arial" w:hAnsi="Arial"/>
                <w:sz w:val="13"/>
                <w:szCs w:val="13"/>
                <w:color w:val="003A70"/>
              </w:rPr>
              <w:t>Technology &amp;</w:t>
            </w:r>
          </w:p>
        </w:tc>
        <w:tc>
          <w:tcPr>
            <w:tcW w:w="2220" w:type="dxa"/>
            <w:vAlign w:val="bottom"/>
          </w:tcPr>
          <w:p>
            <w:pPr>
              <w:spacing w:after="0"/>
              <w:rPr>
                <w:sz w:val="11"/>
                <w:szCs w:val="11"/>
                <w:color w:val="auto"/>
              </w:rPr>
            </w:pPr>
          </w:p>
        </w:tc>
      </w:tr>
      <w:tr>
        <w:trPr>
          <w:trHeight w:val="166"/>
        </w:trPr>
        <w:tc>
          <w:tcPr>
            <w:tcW w:w="340" w:type="dxa"/>
            <w:vAlign w:val="bottom"/>
          </w:tcPr>
          <w:p>
            <w:pPr>
              <w:spacing w:after="0"/>
              <w:rPr>
                <w:sz w:val="14"/>
                <w:szCs w:val="14"/>
                <w:color w:val="auto"/>
              </w:rPr>
            </w:pPr>
          </w:p>
        </w:tc>
        <w:tc>
          <w:tcPr>
            <w:tcW w:w="1920" w:type="dxa"/>
            <w:vAlign w:val="bottom"/>
          </w:tcPr>
          <w:p>
            <w:pPr>
              <w:ind w:left="240"/>
              <w:spacing w:after="0"/>
              <w:rPr>
                <w:sz w:val="20"/>
                <w:szCs w:val="20"/>
                <w:color w:val="auto"/>
              </w:rPr>
            </w:pPr>
            <w:r>
              <w:rPr>
                <w:rFonts w:ascii="Arial" w:cs="Arial" w:eastAsia="Arial" w:hAnsi="Arial"/>
                <w:sz w:val="13"/>
                <w:szCs w:val="13"/>
                <w:color w:val="003A70"/>
              </w:rPr>
              <w:t>Service &amp; Governance</w:t>
            </w:r>
          </w:p>
        </w:tc>
        <w:tc>
          <w:tcPr>
            <w:tcW w:w="1860" w:type="dxa"/>
            <w:vAlign w:val="bottom"/>
          </w:tcPr>
          <w:p>
            <w:pPr>
              <w:ind w:left="420"/>
              <w:spacing w:after="0"/>
              <w:rPr>
                <w:sz w:val="20"/>
                <w:szCs w:val="20"/>
                <w:color w:val="auto"/>
              </w:rPr>
            </w:pPr>
            <w:r>
              <w:rPr>
                <w:rFonts w:ascii="Arial" w:cs="Arial" w:eastAsia="Arial" w:hAnsi="Arial"/>
                <w:sz w:val="13"/>
                <w:szCs w:val="13"/>
                <w:color w:val="003A70"/>
              </w:rPr>
              <w:t>Development</w:t>
            </w:r>
          </w:p>
        </w:tc>
        <w:tc>
          <w:tcPr>
            <w:tcW w:w="2880" w:type="dxa"/>
            <w:vAlign w:val="bottom"/>
          </w:tcPr>
          <w:p>
            <w:pPr>
              <w:ind w:left="780"/>
              <w:spacing w:after="0"/>
              <w:rPr>
                <w:sz w:val="20"/>
                <w:szCs w:val="20"/>
                <w:color w:val="auto"/>
              </w:rPr>
            </w:pPr>
            <w:r>
              <w:rPr>
                <w:rFonts w:ascii="Arial" w:cs="Arial" w:eastAsia="Arial" w:hAnsi="Arial"/>
                <w:sz w:val="13"/>
                <w:szCs w:val="13"/>
                <w:color w:val="003A70"/>
              </w:rPr>
              <w:t>Organizational Culture</w:t>
            </w:r>
          </w:p>
        </w:tc>
        <w:tc>
          <w:tcPr>
            <w:tcW w:w="1760" w:type="dxa"/>
            <w:vAlign w:val="bottom"/>
          </w:tcPr>
          <w:p>
            <w:pPr>
              <w:ind w:left="240"/>
              <w:spacing w:after="0"/>
              <w:rPr>
                <w:sz w:val="20"/>
                <w:szCs w:val="20"/>
                <w:color w:val="auto"/>
              </w:rPr>
            </w:pPr>
            <w:r>
              <w:rPr>
                <w:rFonts w:ascii="Arial" w:cs="Arial" w:eastAsia="Arial" w:hAnsi="Arial"/>
                <w:sz w:val="13"/>
                <w:szCs w:val="13"/>
                <w:color w:val="003A70"/>
              </w:rPr>
              <w:t>Cybersecurity</w:t>
            </w:r>
          </w:p>
        </w:tc>
        <w:tc>
          <w:tcPr>
            <w:tcW w:w="2220" w:type="dxa"/>
            <w:vAlign w:val="bottom"/>
          </w:tcPr>
          <w:p>
            <w:pPr>
              <w:spacing w:after="0"/>
              <w:rPr>
                <w:sz w:val="14"/>
                <w:szCs w:val="14"/>
                <w:color w:val="auto"/>
              </w:rPr>
            </w:pPr>
          </w:p>
        </w:tc>
      </w:tr>
      <w:tr>
        <w:trPr>
          <w:trHeight w:val="269"/>
        </w:trPr>
        <w:tc>
          <w:tcPr>
            <w:tcW w:w="340" w:type="dxa"/>
            <w:vAlign w:val="bottom"/>
            <w:tcBorders>
              <w:bottom w:val="single" w:sz="8" w:color="003A70"/>
            </w:tcBorders>
          </w:tcPr>
          <w:p>
            <w:pPr>
              <w:jc w:val="right"/>
              <w:ind w:right="180"/>
              <w:spacing w:after="0"/>
              <w:rPr>
                <w:sz w:val="20"/>
                <w:szCs w:val="20"/>
                <w:color w:val="auto"/>
              </w:rPr>
            </w:pPr>
            <w:r>
              <w:rPr>
                <w:rFonts w:ascii="Arial" w:cs="Arial" w:eastAsia="Arial" w:hAnsi="Arial"/>
                <w:sz w:val="11"/>
                <w:szCs w:val="11"/>
                <w:b w:val="1"/>
                <w:bCs w:val="1"/>
                <w:color w:val="003A70"/>
                <w:w w:val="81"/>
              </w:rPr>
              <w:t>12</w:t>
            </w:r>
          </w:p>
        </w:tc>
        <w:tc>
          <w:tcPr>
            <w:tcW w:w="1920" w:type="dxa"/>
            <w:vAlign w:val="bottom"/>
            <w:tcBorders>
              <w:bottom w:val="single" w:sz="8" w:color="003A70"/>
            </w:tcBorders>
          </w:tcPr>
          <w:p>
            <w:pPr>
              <w:spacing w:after="0"/>
              <w:rPr>
                <w:sz w:val="23"/>
                <w:szCs w:val="23"/>
                <w:color w:val="auto"/>
              </w:rPr>
            </w:pPr>
          </w:p>
        </w:tc>
        <w:tc>
          <w:tcPr>
            <w:tcW w:w="1860" w:type="dxa"/>
            <w:vAlign w:val="bottom"/>
            <w:tcBorders>
              <w:bottom w:val="single" w:sz="8" w:color="003A70"/>
            </w:tcBorders>
          </w:tcPr>
          <w:p>
            <w:pPr>
              <w:spacing w:after="0"/>
              <w:rPr>
                <w:sz w:val="23"/>
                <w:szCs w:val="23"/>
                <w:color w:val="auto"/>
              </w:rPr>
            </w:pPr>
          </w:p>
        </w:tc>
        <w:tc>
          <w:tcPr>
            <w:tcW w:w="2880" w:type="dxa"/>
            <w:vAlign w:val="bottom"/>
            <w:tcBorders>
              <w:bottom w:val="single" w:sz="8" w:color="003A70"/>
            </w:tcBorders>
          </w:tcPr>
          <w:p>
            <w:pPr>
              <w:ind w:left="120"/>
              <w:spacing w:after="0"/>
              <w:rPr>
                <w:sz w:val="20"/>
                <w:szCs w:val="20"/>
                <w:color w:val="auto"/>
              </w:rPr>
            </w:pPr>
            <w:r>
              <w:rPr>
                <w:rFonts w:ascii="Arial" w:cs="Arial" w:eastAsia="Arial" w:hAnsi="Arial"/>
                <w:sz w:val="11"/>
                <w:szCs w:val="11"/>
                <w:color w:val="auto"/>
              </w:rPr>
              <w:t>Report on the Board of Directors and its Committees</w:t>
            </w:r>
          </w:p>
        </w:tc>
        <w:tc>
          <w:tcPr>
            <w:tcW w:w="3980" w:type="dxa"/>
            <w:vAlign w:val="bottom"/>
            <w:tcBorders>
              <w:bottom w:val="single" w:sz="8" w:color="003A70"/>
            </w:tcBorders>
            <w:gridSpan w:val="2"/>
          </w:tcPr>
          <w:p>
            <w:pPr>
              <w:ind w:left="70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-1041400</wp:posOffset>
            </wp:positionV>
            <wp:extent cx="102235" cy="136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-1016000</wp:posOffset>
            </wp:positionV>
            <wp:extent cx="196215" cy="136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215" cy="13652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-1016000</wp:posOffset>
            </wp:positionV>
            <wp:extent cx="162560" cy="136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-1016000</wp:posOffset>
            </wp:positionV>
            <wp:extent cx="136525" cy="136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-1016000</wp:posOffset>
            </wp:positionV>
            <wp:extent cx="153670" cy="136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-716915</wp:posOffset>
            </wp:positionV>
            <wp:extent cx="145415" cy="136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-708660</wp:posOffset>
            </wp:positionV>
            <wp:extent cx="136525" cy="136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-708660</wp:posOffset>
            </wp:positionV>
            <wp:extent cx="145415" cy="136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-716915</wp:posOffset>
            </wp:positionV>
            <wp:extent cx="145415" cy="13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-708660</wp:posOffset>
            </wp:positionV>
            <wp:extent cx="128270" cy="136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-323850</wp:posOffset>
            </wp:positionV>
            <wp:extent cx="162560" cy="136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-315595</wp:posOffset>
            </wp:positionV>
            <wp:extent cx="145415" cy="136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-332740</wp:posOffset>
            </wp:positionV>
            <wp:extent cx="145415" cy="136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-315595</wp:posOffset>
            </wp:positionV>
            <wp:extent cx="136525" cy="136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JONICE M. GRAY</w:t>
            </w:r>
          </w:p>
        </w:tc>
        <w:tc>
          <w:tcPr>
            <w:tcW w:w="7340" w:type="dxa"/>
            <w:vAlign w:val="bottom"/>
            <w:tcBorders>
              <w:top w:val="single" w:sz="8" w:color="003A70"/>
            </w:tcBorders>
          </w:tcPr>
          <w:p>
            <w:pPr>
              <w:spacing w:after="0"/>
              <w:rPr>
                <w:sz w:val="20"/>
                <w:szCs w:val="20"/>
                <w:color w:val="auto"/>
              </w:rPr>
            </w:pPr>
          </w:p>
        </w:tc>
      </w:tr>
      <w:tr>
        <w:trPr>
          <w:trHeight w:val="24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tc>
        <w:tc>
          <w:tcPr>
            <w:tcW w:w="73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2"/>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60"/>
        <w:spacing w:after="0" w:line="248" w:lineRule="auto"/>
        <w:rPr>
          <w:sz w:val="20"/>
          <w:szCs w:val="20"/>
          <w:color w:val="auto"/>
        </w:rPr>
      </w:pPr>
      <w:r>
        <w:rPr>
          <w:rFonts w:ascii="Arial" w:cs="Arial" w:eastAsia="Arial" w:hAnsi="Arial"/>
          <w:sz w:val="16"/>
          <w:szCs w:val="16"/>
          <w:color w:val="auto"/>
        </w:rPr>
        <w:t>Ms. Gray is a Partner with Paul Hastings, LLP, a global law firm, where she is Chair of the Financial Services Group. Throughout her professional career, Ms. Gray has specialized in work with banks, non-bank financial institutions, and other companies providing financial products and services. She works with some of the largest bank and non-bank financial institutions, emerging companies such as fintechs, and retailers whose business operations include consumer and commercial finance. Ms. Gray’s work is focused on representing corporate clients in high-stakes legal proceedings, including matters initiated by federal and state regulators, private civil litigation, and internal investigations. Ms. Gray’s work includes particularized focus on matters related to consumer protection and corporate compliance. Ms. Gray routinely provides strategic advice to senior corporate leaders, including Boards of Directors, as they navigate complex, and often unexpected, business and legal challenges. In view of the nature of her practice, this work often involves crisis management.</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
        <w:spacing w:after="0" w:line="247" w:lineRule="auto"/>
        <w:rPr>
          <w:sz w:val="20"/>
          <w:szCs w:val="20"/>
          <w:color w:val="auto"/>
        </w:rPr>
      </w:pPr>
      <w:r>
        <w:rPr>
          <w:rFonts w:ascii="Arial" w:cs="Arial" w:eastAsia="Arial" w:hAnsi="Arial"/>
          <w:sz w:val="16"/>
          <w:szCs w:val="16"/>
          <w:color w:val="auto"/>
        </w:rPr>
        <w:t>Ms. Gray has been deeply professionally engaged as a leader in her industry. She is a Past Chair of the American Bar Association’s Banking Law Committee, which had over 2,000 members during her three-year term. She now sits on the Leadership Council for the American Bar Association’s Business Law Section and the Executive Council of the Federal Bar Association’s Banking Law Section. She has delivered hundreds of speeches and authored more than 20 articles in the past few years on financial services matters. Outside of her professional work, Ms. Gray has served as a Director and as a senior leader for numerous non-profit organizations. Her current affiliations include serving on the Board of Directors for The Legal Aid Society of the District of Columbia and on the Advisory Board for the Ron Brown Scholars Program. Prior to joining Paul Hastings, Ms. Gray was a Founding Partner and Governing Board Member of another international law firm. She holds a BA from the University of Virginia (Phi Beta Kappa) and a JD from Yale Law School. Ms. Gray brings to the Board a fresh and unique perspective in the areas of financial markets, regulatory affairs, consumer protection, risk and crisis management, and technology. These attributes will be an asset to the Company as it continues to make investments designed to drive continued, sustainable future growth.</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1440" w:type="dxa"/>
            <w:vAlign w:val="bottom"/>
          </w:tcPr>
          <w:p>
            <w:pPr>
              <w:ind w:left="260"/>
              <w:spacing w:after="0"/>
              <w:rPr>
                <w:sz w:val="20"/>
                <w:szCs w:val="20"/>
                <w:color w:val="auto"/>
              </w:rPr>
            </w:pPr>
            <w:r>
              <w:rPr>
                <w:rFonts w:ascii="Arial" w:cs="Arial" w:eastAsia="Arial" w:hAnsi="Arial"/>
                <w:sz w:val="13"/>
                <w:szCs w:val="13"/>
                <w:color w:val="003A70"/>
              </w:rPr>
              <w:t>Corporate</w:t>
            </w:r>
          </w:p>
        </w:tc>
        <w:tc>
          <w:tcPr>
            <w:tcW w:w="2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40" w:type="dxa"/>
            <w:vAlign w:val="bottom"/>
          </w:tcPr>
          <w:p>
            <w:pPr>
              <w:ind w:left="360"/>
              <w:spacing w:after="0"/>
              <w:rPr>
                <w:sz w:val="20"/>
                <w:szCs w:val="20"/>
                <w:color w:val="auto"/>
              </w:rPr>
            </w:pPr>
            <w:r>
              <w:rPr>
                <w:rFonts w:ascii="Arial" w:cs="Arial" w:eastAsia="Arial" w:hAnsi="Arial"/>
                <w:sz w:val="13"/>
                <w:szCs w:val="13"/>
                <w:color w:val="003A70"/>
              </w:rPr>
              <w:t>Risk</w:t>
            </w:r>
          </w:p>
        </w:tc>
        <w:tc>
          <w:tcPr>
            <w:tcW w:w="1880" w:type="dxa"/>
            <w:vAlign w:val="bottom"/>
          </w:tcPr>
          <w:p>
            <w:pPr>
              <w:spacing w:after="0"/>
              <w:rPr>
                <w:sz w:val="13"/>
                <w:szCs w:val="13"/>
                <w:color w:val="auto"/>
              </w:rPr>
            </w:pPr>
          </w:p>
        </w:tc>
        <w:tc>
          <w:tcPr>
            <w:tcW w:w="1700" w:type="dxa"/>
            <w:vAlign w:val="bottom"/>
          </w:tcPr>
          <w:p>
            <w:pPr>
              <w:ind w:left="400"/>
              <w:spacing w:after="0"/>
              <w:rPr>
                <w:sz w:val="20"/>
                <w:szCs w:val="20"/>
                <w:color w:val="auto"/>
              </w:rPr>
            </w:pPr>
            <w:r>
              <w:rPr>
                <w:rFonts w:ascii="Arial" w:cs="Arial" w:eastAsia="Arial" w:hAnsi="Arial"/>
                <w:sz w:val="13"/>
                <w:szCs w:val="13"/>
                <w:color w:val="003A70"/>
                <w:w w:val="96"/>
              </w:rPr>
              <w:t>Public Company Board</w:t>
            </w:r>
          </w:p>
        </w:tc>
      </w:tr>
      <w:tr>
        <w:trPr>
          <w:trHeight w:val="175"/>
        </w:trPr>
        <w:tc>
          <w:tcPr>
            <w:tcW w:w="300" w:type="dxa"/>
            <w:vAlign w:val="bottom"/>
          </w:tcPr>
          <w:p>
            <w:pPr>
              <w:spacing w:after="0"/>
              <w:rPr>
                <w:sz w:val="20"/>
                <w:szCs w:val="20"/>
                <w:color w:val="auto"/>
              </w:rPr>
            </w:pPr>
            <w:r>
              <w:rPr>
                <w:rFonts w:ascii="Arial" w:cs="Arial" w:eastAsia="Arial" w:hAnsi="Arial"/>
                <w:sz w:val="13"/>
                <w:szCs w:val="13"/>
                <w:color w:val="auto"/>
              </w:rPr>
              <w:t> </w:t>
            </w:r>
          </w:p>
        </w:tc>
        <w:tc>
          <w:tcPr>
            <w:tcW w:w="1440" w:type="dxa"/>
            <w:vAlign w:val="bottom"/>
          </w:tcPr>
          <w:p>
            <w:pPr>
              <w:ind w:left="260"/>
              <w:spacing w:after="0"/>
              <w:rPr>
                <w:sz w:val="20"/>
                <w:szCs w:val="20"/>
                <w:color w:val="auto"/>
              </w:rPr>
            </w:pPr>
            <w:r>
              <w:rPr>
                <w:rFonts w:ascii="Arial" w:cs="Arial" w:eastAsia="Arial" w:hAnsi="Arial"/>
                <w:sz w:val="13"/>
                <w:szCs w:val="13"/>
                <w:color w:val="003A70"/>
              </w:rPr>
              <w:t>Leadership</w:t>
            </w:r>
          </w:p>
        </w:tc>
        <w:tc>
          <w:tcPr>
            <w:tcW w:w="2000" w:type="dxa"/>
            <w:vAlign w:val="bottom"/>
          </w:tcPr>
          <w:p>
            <w:pPr>
              <w:ind w:left="520"/>
              <w:spacing w:after="0"/>
              <w:rPr>
                <w:sz w:val="20"/>
                <w:szCs w:val="20"/>
                <w:color w:val="auto"/>
              </w:rPr>
            </w:pPr>
            <w:r>
              <w:rPr>
                <w:rFonts w:ascii="Arial" w:cs="Arial" w:eastAsia="Arial" w:hAnsi="Arial"/>
                <w:sz w:val="13"/>
                <w:szCs w:val="13"/>
                <w:color w:val="003A70"/>
              </w:rPr>
              <w:t>Independence</w:t>
            </w:r>
          </w:p>
        </w:tc>
        <w:tc>
          <w:tcPr>
            <w:tcW w:w="1560" w:type="dxa"/>
            <w:vAlign w:val="bottom"/>
          </w:tcPr>
          <w:p>
            <w:pPr>
              <w:ind w:left="420"/>
              <w:spacing w:after="0"/>
              <w:rPr>
                <w:sz w:val="20"/>
                <w:szCs w:val="20"/>
                <w:color w:val="auto"/>
              </w:rPr>
            </w:pPr>
            <w:r>
              <w:rPr>
                <w:rFonts w:ascii="Arial" w:cs="Arial" w:eastAsia="Arial" w:hAnsi="Arial"/>
                <w:sz w:val="13"/>
                <w:szCs w:val="13"/>
                <w:color w:val="003A70"/>
              </w:rPr>
              <w:t>Diversity</w:t>
            </w:r>
          </w:p>
        </w:tc>
        <w:tc>
          <w:tcPr>
            <w:tcW w:w="2040" w:type="dxa"/>
            <w:vAlign w:val="bottom"/>
          </w:tcPr>
          <w:p>
            <w:pPr>
              <w:ind w:left="360"/>
              <w:spacing w:after="0"/>
              <w:rPr>
                <w:sz w:val="20"/>
                <w:szCs w:val="20"/>
                <w:color w:val="auto"/>
              </w:rPr>
            </w:pPr>
            <w:r>
              <w:rPr>
                <w:rFonts w:ascii="Arial" w:cs="Arial" w:eastAsia="Arial" w:hAnsi="Arial"/>
                <w:sz w:val="13"/>
                <w:szCs w:val="13"/>
                <w:color w:val="003A70"/>
              </w:rPr>
              <w:t>Management</w:t>
            </w:r>
          </w:p>
        </w:tc>
        <w:tc>
          <w:tcPr>
            <w:tcW w:w="1880" w:type="dxa"/>
            <w:vAlign w:val="bottom"/>
          </w:tcPr>
          <w:p>
            <w:pPr>
              <w:ind w:left="440"/>
              <w:spacing w:after="0"/>
              <w:rPr>
                <w:sz w:val="20"/>
                <w:szCs w:val="20"/>
                <w:color w:val="auto"/>
              </w:rPr>
            </w:pPr>
            <w:r>
              <w:rPr>
                <w:rFonts w:ascii="Arial" w:cs="Arial" w:eastAsia="Arial" w:hAnsi="Arial"/>
                <w:sz w:val="13"/>
                <w:szCs w:val="13"/>
                <w:color w:val="003A70"/>
              </w:rPr>
              <w:t>Strategic Planning</w:t>
            </w:r>
          </w:p>
        </w:tc>
        <w:tc>
          <w:tcPr>
            <w:tcW w:w="1700" w:type="dxa"/>
            <w:vAlign w:val="bottom"/>
          </w:tcPr>
          <w:p>
            <w:pPr>
              <w:ind w:left="400"/>
              <w:spacing w:after="0"/>
              <w:rPr>
                <w:sz w:val="20"/>
                <w:szCs w:val="20"/>
                <w:color w:val="auto"/>
              </w:rPr>
            </w:pPr>
            <w:r>
              <w:rPr>
                <w:rFonts w:ascii="Arial" w:cs="Arial" w:eastAsia="Arial" w:hAnsi="Arial"/>
                <w:sz w:val="13"/>
                <w:szCs w:val="13"/>
                <w:color w:val="003A70"/>
                <w:w w:val="98"/>
              </w:rPr>
              <w:t>Service &amp; Governance</w:t>
            </w:r>
          </w:p>
        </w:tc>
      </w:tr>
      <w:tr>
        <w:trPr>
          <w:trHeight w:val="256"/>
        </w:trPr>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00" w:type="dxa"/>
            <w:vAlign w:val="bottom"/>
          </w:tcPr>
          <w:p>
            <w:pPr>
              <w:ind w:left="520"/>
              <w:spacing w:after="0"/>
              <w:rPr>
                <w:sz w:val="20"/>
                <w:szCs w:val="20"/>
                <w:color w:val="auto"/>
              </w:rPr>
            </w:pPr>
            <w:r>
              <w:rPr>
                <w:rFonts w:ascii="Arial" w:cs="Arial" w:eastAsia="Arial" w:hAnsi="Arial"/>
                <w:sz w:val="13"/>
                <w:szCs w:val="13"/>
                <w:color w:val="003A70"/>
              </w:rPr>
              <w:t>Sales &amp; Marketing/</w:t>
            </w:r>
          </w:p>
        </w:tc>
        <w:tc>
          <w:tcPr>
            <w:tcW w:w="1560" w:type="dxa"/>
            <w:vAlign w:val="bottom"/>
          </w:tcPr>
          <w:p>
            <w:pPr>
              <w:ind w:left="420"/>
              <w:spacing w:after="0"/>
              <w:rPr>
                <w:sz w:val="20"/>
                <w:szCs w:val="20"/>
                <w:color w:val="auto"/>
              </w:rPr>
            </w:pPr>
            <w:r>
              <w:rPr>
                <w:rFonts w:ascii="Arial" w:cs="Arial" w:eastAsia="Arial" w:hAnsi="Arial"/>
                <w:sz w:val="13"/>
                <w:szCs w:val="13"/>
                <w:color w:val="003A70"/>
              </w:rPr>
              <w:t>Technology &amp;</w:t>
            </w:r>
          </w:p>
        </w:tc>
        <w:tc>
          <w:tcPr>
            <w:tcW w:w="2040" w:type="dxa"/>
            <w:vAlign w:val="bottom"/>
          </w:tcPr>
          <w:p>
            <w:pPr>
              <w:ind w:left="360"/>
              <w:spacing w:after="0"/>
              <w:rPr>
                <w:sz w:val="20"/>
                <w:szCs w:val="20"/>
                <w:color w:val="auto"/>
              </w:rPr>
            </w:pPr>
            <w:r>
              <w:rPr>
                <w:rFonts w:ascii="Arial" w:cs="Arial" w:eastAsia="Arial" w:hAnsi="Arial"/>
                <w:sz w:val="13"/>
                <w:szCs w:val="13"/>
                <w:color w:val="003A70"/>
              </w:rPr>
              <w:t>Legal, Regulatory &amp;</w:t>
            </w:r>
          </w:p>
        </w:tc>
        <w:tc>
          <w:tcPr>
            <w:tcW w:w="1880" w:type="dxa"/>
            <w:vAlign w:val="bottom"/>
          </w:tcPr>
          <w:p>
            <w:pPr>
              <w:ind w:left="440"/>
              <w:spacing w:after="0"/>
              <w:rPr>
                <w:sz w:val="20"/>
                <w:szCs w:val="20"/>
                <w:color w:val="auto"/>
              </w:rPr>
            </w:pPr>
            <w:r>
              <w:rPr>
                <w:rFonts w:ascii="Arial" w:cs="Arial" w:eastAsia="Arial" w:hAnsi="Arial"/>
                <w:sz w:val="13"/>
                <w:szCs w:val="13"/>
                <w:color w:val="003A70"/>
              </w:rPr>
              <w:t>Digital &amp; Social</w:t>
            </w:r>
          </w:p>
        </w:tc>
        <w:tc>
          <w:tcPr>
            <w:tcW w:w="1700" w:type="dxa"/>
            <w:vAlign w:val="bottom"/>
          </w:tcPr>
          <w:p>
            <w:pPr>
              <w:ind w:left="400"/>
              <w:spacing w:after="0"/>
              <w:rPr>
                <w:sz w:val="20"/>
                <w:szCs w:val="20"/>
                <w:color w:val="auto"/>
              </w:rPr>
            </w:pPr>
            <w:r>
              <w:rPr>
                <w:rFonts w:ascii="Arial" w:cs="Arial" w:eastAsia="Arial" w:hAnsi="Arial"/>
                <w:sz w:val="13"/>
                <w:szCs w:val="13"/>
                <w:color w:val="003A70"/>
              </w:rPr>
              <w:t>Financial &amp;</w:t>
            </w:r>
          </w:p>
        </w:tc>
      </w:tr>
      <w:tr>
        <w:trPr>
          <w:trHeight w:val="175"/>
        </w:trPr>
        <w:tc>
          <w:tcPr>
            <w:tcW w:w="30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Arial" w:cs="Arial" w:eastAsia="Arial" w:hAnsi="Arial"/>
                <w:sz w:val="13"/>
                <w:szCs w:val="13"/>
                <w:color w:val="003A70"/>
              </w:rPr>
              <w:t>Compliance</w:t>
            </w:r>
          </w:p>
        </w:tc>
        <w:tc>
          <w:tcPr>
            <w:tcW w:w="2000" w:type="dxa"/>
            <w:vAlign w:val="bottom"/>
          </w:tcPr>
          <w:p>
            <w:pPr>
              <w:ind w:left="520"/>
              <w:spacing w:after="0"/>
              <w:rPr>
                <w:sz w:val="20"/>
                <w:szCs w:val="20"/>
                <w:color w:val="auto"/>
              </w:rPr>
            </w:pPr>
            <w:r>
              <w:rPr>
                <w:rFonts w:ascii="Arial" w:cs="Arial" w:eastAsia="Arial" w:hAnsi="Arial"/>
                <w:sz w:val="13"/>
                <w:szCs w:val="13"/>
                <w:color w:val="003A70"/>
              </w:rPr>
              <w:t>Consumer Insights</w:t>
            </w:r>
          </w:p>
        </w:tc>
        <w:tc>
          <w:tcPr>
            <w:tcW w:w="1560" w:type="dxa"/>
            <w:vAlign w:val="bottom"/>
          </w:tcPr>
          <w:p>
            <w:pPr>
              <w:ind w:left="420"/>
              <w:spacing w:after="0"/>
              <w:rPr>
                <w:sz w:val="20"/>
                <w:szCs w:val="20"/>
                <w:color w:val="auto"/>
              </w:rPr>
            </w:pPr>
            <w:r>
              <w:rPr>
                <w:rFonts w:ascii="Arial" w:cs="Arial" w:eastAsia="Arial" w:hAnsi="Arial"/>
                <w:sz w:val="13"/>
                <w:szCs w:val="13"/>
                <w:color w:val="003A70"/>
              </w:rPr>
              <w:t>Cybersecurity</w:t>
            </w:r>
          </w:p>
        </w:tc>
        <w:tc>
          <w:tcPr>
            <w:tcW w:w="2040" w:type="dxa"/>
            <w:vAlign w:val="bottom"/>
          </w:tcPr>
          <w:p>
            <w:pPr>
              <w:ind w:left="360"/>
              <w:spacing w:after="0"/>
              <w:rPr>
                <w:sz w:val="20"/>
                <w:szCs w:val="20"/>
                <w:color w:val="auto"/>
              </w:rPr>
            </w:pPr>
            <w:r>
              <w:rPr>
                <w:rFonts w:ascii="Arial" w:cs="Arial" w:eastAsia="Arial" w:hAnsi="Arial"/>
                <w:sz w:val="13"/>
                <w:szCs w:val="13"/>
                <w:color w:val="003A70"/>
              </w:rPr>
              <w:t>Government Relations</w:t>
            </w:r>
          </w:p>
        </w:tc>
        <w:tc>
          <w:tcPr>
            <w:tcW w:w="1880" w:type="dxa"/>
            <w:vAlign w:val="bottom"/>
          </w:tcPr>
          <w:p>
            <w:pPr>
              <w:ind w:left="440"/>
              <w:spacing w:after="0"/>
              <w:rPr>
                <w:sz w:val="20"/>
                <w:szCs w:val="20"/>
                <w:color w:val="auto"/>
              </w:rPr>
            </w:pPr>
            <w:r>
              <w:rPr>
                <w:rFonts w:ascii="Arial" w:cs="Arial" w:eastAsia="Arial" w:hAnsi="Arial"/>
                <w:sz w:val="13"/>
                <w:szCs w:val="13"/>
                <w:color w:val="003A70"/>
              </w:rPr>
              <w:t>Media</w:t>
            </w:r>
          </w:p>
        </w:tc>
        <w:tc>
          <w:tcPr>
            <w:tcW w:w="1700" w:type="dxa"/>
            <w:vAlign w:val="bottom"/>
          </w:tcPr>
          <w:p>
            <w:pPr>
              <w:ind w:left="400"/>
              <w:spacing w:after="0"/>
              <w:rPr>
                <w:sz w:val="20"/>
                <w:szCs w:val="20"/>
                <w:color w:val="auto"/>
              </w:rPr>
            </w:pPr>
            <w:r>
              <w:rPr>
                <w:rFonts w:ascii="Arial" w:cs="Arial" w:eastAsia="Arial" w:hAnsi="Arial"/>
                <w:sz w:val="13"/>
                <w:szCs w:val="13"/>
                <w:color w:val="003A70"/>
              </w:rPr>
              <w:t>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-443230</wp:posOffset>
            </wp:positionV>
            <wp:extent cx="102235" cy="136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-417830</wp:posOffset>
            </wp:positionV>
            <wp:extent cx="162560" cy="136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-417830</wp:posOffset>
            </wp:positionV>
            <wp:extent cx="153670" cy="136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-417830</wp:posOffset>
            </wp:positionV>
            <wp:extent cx="136525" cy="136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-417830</wp:posOffset>
            </wp:positionV>
            <wp:extent cx="145415" cy="136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5847715</wp:posOffset>
            </wp:positionH>
            <wp:positionV relativeFrom="paragraph">
              <wp:posOffset>-417830</wp:posOffset>
            </wp:positionV>
            <wp:extent cx="153670" cy="136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-153035</wp:posOffset>
            </wp:positionV>
            <wp:extent cx="196215" cy="136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215" cy="13652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-144145</wp:posOffset>
            </wp:positionV>
            <wp:extent cx="145415" cy="136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-144145</wp:posOffset>
            </wp:positionV>
            <wp:extent cx="136525" cy="136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-144145</wp:posOffset>
            </wp:positionV>
            <wp:extent cx="136525" cy="136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-144145</wp:posOffset>
            </wp:positionV>
            <wp:extent cx="145415" cy="136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5847715</wp:posOffset>
            </wp:positionH>
            <wp:positionV relativeFrom="paragraph">
              <wp:posOffset>-144145</wp:posOffset>
            </wp:positionV>
            <wp:extent cx="153670" cy="1365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670" cy="136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DIANNA F. MORGAN</w:t>
            </w:r>
          </w:p>
        </w:tc>
        <w:tc>
          <w:tcPr>
            <w:tcW w:w="7340" w:type="dxa"/>
            <w:vAlign w:val="bottom"/>
            <w:tcBorders>
              <w:top w:val="single" w:sz="8" w:color="003A70"/>
            </w:tcBorders>
          </w:tcPr>
          <w:p>
            <w:pPr>
              <w:spacing w:after="0"/>
              <w:rPr>
                <w:sz w:val="20"/>
                <w:szCs w:val="20"/>
                <w:color w:val="auto"/>
              </w:rPr>
            </w:pPr>
          </w:p>
        </w:tc>
      </w:tr>
      <w:tr>
        <w:trPr>
          <w:trHeight w:val="24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tc>
        <w:tc>
          <w:tcPr>
            <w:tcW w:w="734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 (Chair)</w:t>
            </w:r>
          </w:p>
        </w:tc>
      </w:tr>
      <w:tr>
        <w:trPr>
          <w:trHeight w:val="222"/>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4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80"/>
        <w:spacing w:after="0" w:line="248" w:lineRule="auto"/>
        <w:rPr>
          <w:sz w:val="20"/>
          <w:szCs w:val="20"/>
          <w:color w:val="auto"/>
        </w:rPr>
      </w:pPr>
      <w:r>
        <w:rPr>
          <w:rFonts w:ascii="Arial" w:cs="Arial" w:eastAsia="Arial" w:hAnsi="Arial"/>
          <w:sz w:val="16"/>
          <w:szCs w:val="16"/>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She previously served on the Board of Directors of Chesapeake Utilities Corporation, a publicly traded diversified energy corporation, the Board of Trustees of Hersha Hospitality Trust, a publicly traded REIT, and the Board of Directors of CNL Health Care Properties II, Inc., a publicly traded REIT. She also previously served as Chair of the Board of Trustees for the University of Florida.</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0"/>
        <w:spacing w:after="0" w:line="249" w:lineRule="auto"/>
        <w:rPr>
          <w:sz w:val="20"/>
          <w:szCs w:val="20"/>
          <w:color w:val="auto"/>
        </w:rPr>
      </w:pPr>
      <w:r>
        <w:rPr>
          <w:rFonts w:ascii="Arial" w:cs="Arial" w:eastAsia="Arial" w:hAnsi="Arial"/>
          <w:sz w:val="16"/>
          <w:szCs w:val="16"/>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310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00" w:type="dxa"/>
            <w:vAlign w:val="bottom"/>
          </w:tcPr>
          <w:p>
            <w:pPr>
              <w:ind w:left="460"/>
              <w:spacing w:after="0"/>
              <w:rPr>
                <w:sz w:val="20"/>
                <w:szCs w:val="20"/>
                <w:color w:val="auto"/>
              </w:rPr>
            </w:pPr>
            <w:r>
              <w:rPr>
                <w:rFonts w:ascii="Arial" w:cs="Arial" w:eastAsia="Arial" w:hAnsi="Arial"/>
                <w:sz w:val="13"/>
                <w:szCs w:val="13"/>
                <w:color w:val="003A70"/>
              </w:rPr>
              <w:t>Public Company Board</w:t>
            </w:r>
          </w:p>
        </w:tc>
        <w:tc>
          <w:tcPr>
            <w:tcW w:w="1660" w:type="dxa"/>
            <w:vAlign w:val="bottom"/>
          </w:tcPr>
          <w:p>
            <w:pPr>
              <w:ind w:left="340"/>
              <w:spacing w:after="0"/>
              <w:rPr>
                <w:sz w:val="20"/>
                <w:szCs w:val="20"/>
                <w:color w:val="auto"/>
              </w:rPr>
            </w:pPr>
            <w:r>
              <w:rPr>
                <w:rFonts w:ascii="Arial" w:cs="Arial" w:eastAsia="Arial" w:hAnsi="Arial"/>
                <w:sz w:val="13"/>
                <w:szCs w:val="13"/>
                <w:color w:val="003A70"/>
              </w:rPr>
              <w:t>Risk</w:t>
            </w:r>
          </w:p>
        </w:tc>
      </w:tr>
      <w:tr>
        <w:trPr>
          <w:trHeight w:val="179"/>
        </w:trPr>
        <w:tc>
          <w:tcPr>
            <w:tcW w:w="300" w:type="dxa"/>
            <w:vAlign w:val="bottom"/>
          </w:tcPr>
          <w:p>
            <w:pPr>
              <w:ind w:left="40"/>
              <w:spacing w:after="0"/>
              <w:rPr>
                <w:sz w:val="20"/>
                <w:szCs w:val="20"/>
                <w:color w:val="auto"/>
              </w:rPr>
            </w:pPr>
            <w:r>
              <w:rPr>
                <w:rFonts w:ascii="Arial" w:cs="Arial" w:eastAsia="Arial" w:hAnsi="Arial"/>
                <w:sz w:val="13"/>
                <w:szCs w:val="13"/>
                <w:color w:val="auto"/>
              </w:rPr>
              <w:t> </w:t>
            </w:r>
          </w:p>
        </w:tc>
        <w:tc>
          <w:tcPr>
            <w:tcW w:w="310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800" w:type="dxa"/>
            <w:vAlign w:val="bottom"/>
          </w:tcPr>
          <w:p>
            <w:pPr>
              <w:ind w:left="140"/>
              <w:spacing w:after="0"/>
              <w:rPr>
                <w:sz w:val="20"/>
                <w:szCs w:val="20"/>
                <w:color w:val="auto"/>
              </w:rPr>
            </w:pPr>
            <w:r>
              <w:rPr>
                <w:rFonts w:ascii="Arial" w:cs="Arial" w:eastAsia="Arial" w:hAnsi="Arial"/>
                <w:sz w:val="13"/>
                <w:szCs w:val="13"/>
                <w:color w:val="003A70"/>
              </w:rPr>
              <w:t>Independence</w:t>
            </w:r>
          </w:p>
        </w:tc>
        <w:tc>
          <w:tcPr>
            <w:tcW w:w="2020" w:type="dxa"/>
            <w:vAlign w:val="bottom"/>
          </w:tcPr>
          <w:p>
            <w:pPr>
              <w:ind w:left="400"/>
              <w:spacing w:after="0"/>
              <w:rPr>
                <w:sz w:val="20"/>
                <w:szCs w:val="20"/>
                <w:color w:val="auto"/>
              </w:rPr>
            </w:pPr>
            <w:r>
              <w:rPr>
                <w:rFonts w:ascii="Arial" w:cs="Arial" w:eastAsia="Arial" w:hAnsi="Arial"/>
                <w:sz w:val="13"/>
                <w:szCs w:val="13"/>
                <w:color w:val="003A70"/>
              </w:rPr>
              <w:t>Diversity</w:t>
            </w:r>
          </w:p>
        </w:tc>
        <w:tc>
          <w:tcPr>
            <w:tcW w:w="2100" w:type="dxa"/>
            <w:vAlign w:val="bottom"/>
          </w:tcPr>
          <w:p>
            <w:pPr>
              <w:ind w:left="460"/>
              <w:spacing w:after="0"/>
              <w:rPr>
                <w:sz w:val="20"/>
                <w:szCs w:val="20"/>
                <w:color w:val="auto"/>
              </w:rPr>
            </w:pPr>
            <w:r>
              <w:rPr>
                <w:rFonts w:ascii="Arial" w:cs="Arial" w:eastAsia="Arial" w:hAnsi="Arial"/>
                <w:sz w:val="13"/>
                <w:szCs w:val="13"/>
                <w:color w:val="003A70"/>
              </w:rPr>
              <w:t>Service &amp; Governance</w:t>
            </w:r>
          </w:p>
        </w:tc>
        <w:tc>
          <w:tcPr>
            <w:tcW w:w="1660" w:type="dxa"/>
            <w:vAlign w:val="bottom"/>
          </w:tcPr>
          <w:p>
            <w:pPr>
              <w:ind w:left="340"/>
              <w:spacing w:after="0"/>
              <w:rPr>
                <w:sz w:val="20"/>
                <w:szCs w:val="20"/>
                <w:color w:val="auto"/>
              </w:rPr>
            </w:pPr>
            <w:r>
              <w:rPr>
                <w:rFonts w:ascii="Arial" w:cs="Arial" w:eastAsia="Arial" w:hAnsi="Arial"/>
                <w:sz w:val="13"/>
                <w:szCs w:val="13"/>
                <w:color w:val="003A70"/>
              </w:rPr>
              <w:t>Management</w:t>
            </w:r>
          </w:p>
        </w:tc>
      </w:tr>
      <w:tr>
        <w:trPr>
          <w:trHeight w:val="256"/>
        </w:trPr>
        <w:tc>
          <w:tcPr>
            <w:tcW w:w="300" w:type="dxa"/>
            <w:vAlign w:val="bottom"/>
          </w:tcPr>
          <w:p>
            <w:pPr>
              <w:spacing w:after="0"/>
              <w:rPr>
                <w:sz w:val="22"/>
                <w:szCs w:val="22"/>
                <w:color w:val="auto"/>
              </w:rPr>
            </w:pPr>
          </w:p>
        </w:tc>
        <w:tc>
          <w:tcPr>
            <w:tcW w:w="3100" w:type="dxa"/>
            <w:vAlign w:val="bottom"/>
          </w:tcPr>
          <w:p>
            <w:pPr>
              <w:ind w:left="240"/>
              <w:spacing w:after="0"/>
              <w:rPr>
                <w:sz w:val="20"/>
                <w:szCs w:val="20"/>
                <w:color w:val="auto"/>
              </w:rPr>
            </w:pPr>
            <w:r>
              <w:rPr>
                <w:rFonts w:ascii="Arial" w:cs="Arial" w:eastAsia="Arial" w:hAnsi="Arial"/>
                <w:sz w:val="13"/>
                <w:szCs w:val="13"/>
                <w:color w:val="003A70"/>
              </w:rPr>
              <w:t>Vacation Ownership &amp;</w:t>
            </w:r>
          </w:p>
        </w:tc>
        <w:tc>
          <w:tcPr>
            <w:tcW w:w="1800" w:type="dxa"/>
            <w:vAlign w:val="bottom"/>
          </w:tcPr>
          <w:p>
            <w:pPr>
              <w:ind w:left="140"/>
              <w:spacing w:after="0"/>
              <w:rPr>
                <w:sz w:val="20"/>
                <w:szCs w:val="20"/>
                <w:color w:val="auto"/>
              </w:rPr>
            </w:pPr>
            <w:r>
              <w:rPr>
                <w:rFonts w:ascii="Arial" w:cs="Arial" w:eastAsia="Arial" w:hAnsi="Arial"/>
                <w:sz w:val="13"/>
                <w:szCs w:val="13"/>
                <w:color w:val="003A70"/>
              </w:rPr>
              <w:t>Legal, Regulatory &amp;</w:t>
            </w:r>
          </w:p>
        </w:tc>
        <w:tc>
          <w:tcPr>
            <w:tcW w:w="2020" w:type="dxa"/>
            <w:vAlign w:val="bottom"/>
          </w:tcPr>
          <w:p>
            <w:pPr>
              <w:ind w:left="400"/>
              <w:spacing w:after="0"/>
              <w:rPr>
                <w:sz w:val="20"/>
                <w:szCs w:val="20"/>
                <w:color w:val="auto"/>
              </w:rPr>
            </w:pPr>
            <w:r>
              <w:rPr>
                <w:rFonts w:ascii="Arial" w:cs="Arial" w:eastAsia="Arial" w:hAnsi="Arial"/>
                <w:sz w:val="13"/>
                <w:szCs w:val="13"/>
                <w:color w:val="003A70"/>
              </w:rPr>
              <w:t>Sales &amp; Marketing/</w:t>
            </w:r>
          </w:p>
        </w:tc>
        <w:tc>
          <w:tcPr>
            <w:tcW w:w="2100" w:type="dxa"/>
            <w:vAlign w:val="bottom"/>
          </w:tcPr>
          <w:p>
            <w:pPr>
              <w:ind w:left="460"/>
              <w:spacing w:after="0"/>
              <w:rPr>
                <w:sz w:val="20"/>
                <w:szCs w:val="20"/>
                <w:color w:val="auto"/>
              </w:rPr>
            </w:pPr>
            <w:r>
              <w:rPr>
                <w:rFonts w:ascii="Arial" w:cs="Arial" w:eastAsia="Arial" w:hAnsi="Arial"/>
                <w:sz w:val="13"/>
                <w:szCs w:val="13"/>
                <w:color w:val="003A70"/>
              </w:rPr>
              <w:t>Real Estate &amp; Business</w:t>
            </w:r>
          </w:p>
        </w:tc>
        <w:tc>
          <w:tcPr>
            <w:tcW w:w="1660" w:type="dxa"/>
            <w:vAlign w:val="bottom"/>
          </w:tcPr>
          <w:p>
            <w:pPr>
              <w:spacing w:after="0"/>
              <w:rPr>
                <w:sz w:val="22"/>
                <w:szCs w:val="22"/>
                <w:color w:val="auto"/>
              </w:rPr>
            </w:pPr>
          </w:p>
        </w:tc>
      </w:tr>
      <w:tr>
        <w:trPr>
          <w:trHeight w:val="175"/>
        </w:trPr>
        <w:tc>
          <w:tcPr>
            <w:tcW w:w="30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3"/>
                <w:szCs w:val="13"/>
                <w:color w:val="003A70"/>
              </w:rPr>
              <w:t>Lodging Industry</w:t>
            </w:r>
          </w:p>
        </w:tc>
        <w:tc>
          <w:tcPr>
            <w:tcW w:w="1800" w:type="dxa"/>
            <w:vAlign w:val="bottom"/>
          </w:tcPr>
          <w:p>
            <w:pPr>
              <w:ind w:left="140"/>
              <w:spacing w:after="0"/>
              <w:rPr>
                <w:sz w:val="20"/>
                <w:szCs w:val="20"/>
                <w:color w:val="auto"/>
              </w:rPr>
            </w:pPr>
            <w:r>
              <w:rPr>
                <w:rFonts w:ascii="Arial" w:cs="Arial" w:eastAsia="Arial" w:hAnsi="Arial"/>
                <w:sz w:val="13"/>
                <w:szCs w:val="13"/>
                <w:color w:val="003A70"/>
              </w:rPr>
              <w:t>Government Relations</w:t>
            </w:r>
          </w:p>
        </w:tc>
        <w:tc>
          <w:tcPr>
            <w:tcW w:w="2020" w:type="dxa"/>
            <w:vAlign w:val="bottom"/>
          </w:tcPr>
          <w:p>
            <w:pPr>
              <w:ind w:left="400"/>
              <w:spacing w:after="0"/>
              <w:rPr>
                <w:sz w:val="20"/>
                <w:szCs w:val="20"/>
                <w:color w:val="auto"/>
              </w:rPr>
            </w:pPr>
            <w:r>
              <w:rPr>
                <w:rFonts w:ascii="Arial" w:cs="Arial" w:eastAsia="Arial" w:hAnsi="Arial"/>
                <w:sz w:val="13"/>
                <w:szCs w:val="13"/>
                <w:color w:val="003A70"/>
              </w:rPr>
              <w:t>Consumer Insights</w:t>
            </w:r>
          </w:p>
        </w:tc>
        <w:tc>
          <w:tcPr>
            <w:tcW w:w="2100" w:type="dxa"/>
            <w:vAlign w:val="bottom"/>
          </w:tcPr>
          <w:p>
            <w:pPr>
              <w:ind w:left="460"/>
              <w:spacing w:after="0"/>
              <w:rPr>
                <w:sz w:val="20"/>
                <w:szCs w:val="20"/>
                <w:color w:val="auto"/>
              </w:rPr>
            </w:pPr>
            <w:r>
              <w:rPr>
                <w:rFonts w:ascii="Arial" w:cs="Arial" w:eastAsia="Arial" w:hAnsi="Arial"/>
                <w:sz w:val="13"/>
                <w:szCs w:val="13"/>
                <w:color w:val="003A70"/>
              </w:rPr>
              <w:t>Development</w:t>
            </w:r>
          </w:p>
        </w:tc>
        <w:tc>
          <w:tcPr>
            <w:tcW w:w="1660" w:type="dxa"/>
            <w:vAlign w:val="bottom"/>
          </w:tcPr>
          <w:p>
            <w:pPr>
              <w:ind w:left="340"/>
              <w:spacing w:after="0"/>
              <w:rPr>
                <w:sz w:val="20"/>
                <w:szCs w:val="20"/>
                <w:color w:val="auto"/>
              </w:rPr>
            </w:pPr>
            <w:r>
              <w:rPr>
                <w:rFonts w:ascii="Arial" w:cs="Arial" w:eastAsia="Arial" w:hAnsi="Arial"/>
                <w:sz w:val="13"/>
                <w:szCs w:val="13"/>
                <w:color w:val="003A70"/>
              </w:rPr>
              <w:t>Strategic Planning</w:t>
            </w:r>
          </w:p>
        </w:tc>
      </w:tr>
      <w:tr>
        <w:trPr>
          <w:trHeight w:val="305"/>
        </w:trPr>
        <w:tc>
          <w:tcPr>
            <w:tcW w:w="30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Arial" w:cs="Arial" w:eastAsia="Arial" w:hAnsi="Arial"/>
                <w:sz w:val="13"/>
                <w:szCs w:val="13"/>
                <w:color w:val="003A70"/>
              </w:rPr>
              <w:t>Human Capital, Professional</w:t>
            </w:r>
          </w:p>
        </w:tc>
        <w:tc>
          <w:tcPr>
            <w:tcW w:w="1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3"/>
                <w:szCs w:val="13"/>
                <w:color w:val="003A70"/>
              </w:rPr>
              <w:t>Development &amp; Organizational Culture</w:t>
            </w:r>
          </w:p>
        </w:tc>
        <w:tc>
          <w:tcPr>
            <w:tcW w:w="1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69"/>
        </w:trPr>
        <w:tc>
          <w:tcPr>
            <w:tcW w:w="340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w w:val="99"/>
              </w:rPr>
              <w:t xml:space="preserve">MARRIOTT VACATIONS WORLDWIDE </w:t>
            </w:r>
            <w:r>
              <w:rPr>
                <w:rFonts w:ascii="Arial" w:cs="Arial" w:eastAsia="Arial" w:hAnsi="Arial"/>
                <w:sz w:val="11"/>
                <w:szCs w:val="11"/>
                <w:color w:val="000000"/>
                <w:w w:val="99"/>
              </w:rPr>
              <w:t>2025 PROXY STATEMENT</w:t>
            </w:r>
          </w:p>
        </w:tc>
        <w:tc>
          <w:tcPr>
            <w:tcW w:w="3820" w:type="dxa"/>
            <w:vAlign w:val="bottom"/>
            <w:tcBorders>
              <w:bottom w:val="single" w:sz="8" w:color="003A70"/>
            </w:tcBorders>
            <w:gridSpan w:val="2"/>
          </w:tcPr>
          <w:p>
            <w:pPr>
              <w:ind w:left="840"/>
              <w:spacing w:after="0"/>
              <w:rPr>
                <w:sz w:val="20"/>
                <w:szCs w:val="20"/>
                <w:color w:val="auto"/>
              </w:rPr>
            </w:pPr>
            <w:r>
              <w:rPr>
                <w:rFonts w:ascii="Arial" w:cs="Arial" w:eastAsia="Arial" w:hAnsi="Arial"/>
                <w:sz w:val="11"/>
                <w:szCs w:val="11"/>
                <w:color w:val="auto"/>
              </w:rPr>
              <w:t>Report on the Board of Directors and its Committees</w:t>
            </w:r>
          </w:p>
        </w:tc>
        <w:tc>
          <w:tcPr>
            <w:tcW w:w="2100" w:type="dxa"/>
            <w:vAlign w:val="bottom"/>
            <w:tcBorders>
              <w:bottom w:val="single" w:sz="8" w:color="003A70"/>
            </w:tcBorders>
          </w:tcPr>
          <w:p>
            <w:pPr>
              <w:spacing w:after="0"/>
              <w:rPr>
                <w:sz w:val="23"/>
                <w:szCs w:val="23"/>
                <w:color w:val="auto"/>
              </w:rPr>
            </w:pPr>
          </w:p>
        </w:tc>
        <w:tc>
          <w:tcPr>
            <w:tcW w:w="166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-922020</wp:posOffset>
            </wp:positionV>
            <wp:extent cx="10223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-896620</wp:posOffset>
            </wp:positionV>
            <wp:extent cx="162560" cy="13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-896620</wp:posOffset>
            </wp:positionV>
            <wp:extent cx="153670" cy="136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-896620</wp:posOffset>
            </wp:positionV>
            <wp:extent cx="162560" cy="136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-896620</wp:posOffset>
            </wp:positionV>
            <wp:extent cx="136525" cy="136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-631190</wp:posOffset>
            </wp:positionV>
            <wp:extent cx="128270" cy="136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-622935</wp:posOffset>
            </wp:positionV>
            <wp:extent cx="136525" cy="136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-622935</wp:posOffset>
            </wp:positionV>
            <wp:extent cx="145415"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-622935</wp:posOffset>
            </wp:positionV>
            <wp:extent cx="145415"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-622935</wp:posOffset>
            </wp:positionV>
            <wp:extent cx="145415" cy="136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-332740</wp:posOffset>
            </wp:positionV>
            <wp:extent cx="145415" cy="136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5415"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70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STEPHEN R. QUAZZO</w:t>
            </w:r>
          </w:p>
        </w:tc>
        <w:tc>
          <w:tcPr>
            <w:tcW w:w="7280" w:type="dxa"/>
            <w:vAlign w:val="bottom"/>
            <w:tcBorders>
              <w:top w:val="single" w:sz="8" w:color="003A70"/>
            </w:tcBorders>
          </w:tcPr>
          <w:p>
            <w:pPr>
              <w:spacing w:after="0"/>
              <w:rPr>
                <w:sz w:val="20"/>
                <w:szCs w:val="20"/>
                <w:color w:val="auto"/>
              </w:rPr>
            </w:pPr>
          </w:p>
        </w:tc>
      </w:tr>
      <w:tr>
        <w:trPr>
          <w:trHeight w:val="248"/>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tc>
        <w:tc>
          <w:tcPr>
            <w:tcW w:w="728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188"/>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7280" w:type="dxa"/>
            <w:vAlign w:val="bottom"/>
          </w:tcPr>
          <w:p>
            <w:pPr>
              <w:ind w:left="20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2"/>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80" w:type="dxa"/>
            <w:vAlign w:val="bottom"/>
          </w:tcPr>
          <w:p>
            <w:pPr>
              <w:ind w:left="20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 (Chair)</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120"/>
        <w:spacing w:after="0" w:line="249" w:lineRule="auto"/>
        <w:rPr>
          <w:sz w:val="20"/>
          <w:szCs w:val="20"/>
          <w:color w:val="auto"/>
        </w:rPr>
      </w:pPr>
      <w:r>
        <w:rPr>
          <w:rFonts w:ascii="Arial" w:cs="Arial" w:eastAsia="Arial" w:hAnsi="Arial"/>
          <w:sz w:val="16"/>
          <w:szCs w:val="16"/>
          <w:color w:val="auto"/>
        </w:rPr>
        <w:t>Mr. Quazzo is the Chief Executive Officer,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past chair of the ULI Foundation; a member of the Pension Real Estate Association; and a licensed real estate broker in Illinois. He was a director of ILG from May 2016 through August 2018, prior to the Company’s acquisition of ILG.</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jc w:val="both"/>
        <w:ind w:left="140" w:right="100"/>
        <w:spacing w:after="0" w:line="254" w:lineRule="auto"/>
        <w:rPr>
          <w:sz w:val="20"/>
          <w:szCs w:val="20"/>
          <w:color w:val="auto"/>
        </w:rPr>
      </w:pPr>
      <w:r>
        <w:rPr>
          <w:rFonts w:ascii="Arial" w:cs="Arial" w:eastAsia="Arial" w:hAnsi="Arial"/>
          <w:sz w:val="16"/>
          <w:szCs w:val="16"/>
          <w:color w:val="auto"/>
        </w:rPr>
        <w:t>Mr. Quazzo provides the Board with the benefit of his extensive experience in real estate, investment and development and strategy experience as Chief Executive Officer of Pearlmark Real Estate, as well as his senior leadership experience. He also has broad experience in corporate governance, having served as a board member of other publicly traded companies.</w:t>
      </w:r>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Corporate</w:t>
            </w:r>
          </w:p>
        </w:tc>
        <w:tc>
          <w:tcPr>
            <w:tcW w:w="22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180" w:type="dxa"/>
            <w:vAlign w:val="bottom"/>
          </w:tcPr>
          <w:p>
            <w:pPr>
              <w:ind w:left="380"/>
              <w:spacing w:after="0"/>
              <w:rPr>
                <w:sz w:val="20"/>
                <w:szCs w:val="20"/>
                <w:color w:val="auto"/>
              </w:rPr>
            </w:pPr>
            <w:r>
              <w:rPr>
                <w:rFonts w:ascii="Arial" w:cs="Arial" w:eastAsia="Arial" w:hAnsi="Arial"/>
                <w:sz w:val="13"/>
                <w:szCs w:val="13"/>
                <w:color w:val="003A70"/>
              </w:rPr>
              <w:t>Accounting &amp;</w:t>
            </w:r>
          </w:p>
        </w:tc>
        <w:tc>
          <w:tcPr>
            <w:tcW w:w="2000" w:type="dxa"/>
            <w:vAlign w:val="bottom"/>
          </w:tcPr>
          <w:p>
            <w:pPr>
              <w:ind w:left="700"/>
              <w:spacing w:after="0"/>
              <w:rPr>
                <w:sz w:val="20"/>
                <w:szCs w:val="20"/>
                <w:color w:val="auto"/>
              </w:rPr>
            </w:pPr>
            <w:r>
              <w:rPr>
                <w:rFonts w:ascii="Arial" w:cs="Arial" w:eastAsia="Arial" w:hAnsi="Arial"/>
                <w:sz w:val="13"/>
                <w:szCs w:val="13"/>
                <w:color w:val="003A70"/>
                <w:w w:val="96"/>
              </w:rPr>
              <w:t>Public Company Board</w:t>
            </w:r>
          </w:p>
        </w:tc>
      </w:tr>
      <w:tr>
        <w:trPr>
          <w:trHeight w:val="175"/>
        </w:trPr>
        <w:tc>
          <w:tcPr>
            <w:tcW w:w="240" w:type="dxa"/>
            <w:vAlign w:val="bottom"/>
          </w:tcPr>
          <w:p>
            <w:pPr>
              <w:spacing w:after="0"/>
              <w:rPr>
                <w:sz w:val="20"/>
                <w:szCs w:val="20"/>
                <w:color w:val="auto"/>
              </w:rPr>
            </w:pPr>
            <w:r>
              <w:rPr>
                <w:rFonts w:ascii="Arial" w:cs="Arial" w:eastAsia="Arial" w:hAnsi="Arial"/>
                <w:sz w:val="13"/>
                <w:szCs w:val="13"/>
                <w:color w:val="auto"/>
              </w:rPr>
              <w:t> </w:t>
            </w:r>
          </w:p>
        </w:tc>
        <w:tc>
          <w:tcPr>
            <w:tcW w:w="1800" w:type="dxa"/>
            <w:vAlign w:val="bottom"/>
          </w:tcPr>
          <w:p>
            <w:pPr>
              <w:ind w:left="220"/>
              <w:spacing w:after="0"/>
              <w:rPr>
                <w:sz w:val="20"/>
                <w:szCs w:val="20"/>
                <w:color w:val="auto"/>
              </w:rPr>
            </w:pPr>
            <w:r>
              <w:rPr>
                <w:rFonts w:ascii="Arial" w:cs="Arial" w:eastAsia="Arial" w:hAnsi="Arial"/>
                <w:sz w:val="13"/>
                <w:szCs w:val="13"/>
                <w:color w:val="003A70"/>
              </w:rPr>
              <w:t>Leadership</w:t>
            </w:r>
          </w:p>
        </w:tc>
        <w:tc>
          <w:tcPr>
            <w:tcW w:w="2200" w:type="dxa"/>
            <w:vAlign w:val="bottom"/>
          </w:tcPr>
          <w:p>
            <w:pPr>
              <w:ind w:left="480"/>
              <w:spacing w:after="0"/>
              <w:rPr>
                <w:sz w:val="20"/>
                <w:szCs w:val="20"/>
                <w:color w:val="auto"/>
              </w:rPr>
            </w:pPr>
            <w:r>
              <w:rPr>
                <w:rFonts w:ascii="Arial" w:cs="Arial" w:eastAsia="Arial" w:hAnsi="Arial"/>
                <w:sz w:val="13"/>
                <w:szCs w:val="13"/>
                <w:color w:val="003A70"/>
              </w:rPr>
              <w:t>Independence</w:t>
            </w:r>
          </w:p>
        </w:tc>
        <w:tc>
          <w:tcPr>
            <w:tcW w:w="2340" w:type="dxa"/>
            <w:vAlign w:val="bottom"/>
          </w:tcPr>
          <w:p>
            <w:pPr>
              <w:ind w:left="440"/>
              <w:spacing w:after="0"/>
              <w:rPr>
                <w:sz w:val="20"/>
                <w:szCs w:val="20"/>
                <w:color w:val="auto"/>
              </w:rPr>
            </w:pPr>
            <w:r>
              <w:rPr>
                <w:rFonts w:ascii="Arial" w:cs="Arial" w:eastAsia="Arial" w:hAnsi="Arial"/>
                <w:sz w:val="13"/>
                <w:szCs w:val="13"/>
                <w:color w:val="003A70"/>
              </w:rPr>
              <w:t>Financial &amp; Capital Markets</w:t>
            </w:r>
          </w:p>
        </w:tc>
        <w:tc>
          <w:tcPr>
            <w:tcW w:w="2180" w:type="dxa"/>
            <w:vAlign w:val="bottom"/>
          </w:tcPr>
          <w:p>
            <w:pPr>
              <w:ind w:left="380"/>
              <w:spacing w:after="0"/>
              <w:rPr>
                <w:sz w:val="20"/>
                <w:szCs w:val="20"/>
                <w:color w:val="auto"/>
              </w:rPr>
            </w:pPr>
            <w:r>
              <w:rPr>
                <w:rFonts w:ascii="Arial" w:cs="Arial" w:eastAsia="Arial" w:hAnsi="Arial"/>
                <w:sz w:val="13"/>
                <w:szCs w:val="13"/>
                <w:color w:val="003A70"/>
              </w:rPr>
              <w:t>Financial Reporting</w:t>
            </w:r>
          </w:p>
        </w:tc>
        <w:tc>
          <w:tcPr>
            <w:tcW w:w="2000" w:type="dxa"/>
            <w:vAlign w:val="bottom"/>
          </w:tcPr>
          <w:p>
            <w:pPr>
              <w:ind w:left="700"/>
              <w:spacing w:after="0"/>
              <w:rPr>
                <w:sz w:val="20"/>
                <w:szCs w:val="20"/>
                <w:color w:val="auto"/>
              </w:rPr>
            </w:pPr>
            <w:r>
              <w:rPr>
                <w:rFonts w:ascii="Arial" w:cs="Arial" w:eastAsia="Arial" w:hAnsi="Arial"/>
                <w:sz w:val="13"/>
                <w:szCs w:val="13"/>
                <w:color w:val="003A70"/>
                <w:w w:val="98"/>
              </w:rPr>
              <w:t>Service &amp; Governance</w:t>
            </w:r>
          </w:p>
        </w:tc>
      </w:tr>
      <w:tr>
        <w:trPr>
          <w:trHeight w:val="305"/>
        </w:trPr>
        <w:tc>
          <w:tcPr>
            <w:tcW w:w="24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Vacation Ownership</w:t>
            </w:r>
          </w:p>
        </w:tc>
        <w:tc>
          <w:tcPr>
            <w:tcW w:w="2200" w:type="dxa"/>
            <w:vAlign w:val="bottom"/>
          </w:tcPr>
          <w:p>
            <w:pPr>
              <w:ind w:left="480"/>
              <w:spacing w:after="0"/>
              <w:rPr>
                <w:sz w:val="20"/>
                <w:szCs w:val="20"/>
                <w:color w:val="auto"/>
              </w:rPr>
            </w:pPr>
            <w:r>
              <w:rPr>
                <w:rFonts w:ascii="Arial" w:cs="Arial" w:eastAsia="Arial" w:hAnsi="Arial"/>
                <w:sz w:val="13"/>
                <w:szCs w:val="13"/>
                <w:color w:val="003A70"/>
              </w:rPr>
              <w:t>Real Estate &amp;</w:t>
            </w:r>
          </w:p>
        </w:tc>
        <w:tc>
          <w:tcPr>
            <w:tcW w:w="2340" w:type="dxa"/>
            <w:vAlign w:val="bottom"/>
          </w:tcPr>
          <w:p>
            <w:pPr>
              <w:ind w:left="440"/>
              <w:spacing w:after="0"/>
              <w:rPr>
                <w:sz w:val="20"/>
                <w:szCs w:val="20"/>
                <w:color w:val="auto"/>
              </w:rPr>
            </w:pPr>
            <w:r>
              <w:rPr>
                <w:rFonts w:ascii="Arial" w:cs="Arial" w:eastAsia="Arial" w:hAnsi="Arial"/>
                <w:sz w:val="13"/>
                <w:szCs w:val="13"/>
                <w:color w:val="003A70"/>
              </w:rPr>
              <w:t>Business Development /</w:t>
            </w:r>
          </w:p>
        </w:tc>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6"/>
        </w:trPr>
        <w:tc>
          <w:tcPr>
            <w:tcW w:w="240" w:type="dxa"/>
            <w:vAlign w:val="bottom"/>
          </w:tcPr>
          <w:p>
            <w:pPr>
              <w:spacing w:after="0"/>
              <w:rPr>
                <w:sz w:val="14"/>
                <w:szCs w:val="14"/>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&amp; Lodging Industry</w:t>
            </w:r>
          </w:p>
        </w:tc>
        <w:tc>
          <w:tcPr>
            <w:tcW w:w="2200" w:type="dxa"/>
            <w:vAlign w:val="bottom"/>
          </w:tcPr>
          <w:p>
            <w:pPr>
              <w:ind w:left="480"/>
              <w:spacing w:after="0"/>
              <w:rPr>
                <w:sz w:val="20"/>
                <w:szCs w:val="20"/>
                <w:color w:val="auto"/>
              </w:rPr>
            </w:pPr>
            <w:r>
              <w:rPr>
                <w:rFonts w:ascii="Arial" w:cs="Arial" w:eastAsia="Arial" w:hAnsi="Arial"/>
                <w:sz w:val="13"/>
                <w:szCs w:val="13"/>
                <w:color w:val="003A70"/>
              </w:rPr>
              <w:t>Business Development</w:t>
            </w:r>
          </w:p>
        </w:tc>
        <w:tc>
          <w:tcPr>
            <w:tcW w:w="2340" w:type="dxa"/>
            <w:vAlign w:val="bottom"/>
          </w:tcPr>
          <w:p>
            <w:pPr>
              <w:ind w:left="440"/>
              <w:spacing w:after="0"/>
              <w:rPr>
                <w:sz w:val="20"/>
                <w:szCs w:val="20"/>
                <w:color w:val="auto"/>
              </w:rPr>
            </w:pPr>
            <w:r>
              <w:rPr>
                <w:rFonts w:ascii="Arial" w:cs="Arial" w:eastAsia="Arial" w:hAnsi="Arial"/>
                <w:sz w:val="13"/>
                <w:szCs w:val="13"/>
                <w:color w:val="003A70"/>
              </w:rPr>
              <w:t>Mergers &amp; Acquisitions</w:t>
            </w:r>
          </w:p>
        </w:tc>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-469265</wp:posOffset>
            </wp:positionV>
            <wp:extent cx="102235" cy="136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-443230</wp:posOffset>
            </wp:positionV>
            <wp:extent cx="162560"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-443230</wp:posOffset>
            </wp:positionV>
            <wp:extent cx="162560" cy="136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-443230</wp:posOffset>
            </wp:positionV>
            <wp:extent cx="136525" cy="136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-443230</wp:posOffset>
            </wp:positionV>
            <wp:extent cx="162560" cy="136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-135890</wp:posOffset>
            </wp:positionV>
            <wp:extent cx="128270" cy="136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1525270</wp:posOffset>
            </wp:positionH>
            <wp:positionV relativeFrom="paragraph">
              <wp:posOffset>-135890</wp:posOffset>
            </wp:positionV>
            <wp:extent cx="145415" cy="136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-135890</wp:posOffset>
            </wp:positionV>
            <wp:extent cx="153670" cy="136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3670" cy="136525"/>
                    </a:xfrm>
                    <a:prstGeom prst="rect">
                      <a:avLst/>
                    </a:prstGeom>
                    <a:noFill/>
                  </pic:spPr>
                </pic:pic>
              </a:graphicData>
            </a:graphic>
          </wp:anchor>
        </w:drawing>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Directors Remaining in Office</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20" w:type="dxa"/>
            <w:vAlign w:val="bottom"/>
          </w:tcPr>
          <w:p>
            <w:pPr>
              <w:jc w:val="right"/>
              <w:ind w:right="283"/>
              <w:spacing w:after="0"/>
              <w:rPr>
                <w:sz w:val="20"/>
                <w:szCs w:val="20"/>
                <w:color w:val="auto"/>
              </w:rPr>
            </w:pPr>
            <w:r>
              <w:rPr>
                <w:rFonts w:ascii="Arial" w:cs="Arial" w:eastAsia="Arial" w:hAnsi="Arial"/>
                <w:sz w:val="14"/>
                <w:szCs w:val="14"/>
                <w:b w:val="1"/>
                <w:bCs w:val="1"/>
                <w:color w:val="003A70"/>
              </w:rPr>
              <w:t>Director</w:t>
            </w:r>
          </w:p>
        </w:tc>
        <w:tc>
          <w:tcPr>
            <w:tcW w:w="1240" w:type="dxa"/>
            <w:vAlign w:val="bottom"/>
          </w:tcPr>
          <w:p>
            <w:pPr>
              <w:jc w:val="right"/>
              <w:ind w:right="303"/>
              <w:spacing w:after="0"/>
              <w:rPr>
                <w:sz w:val="20"/>
                <w:szCs w:val="20"/>
                <w:color w:val="auto"/>
              </w:rPr>
            </w:pPr>
            <w:r>
              <w:rPr>
                <w:rFonts w:ascii="Arial" w:cs="Arial" w:eastAsia="Arial" w:hAnsi="Arial"/>
                <w:sz w:val="14"/>
                <w:szCs w:val="14"/>
                <w:b w:val="1"/>
                <w:bCs w:val="1"/>
                <w:color w:val="003A70"/>
              </w:rPr>
              <w:t>Term to</w:t>
            </w:r>
          </w:p>
        </w:tc>
        <w:tc>
          <w:tcPr>
            <w:tcW w:w="1240" w:type="dxa"/>
            <w:vAlign w:val="bottom"/>
          </w:tcPr>
          <w:p>
            <w:pPr>
              <w:spacing w:after="0"/>
              <w:rPr>
                <w:sz w:val="14"/>
                <w:szCs w:val="14"/>
                <w:color w:val="auto"/>
              </w:rPr>
            </w:pPr>
          </w:p>
        </w:tc>
      </w:tr>
      <w:tr>
        <w:trPr>
          <w:trHeight w:val="191"/>
        </w:trPr>
        <w:tc>
          <w:tcPr>
            <w:tcW w:w="22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1120" w:type="dxa"/>
            <w:vAlign w:val="bottom"/>
            <w:tcBorders>
              <w:bottom w:val="single" w:sz="8" w:color="003A70"/>
            </w:tcBorders>
          </w:tcPr>
          <w:p>
            <w:pPr>
              <w:jc w:val="right"/>
              <w:ind w:right="402"/>
              <w:spacing w:after="0"/>
              <w:rPr>
                <w:sz w:val="20"/>
                <w:szCs w:val="20"/>
                <w:color w:val="auto"/>
              </w:rPr>
            </w:pPr>
            <w:r>
              <w:rPr>
                <w:rFonts w:ascii="Arial" w:cs="Arial" w:eastAsia="Arial" w:hAnsi="Arial"/>
                <w:sz w:val="14"/>
                <w:szCs w:val="14"/>
                <w:b w:val="1"/>
                <w:bCs w:val="1"/>
                <w:color w:val="003A70"/>
              </w:rPr>
              <w:t>Age</w:t>
            </w:r>
          </w:p>
        </w:tc>
        <w:tc>
          <w:tcPr>
            <w:tcW w:w="3320" w:type="dxa"/>
            <w:vAlign w:val="bottom"/>
            <w:tcBorders>
              <w:bottom w:val="single" w:sz="8" w:color="003A70"/>
            </w:tcBorders>
          </w:tcPr>
          <w:p>
            <w:pPr>
              <w:ind w:left="480"/>
              <w:spacing w:after="0"/>
              <w:rPr>
                <w:sz w:val="20"/>
                <w:szCs w:val="20"/>
                <w:color w:val="auto"/>
              </w:rPr>
            </w:pPr>
            <w:r>
              <w:rPr>
                <w:rFonts w:ascii="Arial" w:cs="Arial" w:eastAsia="Arial" w:hAnsi="Arial"/>
                <w:sz w:val="14"/>
                <w:szCs w:val="14"/>
                <w:b w:val="1"/>
                <w:bCs w:val="1"/>
                <w:color w:val="003A70"/>
              </w:rPr>
              <w:t>Position(s) Held in Company</w:t>
            </w:r>
          </w:p>
        </w:tc>
        <w:tc>
          <w:tcPr>
            <w:tcW w:w="1820" w:type="dxa"/>
            <w:vAlign w:val="bottom"/>
            <w:tcBorders>
              <w:bottom w:val="single" w:sz="8" w:color="003A70"/>
            </w:tcBorders>
          </w:tcPr>
          <w:p>
            <w:pPr>
              <w:jc w:val="right"/>
              <w:ind w:right="383"/>
              <w:spacing w:after="0"/>
              <w:rPr>
                <w:sz w:val="20"/>
                <w:szCs w:val="20"/>
                <w:color w:val="auto"/>
              </w:rPr>
            </w:pPr>
            <w:r>
              <w:rPr>
                <w:rFonts w:ascii="Arial" w:cs="Arial" w:eastAsia="Arial" w:hAnsi="Arial"/>
                <w:sz w:val="14"/>
                <w:szCs w:val="14"/>
                <w:b w:val="1"/>
                <w:bCs w:val="1"/>
                <w:color w:val="003A70"/>
              </w:rPr>
              <w:t>Since</w:t>
            </w:r>
          </w:p>
        </w:tc>
        <w:tc>
          <w:tcPr>
            <w:tcW w:w="1240" w:type="dxa"/>
            <w:vAlign w:val="bottom"/>
            <w:tcBorders>
              <w:bottom w:val="single" w:sz="8" w:color="003A70"/>
            </w:tcBorders>
          </w:tcPr>
          <w:p>
            <w:pPr>
              <w:jc w:val="right"/>
              <w:ind w:right="343"/>
              <w:spacing w:after="0"/>
              <w:rPr>
                <w:sz w:val="20"/>
                <w:szCs w:val="20"/>
                <w:color w:val="auto"/>
              </w:rPr>
            </w:pPr>
            <w:r>
              <w:rPr>
                <w:rFonts w:ascii="Arial" w:cs="Arial" w:eastAsia="Arial" w:hAnsi="Arial"/>
                <w:sz w:val="14"/>
                <w:szCs w:val="14"/>
                <w:b w:val="1"/>
                <w:bCs w:val="1"/>
                <w:color w:val="003A70"/>
              </w:rPr>
              <w:t>Expire</w:t>
            </w:r>
          </w:p>
        </w:tc>
        <w:tc>
          <w:tcPr>
            <w:tcW w:w="1240" w:type="dxa"/>
            <w:vAlign w:val="bottom"/>
            <w:tcBorders>
              <w:bottom w:val="single" w:sz="8" w:color="003A70"/>
            </w:tcBorders>
          </w:tcPr>
          <w:p>
            <w:pPr>
              <w:jc w:val="center"/>
              <w:ind w:left="222"/>
              <w:spacing w:after="0"/>
              <w:rPr>
                <w:sz w:val="20"/>
                <w:szCs w:val="20"/>
                <w:color w:val="auto"/>
              </w:rPr>
            </w:pPr>
            <w:r>
              <w:rPr>
                <w:rFonts w:ascii="Arial" w:cs="Arial" w:eastAsia="Arial" w:hAnsi="Arial"/>
                <w:sz w:val="14"/>
                <w:szCs w:val="14"/>
                <w:b w:val="1"/>
                <w:bCs w:val="1"/>
                <w:color w:val="003A70"/>
              </w:rPr>
              <w:t>Independent</w:t>
            </w:r>
          </w:p>
        </w:tc>
      </w:tr>
      <w:tr>
        <w:trPr>
          <w:trHeight w:val="188"/>
        </w:trPr>
        <w:tc>
          <w:tcPr>
            <w:tcW w:w="2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Charles E. “C.E.” Andrews</w:t>
            </w: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73</w:t>
            </w:r>
          </w:p>
        </w:tc>
        <w:tc>
          <w:tcPr>
            <w:tcW w:w="33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Director</w:t>
            </w:r>
          </w:p>
        </w:tc>
        <w:tc>
          <w:tcPr>
            <w:tcW w:w="18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2013</w:t>
            </w:r>
          </w:p>
        </w:tc>
        <w:tc>
          <w:tcPr>
            <w:tcW w:w="124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2026</w:t>
            </w:r>
          </w:p>
        </w:tc>
        <w:tc>
          <w:tcPr>
            <w:tcW w:w="124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color w:val="auto"/>
                <w:w w:val="94"/>
              </w:rPr>
              <w:t>Yes</w:t>
            </w:r>
          </w:p>
        </w:tc>
      </w:tr>
      <w:tr>
        <w:trPr>
          <w:trHeight w:val="182"/>
        </w:trPr>
        <w:tc>
          <w:tcPr>
            <w:tcW w:w="22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William W. McCarten</w:t>
            </w:r>
          </w:p>
        </w:tc>
        <w:tc>
          <w:tcPr>
            <w:tcW w:w="1120" w:type="dxa"/>
            <w:vAlign w:val="bottom"/>
            <w:tcBorders>
              <w:bottom w:val="single" w:sz="8" w:color="auto"/>
            </w:tcBorders>
          </w:tcPr>
          <w:p>
            <w:pPr>
              <w:jc w:val="right"/>
              <w:ind w:right="402"/>
              <w:spacing w:after="0" w:line="182" w:lineRule="exact"/>
              <w:rPr>
                <w:sz w:val="20"/>
                <w:szCs w:val="20"/>
                <w:color w:val="auto"/>
              </w:rPr>
            </w:pPr>
            <w:r>
              <w:rPr>
                <w:rFonts w:ascii="Arial" w:cs="Arial" w:eastAsia="Arial" w:hAnsi="Arial"/>
                <w:sz w:val="16"/>
                <w:szCs w:val="16"/>
                <w:color w:val="auto"/>
              </w:rPr>
              <w:t>76</w:t>
            </w:r>
          </w:p>
        </w:tc>
        <w:tc>
          <w:tcPr>
            <w:tcW w:w="332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Director</w:t>
            </w:r>
          </w:p>
        </w:tc>
        <w:tc>
          <w:tcPr>
            <w:tcW w:w="1820" w:type="dxa"/>
            <w:vAlign w:val="bottom"/>
            <w:tcBorders>
              <w:bottom w:val="single" w:sz="8" w:color="auto"/>
            </w:tcBorders>
          </w:tcPr>
          <w:p>
            <w:pPr>
              <w:jc w:val="right"/>
              <w:ind w:right="283"/>
              <w:spacing w:after="0" w:line="182" w:lineRule="exact"/>
              <w:rPr>
                <w:sz w:val="20"/>
                <w:szCs w:val="20"/>
                <w:color w:val="auto"/>
              </w:rPr>
            </w:pPr>
            <w:r>
              <w:rPr>
                <w:rFonts w:ascii="Arial" w:cs="Arial" w:eastAsia="Arial" w:hAnsi="Arial"/>
                <w:sz w:val="16"/>
                <w:szCs w:val="16"/>
                <w:color w:val="auto"/>
              </w:rPr>
              <w:t>2011</w:t>
            </w:r>
          </w:p>
        </w:tc>
        <w:tc>
          <w:tcPr>
            <w:tcW w:w="1240" w:type="dxa"/>
            <w:vAlign w:val="bottom"/>
            <w:tcBorders>
              <w:bottom w:val="single" w:sz="8" w:color="auto"/>
            </w:tcBorders>
          </w:tcPr>
          <w:p>
            <w:pPr>
              <w:jc w:val="right"/>
              <w:ind w:right="283"/>
              <w:spacing w:after="0" w:line="182" w:lineRule="exact"/>
              <w:rPr>
                <w:sz w:val="20"/>
                <w:szCs w:val="20"/>
                <w:color w:val="auto"/>
              </w:rPr>
            </w:pPr>
            <w:r>
              <w:rPr>
                <w:rFonts w:ascii="Arial" w:cs="Arial" w:eastAsia="Arial" w:hAnsi="Arial"/>
                <w:sz w:val="16"/>
                <w:szCs w:val="16"/>
                <w:color w:val="auto"/>
              </w:rPr>
              <w:t>2026</w:t>
            </w:r>
          </w:p>
        </w:tc>
        <w:tc>
          <w:tcPr>
            <w:tcW w:w="1240" w:type="dxa"/>
            <w:vAlign w:val="bottom"/>
            <w:tcBorders>
              <w:bottom w:val="single" w:sz="8" w:color="auto"/>
            </w:tcBorders>
          </w:tcPr>
          <w:p>
            <w:pPr>
              <w:jc w:val="center"/>
              <w:ind w:left="262"/>
              <w:spacing w:after="0" w:line="182" w:lineRule="exact"/>
              <w:rPr>
                <w:sz w:val="20"/>
                <w:szCs w:val="20"/>
                <w:color w:val="auto"/>
              </w:rPr>
            </w:pPr>
            <w:r>
              <w:rPr>
                <w:rFonts w:ascii="Arial" w:cs="Arial" w:eastAsia="Arial" w:hAnsi="Arial"/>
                <w:sz w:val="16"/>
                <w:szCs w:val="16"/>
                <w:color w:val="auto"/>
                <w:w w:val="94"/>
              </w:rPr>
              <w:t>Yes</w:t>
            </w:r>
          </w:p>
        </w:tc>
      </w:tr>
      <w:tr>
        <w:trPr>
          <w:trHeight w:val="182"/>
        </w:trPr>
        <w:tc>
          <w:tcPr>
            <w:tcW w:w="22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William J. Shaw</w:t>
            </w:r>
          </w:p>
        </w:tc>
        <w:tc>
          <w:tcPr>
            <w:tcW w:w="1120" w:type="dxa"/>
            <w:vAlign w:val="bottom"/>
            <w:tcBorders>
              <w:bottom w:val="single" w:sz="8" w:color="auto"/>
            </w:tcBorders>
          </w:tcPr>
          <w:p>
            <w:pPr>
              <w:jc w:val="right"/>
              <w:ind w:right="402"/>
              <w:spacing w:after="0" w:line="182" w:lineRule="exact"/>
              <w:rPr>
                <w:sz w:val="20"/>
                <w:szCs w:val="20"/>
                <w:color w:val="auto"/>
              </w:rPr>
            </w:pPr>
            <w:r>
              <w:rPr>
                <w:rFonts w:ascii="Arial" w:cs="Arial" w:eastAsia="Arial" w:hAnsi="Arial"/>
                <w:sz w:val="16"/>
                <w:szCs w:val="16"/>
                <w:color w:val="auto"/>
              </w:rPr>
              <w:t>79</w:t>
            </w:r>
          </w:p>
        </w:tc>
        <w:tc>
          <w:tcPr>
            <w:tcW w:w="332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Director, Chairman</w:t>
            </w:r>
          </w:p>
        </w:tc>
        <w:tc>
          <w:tcPr>
            <w:tcW w:w="1820" w:type="dxa"/>
            <w:vAlign w:val="bottom"/>
            <w:tcBorders>
              <w:bottom w:val="single" w:sz="8" w:color="auto"/>
            </w:tcBorders>
          </w:tcPr>
          <w:p>
            <w:pPr>
              <w:jc w:val="right"/>
              <w:ind w:right="283"/>
              <w:spacing w:after="0" w:line="182" w:lineRule="exact"/>
              <w:rPr>
                <w:sz w:val="20"/>
                <w:szCs w:val="20"/>
                <w:color w:val="auto"/>
              </w:rPr>
            </w:pPr>
            <w:r>
              <w:rPr>
                <w:rFonts w:ascii="Arial" w:cs="Arial" w:eastAsia="Arial" w:hAnsi="Arial"/>
                <w:sz w:val="16"/>
                <w:szCs w:val="16"/>
                <w:color w:val="auto"/>
              </w:rPr>
              <w:t>2011</w:t>
            </w:r>
          </w:p>
        </w:tc>
        <w:tc>
          <w:tcPr>
            <w:tcW w:w="1240" w:type="dxa"/>
            <w:vAlign w:val="bottom"/>
            <w:tcBorders>
              <w:bottom w:val="single" w:sz="8" w:color="auto"/>
            </w:tcBorders>
          </w:tcPr>
          <w:p>
            <w:pPr>
              <w:jc w:val="right"/>
              <w:ind w:right="283"/>
              <w:spacing w:after="0" w:line="182" w:lineRule="exact"/>
              <w:rPr>
                <w:sz w:val="20"/>
                <w:szCs w:val="20"/>
                <w:color w:val="auto"/>
              </w:rPr>
            </w:pPr>
            <w:r>
              <w:rPr>
                <w:rFonts w:ascii="Arial" w:cs="Arial" w:eastAsia="Arial" w:hAnsi="Arial"/>
                <w:sz w:val="16"/>
                <w:szCs w:val="16"/>
                <w:color w:val="auto"/>
              </w:rPr>
              <w:t>2026</w:t>
            </w:r>
          </w:p>
        </w:tc>
        <w:tc>
          <w:tcPr>
            <w:tcW w:w="1240" w:type="dxa"/>
            <w:vAlign w:val="bottom"/>
            <w:tcBorders>
              <w:bottom w:val="single" w:sz="8" w:color="auto"/>
            </w:tcBorders>
          </w:tcPr>
          <w:p>
            <w:pPr>
              <w:jc w:val="center"/>
              <w:ind w:left="262"/>
              <w:spacing w:after="0" w:line="182" w:lineRule="exact"/>
              <w:rPr>
                <w:sz w:val="20"/>
                <w:szCs w:val="20"/>
                <w:color w:val="auto"/>
              </w:rPr>
            </w:pPr>
            <w:r>
              <w:rPr>
                <w:rFonts w:ascii="Arial" w:cs="Arial" w:eastAsia="Arial" w:hAnsi="Arial"/>
                <w:sz w:val="16"/>
                <w:szCs w:val="16"/>
                <w:color w:val="auto"/>
                <w:w w:val="94"/>
              </w:rPr>
              <w:t>Yes</w:t>
            </w:r>
          </w:p>
        </w:tc>
      </w:tr>
    </w:tbl>
    <w:p>
      <w:pPr>
        <w:spacing w:after="0" w:line="222"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40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CHARLES E. “C.E.” ANDREWS</w:t>
            </w:r>
          </w:p>
        </w:tc>
        <w:tc>
          <w:tcPr>
            <w:tcW w:w="6940" w:type="dxa"/>
            <w:vAlign w:val="bottom"/>
            <w:tcBorders>
              <w:top w:val="single" w:sz="8" w:color="003A70"/>
            </w:tcBorders>
          </w:tcPr>
          <w:p>
            <w:pPr>
              <w:spacing w:after="0"/>
              <w:rPr>
                <w:sz w:val="20"/>
                <w:szCs w:val="20"/>
                <w:color w:val="auto"/>
              </w:rPr>
            </w:pPr>
          </w:p>
        </w:tc>
      </w:tr>
      <w:tr>
        <w:trPr>
          <w:trHeight w:val="248"/>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tc>
        <w:tc>
          <w:tcPr>
            <w:tcW w:w="6940" w:type="dxa"/>
            <w:vAlign w:val="bottom"/>
          </w:tcPr>
          <w:p>
            <w:pPr>
              <w:ind w:left="1680"/>
              <w:spacing w:after="0"/>
              <w:rPr>
                <w:sz w:val="20"/>
                <w:szCs w:val="20"/>
                <w:color w:val="auto"/>
              </w:rPr>
            </w:pPr>
            <w:r>
              <w:rPr>
                <w:rFonts w:ascii="Arial" w:cs="Arial" w:eastAsia="Arial" w:hAnsi="Arial"/>
                <w:sz w:val="16"/>
                <w:szCs w:val="16"/>
                <w:color w:val="auto"/>
              </w:rPr>
              <w:t>Committees:</w:t>
            </w:r>
          </w:p>
        </w:tc>
      </w:tr>
      <w:tr>
        <w:trPr>
          <w:trHeight w:val="188"/>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694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 (Chair)</w:t>
            </w:r>
          </w:p>
        </w:tc>
      </w:tr>
      <w:tr>
        <w:trPr>
          <w:trHeight w:val="222"/>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694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40"/>
        <w:spacing w:after="0" w:line="247" w:lineRule="auto"/>
        <w:rPr>
          <w:sz w:val="20"/>
          <w:szCs w:val="20"/>
          <w:color w:val="auto"/>
        </w:rPr>
      </w:pPr>
      <w:r>
        <w:rPr>
          <w:rFonts w:ascii="Arial" w:cs="Arial" w:eastAsia="Arial" w:hAnsi="Arial"/>
          <w:sz w:val="16"/>
          <w:szCs w:val="16"/>
          <w:color w:val="auto"/>
        </w:rPr>
        <w:t>Mr. Andrews was a member of the Board of Directors of, and an advisor to, MorganFranklin Consulting, a business consulting and technology solutions company, from April 2017 through June 2019 when he retired. From May 2013 to March 2017, he served as its Chief Executive Officer. Mr. Andrews was the president of RSM McGladrey Business Services, Inc., an audit and accounting services provider, from June 2009 until February 2012. Prior to that, 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Trustar Bank, a state chartered bank. Mr. Andrews served on the Board of Directors of WashingtonFirst Bankshares, Inc. from 2012 until it was acquired in 2018.</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jc w:val="both"/>
        <w:ind w:left="140" w:right="20"/>
        <w:spacing w:after="0" w:line="254" w:lineRule="auto"/>
        <w:rPr>
          <w:sz w:val="20"/>
          <w:szCs w:val="20"/>
          <w:color w:val="auto"/>
        </w:rPr>
      </w:pPr>
      <w:r>
        <w:rPr>
          <w:rFonts w:ascii="Arial" w:cs="Arial" w:eastAsia="Arial" w:hAnsi="Arial"/>
          <w:sz w:val="16"/>
          <w:szCs w:val="16"/>
          <w:color w:val="auto"/>
        </w:rPr>
        <w:t>Mr. Andrews brings to the Board, and particularly to the Audit Committee, the extensive financial and accounting expertise that he obtained over his thirty-year career in public accounting, as well as through his role as Chief Financial Officer of Sallie Mae. Mr. Andrews also has experience as a board member and an officer of publicly traded companies.</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860" w:type="dxa"/>
            <w:vAlign w:val="bottom"/>
          </w:tcPr>
          <w:p>
            <w:pPr>
              <w:ind w:left="160"/>
              <w:spacing w:after="0"/>
              <w:rPr>
                <w:sz w:val="20"/>
                <w:szCs w:val="20"/>
                <w:color w:val="auto"/>
              </w:rPr>
            </w:pPr>
            <w:r>
              <w:rPr>
                <w:rFonts w:ascii="Arial" w:cs="Arial" w:eastAsia="Arial" w:hAnsi="Arial"/>
                <w:sz w:val="13"/>
                <w:szCs w:val="13"/>
                <w:color w:val="003A70"/>
              </w:rPr>
              <w:t>Corporate</w:t>
            </w:r>
          </w:p>
        </w:tc>
        <w:tc>
          <w:tcPr>
            <w:tcW w:w="2040" w:type="dxa"/>
            <w:vAlign w:val="bottom"/>
          </w:tcPr>
          <w:p>
            <w:pPr>
              <w:spacing w:after="0"/>
              <w:rPr>
                <w:sz w:val="12"/>
                <w:szCs w:val="12"/>
                <w:color w:val="auto"/>
              </w:rPr>
            </w:pPr>
          </w:p>
        </w:tc>
        <w:tc>
          <w:tcPr>
            <w:tcW w:w="2720" w:type="dxa"/>
            <w:vAlign w:val="bottom"/>
          </w:tcPr>
          <w:p>
            <w:pPr>
              <w:ind w:left="900"/>
              <w:spacing w:after="0"/>
              <w:rPr>
                <w:sz w:val="20"/>
                <w:szCs w:val="20"/>
                <w:color w:val="auto"/>
              </w:rPr>
            </w:pPr>
            <w:r>
              <w:rPr>
                <w:rFonts w:ascii="Arial" w:cs="Arial" w:eastAsia="Arial" w:hAnsi="Arial"/>
                <w:sz w:val="13"/>
                <w:szCs w:val="13"/>
                <w:color w:val="003A70"/>
              </w:rPr>
              <w:t>Financial &amp;</w:t>
            </w:r>
          </w:p>
        </w:tc>
        <w:tc>
          <w:tcPr>
            <w:tcW w:w="1920" w:type="dxa"/>
            <w:vAlign w:val="bottom"/>
          </w:tcPr>
          <w:p>
            <w:pPr>
              <w:ind w:left="200"/>
              <w:spacing w:after="0"/>
              <w:rPr>
                <w:sz w:val="20"/>
                <w:szCs w:val="20"/>
                <w:color w:val="auto"/>
              </w:rPr>
            </w:pPr>
            <w:r>
              <w:rPr>
                <w:rFonts w:ascii="Arial" w:cs="Arial" w:eastAsia="Arial" w:hAnsi="Arial"/>
                <w:sz w:val="13"/>
                <w:szCs w:val="13"/>
                <w:color w:val="003A70"/>
              </w:rPr>
              <w:t>Accounting &amp;</w:t>
            </w:r>
          </w:p>
        </w:tc>
        <w:tc>
          <w:tcPr>
            <w:tcW w:w="2140" w:type="dxa"/>
            <w:vAlign w:val="bottom"/>
          </w:tcPr>
          <w:p>
            <w:pPr>
              <w:ind w:left="500"/>
              <w:spacing w:after="0"/>
              <w:rPr>
                <w:sz w:val="20"/>
                <w:szCs w:val="20"/>
                <w:color w:val="auto"/>
              </w:rPr>
            </w:pPr>
            <w:r>
              <w:rPr>
                <w:rFonts w:ascii="Arial" w:cs="Arial" w:eastAsia="Arial" w:hAnsi="Arial"/>
                <w:sz w:val="13"/>
                <w:szCs w:val="13"/>
                <w:color w:val="003A70"/>
              </w:rPr>
              <w:t>Business Development /</w:t>
            </w:r>
          </w:p>
        </w:tc>
      </w:tr>
      <w:tr>
        <w:trPr>
          <w:trHeight w:val="175"/>
        </w:trPr>
        <w:tc>
          <w:tcPr>
            <w:tcW w:w="300" w:type="dxa"/>
            <w:vAlign w:val="bottom"/>
          </w:tcPr>
          <w:p>
            <w:pPr>
              <w:jc w:val="center"/>
              <w:ind w:right="160"/>
              <w:spacing w:after="0"/>
              <w:rPr>
                <w:sz w:val="20"/>
                <w:szCs w:val="20"/>
                <w:color w:val="auto"/>
              </w:rPr>
            </w:pPr>
            <w:r>
              <w:rPr>
                <w:rFonts w:ascii="Arial" w:cs="Arial" w:eastAsia="Arial" w:hAnsi="Arial"/>
                <w:sz w:val="5"/>
                <w:szCs w:val="5"/>
                <w:color w:val="auto"/>
                <w:w w:val="78"/>
              </w:rPr>
              <w:t> </w:t>
            </w:r>
          </w:p>
        </w:tc>
        <w:tc>
          <w:tcPr>
            <w:tcW w:w="1860" w:type="dxa"/>
            <w:vAlign w:val="bottom"/>
          </w:tcPr>
          <w:p>
            <w:pPr>
              <w:ind w:left="160"/>
              <w:spacing w:after="0"/>
              <w:rPr>
                <w:sz w:val="20"/>
                <w:szCs w:val="20"/>
                <w:color w:val="auto"/>
              </w:rPr>
            </w:pPr>
            <w:r>
              <w:rPr>
                <w:rFonts w:ascii="Arial" w:cs="Arial" w:eastAsia="Arial" w:hAnsi="Arial"/>
                <w:sz w:val="13"/>
                <w:szCs w:val="13"/>
                <w:color w:val="003A70"/>
              </w:rPr>
              <w:t>Leadership</w:t>
            </w:r>
          </w:p>
        </w:tc>
        <w:tc>
          <w:tcPr>
            <w:tcW w:w="2040" w:type="dxa"/>
            <w:vAlign w:val="bottom"/>
          </w:tcPr>
          <w:p>
            <w:pPr>
              <w:ind w:left="420"/>
              <w:spacing w:after="0"/>
              <w:rPr>
                <w:sz w:val="20"/>
                <w:szCs w:val="20"/>
                <w:color w:val="auto"/>
              </w:rPr>
            </w:pPr>
            <w:r>
              <w:rPr>
                <w:rFonts w:ascii="Arial" w:cs="Arial" w:eastAsia="Arial" w:hAnsi="Arial"/>
                <w:sz w:val="13"/>
                <w:szCs w:val="13"/>
                <w:color w:val="003A70"/>
              </w:rPr>
              <w:t>Independence</w:t>
            </w:r>
          </w:p>
        </w:tc>
        <w:tc>
          <w:tcPr>
            <w:tcW w:w="2720" w:type="dxa"/>
            <w:vAlign w:val="bottom"/>
          </w:tcPr>
          <w:p>
            <w:pPr>
              <w:ind w:left="900"/>
              <w:spacing w:after="0"/>
              <w:rPr>
                <w:sz w:val="20"/>
                <w:szCs w:val="20"/>
                <w:color w:val="auto"/>
              </w:rPr>
            </w:pPr>
            <w:r>
              <w:rPr>
                <w:rFonts w:ascii="Arial" w:cs="Arial" w:eastAsia="Arial" w:hAnsi="Arial"/>
                <w:sz w:val="13"/>
                <w:szCs w:val="13"/>
                <w:color w:val="003A70"/>
              </w:rPr>
              <w:t>Capital Markets</w:t>
            </w:r>
          </w:p>
        </w:tc>
        <w:tc>
          <w:tcPr>
            <w:tcW w:w="1920" w:type="dxa"/>
            <w:vAlign w:val="bottom"/>
          </w:tcPr>
          <w:p>
            <w:pPr>
              <w:ind w:left="200"/>
              <w:spacing w:after="0"/>
              <w:rPr>
                <w:sz w:val="20"/>
                <w:szCs w:val="20"/>
                <w:color w:val="auto"/>
              </w:rPr>
            </w:pPr>
            <w:r>
              <w:rPr>
                <w:rFonts w:ascii="Arial" w:cs="Arial" w:eastAsia="Arial" w:hAnsi="Arial"/>
                <w:sz w:val="13"/>
                <w:szCs w:val="13"/>
                <w:color w:val="003A70"/>
              </w:rPr>
              <w:t>Financial Reporting</w:t>
            </w:r>
          </w:p>
        </w:tc>
        <w:tc>
          <w:tcPr>
            <w:tcW w:w="2140" w:type="dxa"/>
            <w:vAlign w:val="bottom"/>
          </w:tcPr>
          <w:p>
            <w:pPr>
              <w:ind w:left="500"/>
              <w:spacing w:after="0"/>
              <w:rPr>
                <w:sz w:val="20"/>
                <w:szCs w:val="20"/>
                <w:color w:val="auto"/>
              </w:rPr>
            </w:pPr>
            <w:r>
              <w:rPr>
                <w:rFonts w:ascii="Arial" w:cs="Arial" w:eastAsia="Arial" w:hAnsi="Arial"/>
                <w:sz w:val="13"/>
                <w:szCs w:val="13"/>
                <w:color w:val="003A70"/>
              </w:rPr>
              <w:t>Mergers &amp; Acquisitions</w:t>
            </w:r>
          </w:p>
        </w:tc>
      </w:tr>
      <w:tr>
        <w:trPr>
          <w:trHeight w:val="310"/>
        </w:trPr>
        <w:tc>
          <w:tcPr>
            <w:tcW w:w="300" w:type="dxa"/>
            <w:vAlign w:val="bottom"/>
          </w:tcPr>
          <w:p>
            <w:pPr>
              <w:spacing w:after="0"/>
              <w:rPr>
                <w:sz w:val="24"/>
                <w:szCs w:val="24"/>
                <w:color w:val="auto"/>
              </w:rPr>
            </w:pPr>
          </w:p>
        </w:tc>
        <w:tc>
          <w:tcPr>
            <w:tcW w:w="1860" w:type="dxa"/>
            <w:vAlign w:val="bottom"/>
          </w:tcPr>
          <w:p>
            <w:pPr>
              <w:ind w:left="160"/>
              <w:spacing w:after="0"/>
              <w:rPr>
                <w:sz w:val="20"/>
                <w:szCs w:val="20"/>
                <w:color w:val="auto"/>
              </w:rPr>
            </w:pPr>
            <w:r>
              <w:rPr>
                <w:rFonts w:ascii="Arial" w:cs="Arial" w:eastAsia="Arial" w:hAnsi="Arial"/>
                <w:sz w:val="13"/>
                <w:szCs w:val="13"/>
                <w:color w:val="003A70"/>
              </w:rPr>
              <w:t>Public Company Board</w:t>
            </w:r>
          </w:p>
        </w:tc>
        <w:tc>
          <w:tcPr>
            <w:tcW w:w="2040" w:type="dxa"/>
            <w:vAlign w:val="bottom"/>
          </w:tcPr>
          <w:p>
            <w:pPr>
              <w:ind w:left="420"/>
              <w:spacing w:after="0"/>
              <w:rPr>
                <w:sz w:val="20"/>
                <w:szCs w:val="20"/>
                <w:color w:val="auto"/>
              </w:rPr>
            </w:pPr>
            <w:r>
              <w:rPr>
                <w:rFonts w:ascii="Arial" w:cs="Arial" w:eastAsia="Arial" w:hAnsi="Arial"/>
                <w:sz w:val="13"/>
                <w:szCs w:val="13"/>
                <w:color w:val="003A70"/>
              </w:rPr>
              <w:t>Risk</w:t>
            </w:r>
          </w:p>
        </w:tc>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ind w:left="500"/>
              <w:spacing w:after="0"/>
              <w:rPr>
                <w:sz w:val="20"/>
                <w:szCs w:val="20"/>
                <w:color w:val="auto"/>
              </w:rPr>
            </w:pPr>
            <w:r>
              <w:rPr>
                <w:rFonts w:ascii="Arial" w:cs="Arial" w:eastAsia="Arial" w:hAnsi="Arial"/>
                <w:sz w:val="13"/>
                <w:szCs w:val="13"/>
                <w:color w:val="003A70"/>
              </w:rPr>
              <w:t>Legal, Regulatory &amp;</w:t>
            </w:r>
          </w:p>
        </w:tc>
      </w:tr>
      <w:tr>
        <w:trPr>
          <w:trHeight w:val="175"/>
        </w:trPr>
        <w:tc>
          <w:tcPr>
            <w:tcW w:w="300" w:type="dxa"/>
            <w:vAlign w:val="bottom"/>
          </w:tcPr>
          <w:p>
            <w:pPr>
              <w:spacing w:after="0"/>
              <w:rPr>
                <w:sz w:val="15"/>
                <w:szCs w:val="15"/>
                <w:color w:val="auto"/>
              </w:rPr>
            </w:pPr>
          </w:p>
        </w:tc>
        <w:tc>
          <w:tcPr>
            <w:tcW w:w="1860" w:type="dxa"/>
            <w:vAlign w:val="bottom"/>
          </w:tcPr>
          <w:p>
            <w:pPr>
              <w:ind w:left="160"/>
              <w:spacing w:after="0"/>
              <w:rPr>
                <w:sz w:val="20"/>
                <w:szCs w:val="20"/>
                <w:color w:val="auto"/>
              </w:rPr>
            </w:pPr>
            <w:r>
              <w:rPr>
                <w:rFonts w:ascii="Arial" w:cs="Arial" w:eastAsia="Arial" w:hAnsi="Arial"/>
                <w:sz w:val="13"/>
                <w:szCs w:val="13"/>
                <w:color w:val="003A70"/>
              </w:rPr>
              <w:t>Service &amp; Governance</w:t>
            </w:r>
          </w:p>
        </w:tc>
        <w:tc>
          <w:tcPr>
            <w:tcW w:w="2040" w:type="dxa"/>
            <w:vAlign w:val="bottom"/>
          </w:tcPr>
          <w:p>
            <w:pPr>
              <w:ind w:left="420"/>
              <w:spacing w:after="0"/>
              <w:rPr>
                <w:sz w:val="20"/>
                <w:szCs w:val="20"/>
                <w:color w:val="auto"/>
              </w:rPr>
            </w:pPr>
            <w:r>
              <w:rPr>
                <w:rFonts w:ascii="Arial" w:cs="Arial" w:eastAsia="Arial" w:hAnsi="Arial"/>
                <w:sz w:val="13"/>
                <w:szCs w:val="13"/>
                <w:color w:val="003A70"/>
              </w:rPr>
              <w:t>Management</w:t>
            </w:r>
          </w:p>
        </w:tc>
        <w:tc>
          <w:tcPr>
            <w:tcW w:w="2720" w:type="dxa"/>
            <w:vAlign w:val="bottom"/>
          </w:tcPr>
          <w:p>
            <w:pPr>
              <w:ind w:left="900"/>
              <w:spacing w:after="0"/>
              <w:rPr>
                <w:sz w:val="20"/>
                <w:szCs w:val="20"/>
                <w:color w:val="auto"/>
              </w:rPr>
            </w:pPr>
            <w:r>
              <w:rPr>
                <w:rFonts w:ascii="Arial" w:cs="Arial" w:eastAsia="Arial" w:hAnsi="Arial"/>
                <w:sz w:val="13"/>
                <w:szCs w:val="13"/>
                <w:color w:val="003A70"/>
              </w:rPr>
              <w:t>Strategic Planning</w:t>
            </w:r>
          </w:p>
        </w:tc>
        <w:tc>
          <w:tcPr>
            <w:tcW w:w="1920" w:type="dxa"/>
            <w:vAlign w:val="bottom"/>
          </w:tcPr>
          <w:p>
            <w:pPr>
              <w:ind w:left="200"/>
              <w:spacing w:after="0"/>
              <w:rPr>
                <w:sz w:val="20"/>
                <w:szCs w:val="20"/>
                <w:color w:val="auto"/>
              </w:rPr>
            </w:pPr>
            <w:r>
              <w:rPr>
                <w:rFonts w:ascii="Arial" w:cs="Arial" w:eastAsia="Arial" w:hAnsi="Arial"/>
                <w:sz w:val="13"/>
                <w:szCs w:val="13"/>
                <w:color w:val="003A70"/>
              </w:rPr>
              <w:t>Global Expertise</w:t>
            </w:r>
          </w:p>
        </w:tc>
        <w:tc>
          <w:tcPr>
            <w:tcW w:w="2140" w:type="dxa"/>
            <w:vAlign w:val="bottom"/>
          </w:tcPr>
          <w:p>
            <w:pPr>
              <w:ind w:left="500"/>
              <w:spacing w:after="0"/>
              <w:rPr>
                <w:sz w:val="20"/>
                <w:szCs w:val="20"/>
                <w:color w:val="auto"/>
              </w:rPr>
            </w:pPr>
            <w:r>
              <w:rPr>
                <w:rFonts w:ascii="Arial" w:cs="Arial" w:eastAsia="Arial" w:hAnsi="Arial"/>
                <w:sz w:val="13"/>
                <w:szCs w:val="13"/>
                <w:color w:val="003A70"/>
              </w:rPr>
              <w:t>Government Relations</w:t>
            </w:r>
          </w:p>
        </w:tc>
      </w:tr>
      <w:tr>
        <w:trPr>
          <w:trHeight w:val="305"/>
        </w:trPr>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tcPr>
          <w:p>
            <w:pPr>
              <w:ind w:left="420"/>
              <w:spacing w:after="0"/>
              <w:rPr>
                <w:sz w:val="20"/>
                <w:szCs w:val="20"/>
                <w:color w:val="auto"/>
              </w:rPr>
            </w:pPr>
            <w:r>
              <w:rPr>
                <w:rFonts w:ascii="Arial" w:cs="Arial" w:eastAsia="Arial" w:hAnsi="Arial"/>
                <w:sz w:val="13"/>
                <w:szCs w:val="13"/>
                <w:color w:val="003A70"/>
                <w:w w:val="97"/>
              </w:rPr>
              <w:t>Human Capital, Professional</w:t>
            </w:r>
          </w:p>
        </w:tc>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39"/>
        </w:trPr>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40" w:type="dxa"/>
            <w:vAlign w:val="bottom"/>
          </w:tcPr>
          <w:p>
            <w:pPr>
              <w:ind w:left="420"/>
              <w:spacing w:after="0" w:line="139" w:lineRule="exact"/>
              <w:rPr>
                <w:sz w:val="20"/>
                <w:szCs w:val="20"/>
                <w:color w:val="auto"/>
              </w:rPr>
            </w:pPr>
            <w:r>
              <w:rPr>
                <w:rFonts w:ascii="Arial" w:cs="Arial" w:eastAsia="Arial" w:hAnsi="Arial"/>
                <w:sz w:val="13"/>
                <w:szCs w:val="13"/>
                <w:color w:val="003A70"/>
              </w:rPr>
              <w:t>Development &amp;</w:t>
            </w:r>
          </w:p>
        </w:tc>
        <w:tc>
          <w:tcPr>
            <w:tcW w:w="2720" w:type="dxa"/>
            <w:vAlign w:val="bottom"/>
          </w:tcPr>
          <w:p>
            <w:pPr>
              <w:ind w:left="900"/>
              <w:spacing w:after="0" w:line="139" w:lineRule="exact"/>
              <w:rPr>
                <w:sz w:val="20"/>
                <w:szCs w:val="20"/>
                <w:color w:val="auto"/>
              </w:rPr>
            </w:pPr>
            <w:r>
              <w:rPr>
                <w:rFonts w:ascii="Arial" w:cs="Arial" w:eastAsia="Arial" w:hAnsi="Arial"/>
                <w:sz w:val="13"/>
                <w:szCs w:val="13"/>
                <w:color w:val="003A70"/>
              </w:rPr>
              <w:t>Technology &amp;</w:t>
            </w:r>
          </w:p>
        </w:tc>
        <w:tc>
          <w:tcPr>
            <w:tcW w:w="1920" w:type="dxa"/>
            <w:vAlign w:val="bottom"/>
          </w:tcPr>
          <w:p>
            <w:pPr>
              <w:ind w:left="200"/>
              <w:spacing w:after="0" w:line="139" w:lineRule="exact"/>
              <w:rPr>
                <w:sz w:val="20"/>
                <w:szCs w:val="20"/>
                <w:color w:val="auto"/>
              </w:rPr>
            </w:pPr>
            <w:r>
              <w:rPr>
                <w:rFonts w:ascii="Arial" w:cs="Arial" w:eastAsia="Arial" w:hAnsi="Arial"/>
                <w:sz w:val="13"/>
                <w:szCs w:val="13"/>
                <w:color w:val="003A70"/>
              </w:rPr>
              <w:t>Vacation Ownership &amp;</w:t>
            </w:r>
          </w:p>
        </w:tc>
        <w:tc>
          <w:tcPr>
            <w:tcW w:w="2140" w:type="dxa"/>
            <w:vAlign w:val="bottom"/>
          </w:tcPr>
          <w:p>
            <w:pPr>
              <w:spacing w:after="0"/>
              <w:rPr>
                <w:sz w:val="12"/>
                <w:szCs w:val="12"/>
                <w:color w:val="auto"/>
              </w:rPr>
            </w:pPr>
          </w:p>
        </w:tc>
      </w:tr>
      <w:tr>
        <w:trPr>
          <w:trHeight w:val="175"/>
        </w:trPr>
        <w:tc>
          <w:tcPr>
            <w:tcW w:w="300" w:type="dxa"/>
            <w:vAlign w:val="bottom"/>
          </w:tcPr>
          <w:p>
            <w:pPr>
              <w:spacing w:after="0"/>
              <w:rPr>
                <w:sz w:val="15"/>
                <w:szCs w:val="15"/>
                <w:color w:val="auto"/>
              </w:rPr>
            </w:pPr>
          </w:p>
        </w:tc>
        <w:tc>
          <w:tcPr>
            <w:tcW w:w="1860" w:type="dxa"/>
            <w:vAlign w:val="bottom"/>
          </w:tcPr>
          <w:p>
            <w:pPr>
              <w:ind w:left="160"/>
              <w:spacing w:after="0"/>
              <w:rPr>
                <w:sz w:val="20"/>
                <w:szCs w:val="20"/>
                <w:color w:val="auto"/>
              </w:rPr>
            </w:pPr>
            <w:r>
              <w:rPr>
                <w:rFonts w:ascii="Arial" w:cs="Arial" w:eastAsia="Arial" w:hAnsi="Arial"/>
                <w:sz w:val="13"/>
                <w:szCs w:val="13"/>
                <w:color w:val="003A70"/>
              </w:rPr>
              <w:t>Compliance</w:t>
            </w:r>
          </w:p>
        </w:tc>
        <w:tc>
          <w:tcPr>
            <w:tcW w:w="2040" w:type="dxa"/>
            <w:vAlign w:val="bottom"/>
          </w:tcPr>
          <w:p>
            <w:pPr>
              <w:ind w:left="420"/>
              <w:spacing w:after="0"/>
              <w:rPr>
                <w:sz w:val="20"/>
                <w:szCs w:val="20"/>
                <w:color w:val="auto"/>
              </w:rPr>
            </w:pPr>
            <w:r>
              <w:rPr>
                <w:rFonts w:ascii="Arial" w:cs="Arial" w:eastAsia="Arial" w:hAnsi="Arial"/>
                <w:sz w:val="13"/>
                <w:szCs w:val="13"/>
                <w:color w:val="003A70"/>
              </w:rPr>
              <w:t>Organizational Culture</w:t>
            </w:r>
          </w:p>
        </w:tc>
        <w:tc>
          <w:tcPr>
            <w:tcW w:w="2720" w:type="dxa"/>
            <w:vAlign w:val="bottom"/>
          </w:tcPr>
          <w:p>
            <w:pPr>
              <w:ind w:left="900"/>
              <w:spacing w:after="0"/>
              <w:rPr>
                <w:sz w:val="20"/>
                <w:szCs w:val="20"/>
                <w:color w:val="auto"/>
              </w:rPr>
            </w:pPr>
            <w:r>
              <w:rPr>
                <w:rFonts w:ascii="Arial" w:cs="Arial" w:eastAsia="Arial" w:hAnsi="Arial"/>
                <w:sz w:val="13"/>
                <w:szCs w:val="13"/>
                <w:color w:val="003A70"/>
              </w:rPr>
              <w:t>Cybersecurity</w:t>
            </w:r>
          </w:p>
        </w:tc>
        <w:tc>
          <w:tcPr>
            <w:tcW w:w="1920" w:type="dxa"/>
            <w:vAlign w:val="bottom"/>
          </w:tcPr>
          <w:p>
            <w:pPr>
              <w:ind w:left="200"/>
              <w:spacing w:after="0"/>
              <w:rPr>
                <w:sz w:val="20"/>
                <w:szCs w:val="20"/>
                <w:color w:val="auto"/>
              </w:rPr>
            </w:pPr>
            <w:r>
              <w:rPr>
                <w:rFonts w:ascii="Arial" w:cs="Arial" w:eastAsia="Arial" w:hAnsi="Arial"/>
                <w:sz w:val="13"/>
                <w:szCs w:val="13"/>
                <w:color w:val="003A70"/>
              </w:rPr>
              <w:t>Lodging Industry</w:t>
            </w:r>
          </w:p>
        </w:tc>
        <w:tc>
          <w:tcPr>
            <w:tcW w:w="2140" w:type="dxa"/>
            <w:vAlign w:val="bottom"/>
          </w:tcPr>
          <w:p>
            <w:pPr>
              <w:spacing w:after="0"/>
              <w:rPr>
                <w:sz w:val="15"/>
                <w:szCs w:val="15"/>
                <w:color w:val="auto"/>
              </w:rPr>
            </w:pPr>
          </w:p>
        </w:tc>
      </w:tr>
      <w:tr>
        <w:trPr>
          <w:trHeight w:val="256"/>
        </w:trPr>
        <w:tc>
          <w:tcPr>
            <w:tcW w:w="300" w:type="dxa"/>
            <w:vAlign w:val="bottom"/>
            <w:tcBorders>
              <w:bottom w:val="single" w:sz="8" w:color="003A70"/>
            </w:tcBorders>
          </w:tcPr>
          <w:p>
            <w:pPr>
              <w:jc w:val="right"/>
              <w:ind w:right="140"/>
              <w:spacing w:after="0"/>
              <w:rPr>
                <w:sz w:val="20"/>
                <w:szCs w:val="20"/>
                <w:color w:val="auto"/>
              </w:rPr>
            </w:pPr>
            <w:r>
              <w:rPr>
                <w:rFonts w:ascii="Arial" w:cs="Arial" w:eastAsia="Arial" w:hAnsi="Arial"/>
                <w:sz w:val="11"/>
                <w:szCs w:val="11"/>
                <w:b w:val="1"/>
                <w:bCs w:val="1"/>
                <w:color w:val="003A70"/>
                <w:w w:val="81"/>
              </w:rPr>
              <w:t>14</w:t>
            </w:r>
          </w:p>
        </w:tc>
        <w:tc>
          <w:tcPr>
            <w:tcW w:w="1860" w:type="dxa"/>
            <w:vAlign w:val="bottom"/>
            <w:tcBorders>
              <w:bottom w:val="single" w:sz="8" w:color="003A70"/>
            </w:tcBorders>
          </w:tcPr>
          <w:p>
            <w:pPr>
              <w:spacing w:after="0"/>
              <w:rPr>
                <w:sz w:val="22"/>
                <w:szCs w:val="22"/>
                <w:color w:val="auto"/>
              </w:rPr>
            </w:pPr>
          </w:p>
        </w:tc>
        <w:tc>
          <w:tcPr>
            <w:tcW w:w="2040" w:type="dxa"/>
            <w:vAlign w:val="bottom"/>
            <w:tcBorders>
              <w:bottom w:val="single" w:sz="8" w:color="003A70"/>
            </w:tcBorders>
          </w:tcPr>
          <w:p>
            <w:pPr>
              <w:spacing w:after="0"/>
              <w:rPr>
                <w:sz w:val="22"/>
                <w:szCs w:val="22"/>
                <w:color w:val="auto"/>
              </w:rPr>
            </w:pPr>
          </w:p>
        </w:tc>
        <w:tc>
          <w:tcPr>
            <w:tcW w:w="2720" w:type="dxa"/>
            <w:vAlign w:val="bottom"/>
            <w:tcBorders>
              <w:bottom w:val="single" w:sz="8" w:color="003A70"/>
            </w:tcBorders>
          </w:tcPr>
          <w:p>
            <w:pPr>
              <w:ind w:left="40"/>
              <w:spacing w:after="0"/>
              <w:rPr>
                <w:sz w:val="20"/>
                <w:szCs w:val="20"/>
                <w:color w:val="auto"/>
              </w:rPr>
            </w:pPr>
            <w:r>
              <w:rPr>
                <w:rFonts w:ascii="Arial" w:cs="Arial" w:eastAsia="Arial" w:hAnsi="Arial"/>
                <w:sz w:val="11"/>
                <w:szCs w:val="11"/>
                <w:color w:val="auto"/>
              </w:rPr>
              <w:t>Report on the Board of Directors and its Committees</w:t>
            </w:r>
          </w:p>
        </w:tc>
        <w:tc>
          <w:tcPr>
            <w:tcW w:w="4060" w:type="dxa"/>
            <w:vAlign w:val="bottom"/>
            <w:tcBorders>
              <w:bottom w:val="single" w:sz="8" w:color="003A70"/>
            </w:tcBorders>
            <w:gridSpan w:val="2"/>
          </w:tcPr>
          <w:p>
            <w:pPr>
              <w:ind w:left="78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-1041400</wp:posOffset>
            </wp:positionV>
            <wp:extent cx="102235" cy="136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-1016000</wp:posOffset>
            </wp:positionV>
            <wp:extent cx="162560" cy="136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-1016000</wp:posOffset>
            </wp:positionV>
            <wp:extent cx="162560" cy="136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-1016000</wp:posOffset>
            </wp:positionV>
            <wp:extent cx="136525" cy="136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-1016000</wp:posOffset>
            </wp:positionV>
            <wp:extent cx="153670" cy="136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-716915</wp:posOffset>
            </wp:positionV>
            <wp:extent cx="162560" cy="136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-708660</wp:posOffset>
            </wp:positionV>
            <wp:extent cx="136525" cy="136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-708660</wp:posOffset>
            </wp:positionV>
            <wp:extent cx="145415" cy="136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-716915</wp:posOffset>
            </wp:positionV>
            <wp:extent cx="145415" cy="1365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-708660</wp:posOffset>
            </wp:positionV>
            <wp:extent cx="136525" cy="1365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-315595</wp:posOffset>
            </wp:positionV>
            <wp:extent cx="196215" cy="136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6215" cy="13652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-332740</wp:posOffset>
            </wp:positionV>
            <wp:extent cx="145415" cy="136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-323850</wp:posOffset>
            </wp:positionV>
            <wp:extent cx="136525" cy="136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-323850</wp:posOffset>
            </wp:positionV>
            <wp:extent cx="128270" cy="136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270"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78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WILLIAM W. McCARTEN</w:t>
            </w:r>
          </w:p>
        </w:tc>
        <w:tc>
          <w:tcPr>
            <w:tcW w:w="7200" w:type="dxa"/>
            <w:vAlign w:val="bottom"/>
            <w:tcBorders>
              <w:top w:val="single" w:sz="8" w:color="003A70"/>
            </w:tcBorders>
          </w:tcPr>
          <w:p>
            <w:pPr>
              <w:spacing w:after="0"/>
              <w:rPr>
                <w:sz w:val="20"/>
                <w:szCs w:val="20"/>
                <w:color w:val="auto"/>
              </w:rPr>
            </w:pPr>
          </w:p>
        </w:tc>
      </w:tr>
      <w:tr>
        <w:trPr>
          <w:trHeight w:val="248"/>
        </w:trPr>
        <w:tc>
          <w:tcPr>
            <w:tcW w:w="37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76</w:t>
            </w:r>
          </w:p>
        </w:tc>
        <w:tc>
          <w:tcPr>
            <w:tcW w:w="7200" w:type="dxa"/>
            <w:vAlign w:val="bottom"/>
          </w:tcPr>
          <w:p>
            <w:pPr>
              <w:ind w:left="1940"/>
              <w:spacing w:after="0"/>
              <w:rPr>
                <w:sz w:val="20"/>
                <w:szCs w:val="20"/>
                <w:color w:val="auto"/>
              </w:rPr>
            </w:pPr>
            <w:r>
              <w:rPr>
                <w:rFonts w:ascii="Arial" w:cs="Arial" w:eastAsia="Arial" w:hAnsi="Arial"/>
                <w:sz w:val="16"/>
                <w:szCs w:val="16"/>
                <w:color w:val="auto"/>
              </w:rPr>
              <w:t>Committees:</w:t>
            </w:r>
          </w:p>
        </w:tc>
      </w:tr>
      <w:tr>
        <w:trPr>
          <w:trHeight w:val="188"/>
        </w:trPr>
        <w:tc>
          <w:tcPr>
            <w:tcW w:w="37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7200" w:type="dxa"/>
            <w:vAlign w:val="bottom"/>
          </w:tcPr>
          <w:p>
            <w:pPr>
              <w:ind w:left="1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2"/>
        </w:trPr>
        <w:tc>
          <w:tcPr>
            <w:tcW w:w="378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00" w:type="dxa"/>
            <w:vAlign w:val="bottom"/>
          </w:tcPr>
          <w:p>
            <w:pPr>
              <w:ind w:left="1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Mr. McCarten has served as non-executive Chairman of the Board of DiamondRock Hospitality Company, a publicly traded lodging REIT, since January 2010. He was Executive Chairman of DiamondRock from September 2008 to December 2009. Prior to that, he was Chairman and Chief Executive Officer of DiamondRock from its inception in 2004 until September 2008. From 1979 through 2003, Mr. McCarten worked at Marriott International and companies that operated businesses that were previously part of Marriott International or its predecessors, where he held a number of executive positions, including President of the Services Group and President and Chief Executive Officer of HMSHost Corporation, a publicly traded company. Mr. McCarten is also a former director of Cracker Barrel Old Country Store, Inc., a publicly traded company.</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jc w:val="both"/>
        <w:ind w:left="140" w:right="60"/>
        <w:spacing w:after="0" w:line="254" w:lineRule="auto"/>
        <w:rPr>
          <w:sz w:val="20"/>
          <w:szCs w:val="20"/>
          <w:color w:val="auto"/>
        </w:rPr>
      </w:pPr>
      <w:r>
        <w:rPr>
          <w:rFonts w:ascii="Arial" w:cs="Arial" w:eastAsia="Arial" w:hAnsi="Arial"/>
          <w:sz w:val="16"/>
          <w:szCs w:val="16"/>
          <w:color w:val="auto"/>
        </w:rPr>
        <w:t>Mr. McCarten provides the Board with the benefit of his extensive experience in the hospitality industry and capital markets, including his service as Chief Executive Officer and board member of publicly traded companies. He is a former certified public accountant who has a strong familiarity with accounting and financial reporting matters.</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840" w:type="dxa"/>
            <w:vAlign w:val="bottom"/>
          </w:tcPr>
          <w:p>
            <w:pPr>
              <w:ind w:left="200"/>
              <w:spacing w:after="0"/>
              <w:rPr>
                <w:sz w:val="20"/>
                <w:szCs w:val="20"/>
                <w:color w:val="auto"/>
              </w:rPr>
            </w:pPr>
            <w:r>
              <w:rPr>
                <w:rFonts w:ascii="Arial" w:cs="Arial" w:eastAsia="Arial" w:hAnsi="Arial"/>
                <w:sz w:val="13"/>
                <w:szCs w:val="13"/>
                <w:color w:val="003A70"/>
              </w:rPr>
              <w:t>Corporate</w:t>
            </w:r>
          </w:p>
        </w:tc>
        <w:tc>
          <w:tcPr>
            <w:tcW w:w="1860" w:type="dxa"/>
            <w:vAlign w:val="bottom"/>
          </w:tcPr>
          <w:p>
            <w:pPr>
              <w:spacing w:after="0"/>
              <w:rPr>
                <w:sz w:val="13"/>
                <w:szCs w:val="13"/>
                <w:color w:val="auto"/>
              </w:rPr>
            </w:pPr>
          </w:p>
        </w:tc>
        <w:tc>
          <w:tcPr>
            <w:tcW w:w="1620" w:type="dxa"/>
            <w:vAlign w:val="bottom"/>
          </w:tcPr>
          <w:p>
            <w:pPr>
              <w:ind w:left="280"/>
              <w:spacing w:after="0"/>
              <w:rPr>
                <w:sz w:val="20"/>
                <w:szCs w:val="20"/>
                <w:color w:val="auto"/>
              </w:rPr>
            </w:pPr>
            <w:r>
              <w:rPr>
                <w:rFonts w:ascii="Arial" w:cs="Arial" w:eastAsia="Arial" w:hAnsi="Arial"/>
                <w:sz w:val="13"/>
                <w:szCs w:val="13"/>
                <w:color w:val="003A70"/>
              </w:rPr>
              <w:t>Financial &amp;</w:t>
            </w:r>
          </w:p>
        </w:tc>
        <w:tc>
          <w:tcPr>
            <w:tcW w:w="2360" w:type="dxa"/>
            <w:vAlign w:val="bottom"/>
          </w:tcPr>
          <w:p>
            <w:pPr>
              <w:ind w:left="320"/>
              <w:spacing w:after="0"/>
              <w:rPr>
                <w:sz w:val="20"/>
                <w:szCs w:val="20"/>
                <w:color w:val="auto"/>
              </w:rPr>
            </w:pPr>
            <w:r>
              <w:rPr>
                <w:rFonts w:ascii="Arial" w:cs="Arial" w:eastAsia="Arial" w:hAnsi="Arial"/>
                <w:sz w:val="13"/>
                <w:szCs w:val="13"/>
                <w:color w:val="003A70"/>
              </w:rPr>
              <w:t>Accounting &amp;</w:t>
            </w:r>
          </w:p>
        </w:tc>
        <w:tc>
          <w:tcPr>
            <w:tcW w:w="2880" w:type="dxa"/>
            <w:vAlign w:val="bottom"/>
          </w:tcPr>
          <w:p>
            <w:pPr>
              <w:ind w:left="740"/>
              <w:spacing w:after="0"/>
              <w:rPr>
                <w:sz w:val="20"/>
                <w:szCs w:val="20"/>
                <w:color w:val="auto"/>
              </w:rPr>
            </w:pPr>
            <w:r>
              <w:rPr>
                <w:rFonts w:ascii="Arial" w:cs="Arial" w:eastAsia="Arial" w:hAnsi="Arial"/>
                <w:sz w:val="13"/>
                <w:szCs w:val="13"/>
                <w:color w:val="003A70"/>
              </w:rPr>
              <w:t>Business Development /</w:t>
            </w:r>
          </w:p>
        </w:tc>
      </w:tr>
      <w:tr>
        <w:trPr>
          <w:trHeight w:val="175"/>
        </w:trPr>
        <w:tc>
          <w:tcPr>
            <w:tcW w:w="220" w:type="dxa"/>
            <w:vAlign w:val="bottom"/>
          </w:tcPr>
          <w:p>
            <w:pPr>
              <w:spacing w:after="0"/>
              <w:rPr>
                <w:sz w:val="20"/>
                <w:szCs w:val="20"/>
                <w:color w:val="auto"/>
              </w:rPr>
            </w:pPr>
            <w:r>
              <w:rPr>
                <w:rFonts w:ascii="Arial" w:cs="Arial" w:eastAsia="Arial" w:hAnsi="Arial"/>
                <w:sz w:val="13"/>
                <w:szCs w:val="13"/>
                <w:color w:val="auto"/>
              </w:rPr>
              <w:t> </w:t>
            </w:r>
          </w:p>
        </w:tc>
        <w:tc>
          <w:tcPr>
            <w:tcW w:w="1840" w:type="dxa"/>
            <w:vAlign w:val="bottom"/>
          </w:tcPr>
          <w:p>
            <w:pPr>
              <w:ind w:left="200"/>
              <w:spacing w:after="0"/>
              <w:rPr>
                <w:sz w:val="20"/>
                <w:szCs w:val="20"/>
                <w:color w:val="auto"/>
              </w:rPr>
            </w:pPr>
            <w:r>
              <w:rPr>
                <w:rFonts w:ascii="Arial" w:cs="Arial" w:eastAsia="Arial" w:hAnsi="Arial"/>
                <w:sz w:val="13"/>
                <w:szCs w:val="13"/>
                <w:color w:val="003A70"/>
              </w:rPr>
              <w:t>Leadership</w:t>
            </w:r>
          </w:p>
        </w:tc>
        <w:tc>
          <w:tcPr>
            <w:tcW w:w="1860" w:type="dxa"/>
            <w:vAlign w:val="bottom"/>
          </w:tcPr>
          <w:p>
            <w:pPr>
              <w:ind w:left="340"/>
              <w:spacing w:after="0"/>
              <w:rPr>
                <w:sz w:val="20"/>
                <w:szCs w:val="20"/>
                <w:color w:val="auto"/>
              </w:rPr>
            </w:pPr>
            <w:r>
              <w:rPr>
                <w:rFonts w:ascii="Arial" w:cs="Arial" w:eastAsia="Arial" w:hAnsi="Arial"/>
                <w:sz w:val="13"/>
                <w:szCs w:val="13"/>
                <w:color w:val="003A70"/>
              </w:rPr>
              <w:t>Independence</w:t>
            </w:r>
          </w:p>
        </w:tc>
        <w:tc>
          <w:tcPr>
            <w:tcW w:w="1620" w:type="dxa"/>
            <w:vAlign w:val="bottom"/>
          </w:tcPr>
          <w:p>
            <w:pPr>
              <w:ind w:left="280"/>
              <w:spacing w:after="0"/>
              <w:rPr>
                <w:sz w:val="20"/>
                <w:szCs w:val="20"/>
                <w:color w:val="auto"/>
              </w:rPr>
            </w:pPr>
            <w:r>
              <w:rPr>
                <w:rFonts w:ascii="Arial" w:cs="Arial" w:eastAsia="Arial" w:hAnsi="Arial"/>
                <w:sz w:val="13"/>
                <w:szCs w:val="13"/>
                <w:color w:val="003A70"/>
              </w:rPr>
              <w:t>Capital Markets</w:t>
            </w:r>
          </w:p>
        </w:tc>
        <w:tc>
          <w:tcPr>
            <w:tcW w:w="2360" w:type="dxa"/>
            <w:vAlign w:val="bottom"/>
          </w:tcPr>
          <w:p>
            <w:pPr>
              <w:ind w:left="320"/>
              <w:spacing w:after="0"/>
              <w:rPr>
                <w:sz w:val="20"/>
                <w:szCs w:val="20"/>
                <w:color w:val="auto"/>
              </w:rPr>
            </w:pPr>
            <w:r>
              <w:rPr>
                <w:rFonts w:ascii="Arial" w:cs="Arial" w:eastAsia="Arial" w:hAnsi="Arial"/>
                <w:sz w:val="13"/>
                <w:szCs w:val="13"/>
                <w:color w:val="003A70"/>
              </w:rPr>
              <w:t>Financial Reporting</w:t>
            </w:r>
          </w:p>
        </w:tc>
        <w:tc>
          <w:tcPr>
            <w:tcW w:w="2880" w:type="dxa"/>
            <w:vAlign w:val="bottom"/>
          </w:tcPr>
          <w:p>
            <w:pPr>
              <w:ind w:left="740"/>
              <w:spacing w:after="0"/>
              <w:rPr>
                <w:sz w:val="20"/>
                <w:szCs w:val="20"/>
                <w:color w:val="auto"/>
              </w:rPr>
            </w:pPr>
            <w:r>
              <w:rPr>
                <w:rFonts w:ascii="Arial" w:cs="Arial" w:eastAsia="Arial" w:hAnsi="Arial"/>
                <w:sz w:val="13"/>
                <w:szCs w:val="13"/>
                <w:color w:val="003A70"/>
              </w:rPr>
              <w:t>Mergers &amp; Acquisitions</w:t>
            </w:r>
          </w:p>
        </w:tc>
      </w:tr>
      <w:tr>
        <w:trPr>
          <w:trHeight w:val="310"/>
        </w:trPr>
        <w:tc>
          <w:tcPr>
            <w:tcW w:w="220" w:type="dxa"/>
            <w:vAlign w:val="bottom"/>
          </w:tcPr>
          <w:p>
            <w:pPr>
              <w:spacing w:after="0"/>
              <w:rPr>
                <w:sz w:val="24"/>
                <w:szCs w:val="24"/>
                <w:color w:val="auto"/>
              </w:rPr>
            </w:pPr>
          </w:p>
        </w:tc>
        <w:tc>
          <w:tcPr>
            <w:tcW w:w="1840" w:type="dxa"/>
            <w:vAlign w:val="bottom"/>
          </w:tcPr>
          <w:p>
            <w:pPr>
              <w:ind w:left="200"/>
              <w:spacing w:after="0"/>
              <w:rPr>
                <w:sz w:val="20"/>
                <w:szCs w:val="20"/>
                <w:color w:val="auto"/>
              </w:rPr>
            </w:pPr>
            <w:r>
              <w:rPr>
                <w:rFonts w:ascii="Arial" w:cs="Arial" w:eastAsia="Arial" w:hAnsi="Arial"/>
                <w:sz w:val="13"/>
                <w:szCs w:val="13"/>
                <w:color w:val="003A70"/>
              </w:rPr>
              <w:t>Public Company Board</w:t>
            </w:r>
          </w:p>
        </w:tc>
        <w:tc>
          <w:tcPr>
            <w:tcW w:w="1860" w:type="dxa"/>
            <w:vAlign w:val="bottom"/>
          </w:tcPr>
          <w:p>
            <w:pPr>
              <w:ind w:left="340"/>
              <w:spacing w:after="0"/>
              <w:rPr>
                <w:sz w:val="20"/>
                <w:szCs w:val="20"/>
                <w:color w:val="auto"/>
              </w:rPr>
            </w:pPr>
            <w:r>
              <w:rPr>
                <w:rFonts w:ascii="Arial" w:cs="Arial" w:eastAsia="Arial" w:hAnsi="Arial"/>
                <w:sz w:val="13"/>
                <w:szCs w:val="13"/>
                <w:color w:val="003A70"/>
              </w:rPr>
              <w:t>Vacation Ownership &amp;</w:t>
            </w:r>
          </w:p>
        </w:tc>
        <w:tc>
          <w:tcPr>
            <w:tcW w:w="1620" w:type="dxa"/>
            <w:vAlign w:val="bottom"/>
          </w:tcPr>
          <w:p>
            <w:pPr>
              <w:spacing w:after="0"/>
              <w:rPr>
                <w:sz w:val="24"/>
                <w:szCs w:val="24"/>
                <w:color w:val="auto"/>
              </w:rPr>
            </w:pPr>
          </w:p>
        </w:tc>
        <w:tc>
          <w:tcPr>
            <w:tcW w:w="2360" w:type="dxa"/>
            <w:vAlign w:val="bottom"/>
          </w:tcPr>
          <w:p>
            <w:pPr>
              <w:ind w:left="320"/>
              <w:spacing w:after="0"/>
              <w:rPr>
                <w:sz w:val="20"/>
                <w:szCs w:val="20"/>
                <w:color w:val="auto"/>
              </w:rPr>
            </w:pPr>
            <w:r>
              <w:rPr>
                <w:rFonts w:ascii="Arial" w:cs="Arial" w:eastAsia="Arial" w:hAnsi="Arial"/>
                <w:sz w:val="13"/>
                <w:szCs w:val="13"/>
                <w:color w:val="003A70"/>
              </w:rPr>
              <w:t>Real Estate &amp; Business</w:t>
            </w:r>
          </w:p>
        </w:tc>
        <w:tc>
          <w:tcPr>
            <w:tcW w:w="2880" w:type="dxa"/>
            <w:vAlign w:val="bottom"/>
          </w:tcPr>
          <w:p>
            <w:pPr>
              <w:ind w:left="740"/>
              <w:spacing w:after="0"/>
              <w:rPr>
                <w:sz w:val="20"/>
                <w:szCs w:val="20"/>
                <w:color w:val="auto"/>
              </w:rPr>
            </w:pPr>
            <w:r>
              <w:rPr>
                <w:rFonts w:ascii="Arial" w:cs="Arial" w:eastAsia="Arial" w:hAnsi="Arial"/>
                <w:sz w:val="13"/>
                <w:szCs w:val="13"/>
                <w:color w:val="003A70"/>
              </w:rPr>
              <w:t>Human Capital, Professional</w:t>
            </w:r>
          </w:p>
        </w:tc>
      </w:tr>
      <w:tr>
        <w:trPr>
          <w:trHeight w:val="175"/>
        </w:trPr>
        <w:tc>
          <w:tcPr>
            <w:tcW w:w="220" w:type="dxa"/>
            <w:vAlign w:val="bottom"/>
          </w:tcPr>
          <w:p>
            <w:pPr>
              <w:spacing w:after="0"/>
              <w:rPr>
                <w:sz w:val="15"/>
                <w:szCs w:val="15"/>
                <w:color w:val="auto"/>
              </w:rPr>
            </w:pPr>
          </w:p>
        </w:tc>
        <w:tc>
          <w:tcPr>
            <w:tcW w:w="1840" w:type="dxa"/>
            <w:vAlign w:val="bottom"/>
          </w:tcPr>
          <w:p>
            <w:pPr>
              <w:ind w:left="200"/>
              <w:spacing w:after="0"/>
              <w:rPr>
                <w:sz w:val="20"/>
                <w:szCs w:val="20"/>
                <w:color w:val="auto"/>
              </w:rPr>
            </w:pPr>
            <w:r>
              <w:rPr>
                <w:rFonts w:ascii="Arial" w:cs="Arial" w:eastAsia="Arial" w:hAnsi="Arial"/>
                <w:sz w:val="13"/>
                <w:szCs w:val="13"/>
                <w:color w:val="003A70"/>
              </w:rPr>
              <w:t>Service &amp; Governance</w:t>
            </w:r>
          </w:p>
        </w:tc>
        <w:tc>
          <w:tcPr>
            <w:tcW w:w="1860" w:type="dxa"/>
            <w:vAlign w:val="bottom"/>
          </w:tcPr>
          <w:p>
            <w:pPr>
              <w:ind w:left="340"/>
              <w:spacing w:after="0"/>
              <w:rPr>
                <w:sz w:val="20"/>
                <w:szCs w:val="20"/>
                <w:color w:val="auto"/>
              </w:rPr>
            </w:pPr>
            <w:r>
              <w:rPr>
                <w:rFonts w:ascii="Arial" w:cs="Arial" w:eastAsia="Arial" w:hAnsi="Arial"/>
                <w:sz w:val="13"/>
                <w:szCs w:val="13"/>
                <w:color w:val="003A70"/>
              </w:rPr>
              <w:t>Lodging Industry</w:t>
            </w:r>
          </w:p>
        </w:tc>
        <w:tc>
          <w:tcPr>
            <w:tcW w:w="1620" w:type="dxa"/>
            <w:vAlign w:val="bottom"/>
          </w:tcPr>
          <w:p>
            <w:pPr>
              <w:ind w:left="280"/>
              <w:spacing w:after="0"/>
              <w:rPr>
                <w:sz w:val="20"/>
                <w:szCs w:val="20"/>
                <w:color w:val="auto"/>
              </w:rPr>
            </w:pPr>
            <w:r>
              <w:rPr>
                <w:rFonts w:ascii="Arial" w:cs="Arial" w:eastAsia="Arial" w:hAnsi="Arial"/>
                <w:sz w:val="13"/>
                <w:szCs w:val="13"/>
                <w:color w:val="003A70"/>
              </w:rPr>
              <w:t>Strategic Planning</w:t>
            </w:r>
          </w:p>
        </w:tc>
        <w:tc>
          <w:tcPr>
            <w:tcW w:w="2360" w:type="dxa"/>
            <w:vAlign w:val="bottom"/>
          </w:tcPr>
          <w:p>
            <w:pPr>
              <w:ind w:left="320"/>
              <w:spacing w:after="0"/>
              <w:rPr>
                <w:sz w:val="20"/>
                <w:szCs w:val="20"/>
                <w:color w:val="auto"/>
              </w:rPr>
            </w:pPr>
            <w:r>
              <w:rPr>
                <w:rFonts w:ascii="Arial" w:cs="Arial" w:eastAsia="Arial" w:hAnsi="Arial"/>
                <w:sz w:val="13"/>
                <w:szCs w:val="13"/>
                <w:color w:val="003A70"/>
              </w:rPr>
              <w:t>Development</w:t>
            </w:r>
          </w:p>
        </w:tc>
        <w:tc>
          <w:tcPr>
            <w:tcW w:w="2880" w:type="dxa"/>
            <w:vAlign w:val="bottom"/>
          </w:tcPr>
          <w:p>
            <w:pPr>
              <w:ind w:left="740"/>
              <w:spacing w:after="0"/>
              <w:rPr>
                <w:sz w:val="20"/>
                <w:szCs w:val="20"/>
                <w:color w:val="auto"/>
              </w:rPr>
            </w:pPr>
            <w:r>
              <w:rPr>
                <w:rFonts w:ascii="Arial" w:cs="Arial" w:eastAsia="Arial" w:hAnsi="Arial"/>
                <w:sz w:val="13"/>
                <w:szCs w:val="13"/>
                <w:color w:val="003A70"/>
                <w:w w:val="95"/>
              </w:rPr>
              <w:t>Development &amp; Organizational Culture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-477520</wp:posOffset>
            </wp:positionV>
            <wp:extent cx="102235" cy="136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-452120</wp:posOffset>
            </wp:positionV>
            <wp:extent cx="162560" cy="136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-452120</wp:posOffset>
            </wp:positionV>
            <wp:extent cx="162560" cy="136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-452120</wp:posOffset>
            </wp:positionV>
            <wp:extent cx="136525" cy="136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-452120</wp:posOffset>
            </wp:positionV>
            <wp:extent cx="153670" cy="136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-153035</wp:posOffset>
            </wp:positionV>
            <wp:extent cx="162560" cy="136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-153035</wp:posOffset>
            </wp:positionV>
            <wp:extent cx="128270" cy="1365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-153035</wp:posOffset>
            </wp:positionV>
            <wp:extent cx="145415" cy="136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-144145</wp:posOffset>
            </wp:positionV>
            <wp:extent cx="145415" cy="136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-161290</wp:posOffset>
            </wp:positionV>
            <wp:extent cx="145415" cy="136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136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40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WILLIAM J. SHAW, CHAIRMAN</w:t>
            </w:r>
          </w:p>
        </w:tc>
        <w:tc>
          <w:tcPr>
            <w:tcW w:w="6940" w:type="dxa"/>
            <w:vAlign w:val="bottom"/>
            <w:tcBorders>
              <w:top w:val="single" w:sz="8" w:color="003A70"/>
            </w:tcBorders>
          </w:tcPr>
          <w:p>
            <w:pPr>
              <w:spacing w:after="0"/>
              <w:rPr>
                <w:sz w:val="20"/>
                <w:szCs w:val="20"/>
                <w:color w:val="auto"/>
              </w:rPr>
            </w:pPr>
          </w:p>
        </w:tc>
      </w:tr>
      <w:tr>
        <w:trPr>
          <w:trHeight w:val="248"/>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79</w:t>
            </w:r>
          </w:p>
        </w:tc>
        <w:tc>
          <w:tcPr>
            <w:tcW w:w="6940" w:type="dxa"/>
            <w:vAlign w:val="bottom"/>
          </w:tcPr>
          <w:p>
            <w:pPr>
              <w:ind w:left="1680"/>
              <w:spacing w:after="0"/>
              <w:rPr>
                <w:sz w:val="20"/>
                <w:szCs w:val="20"/>
                <w:color w:val="auto"/>
              </w:rPr>
            </w:pPr>
            <w:r>
              <w:rPr>
                <w:rFonts w:ascii="Arial" w:cs="Arial" w:eastAsia="Arial" w:hAnsi="Arial"/>
                <w:sz w:val="16"/>
                <w:szCs w:val="16"/>
                <w:color w:val="auto"/>
              </w:rPr>
              <w:t>Committees:</w:t>
            </w:r>
          </w:p>
        </w:tc>
      </w:tr>
      <w:tr>
        <w:trPr>
          <w:trHeight w:val="188"/>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694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2"/>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6940" w:type="dxa"/>
            <w:vAlign w:val="bottom"/>
          </w:tcPr>
          <w:p>
            <w:pPr>
              <w:spacing w:after="0"/>
              <w:rPr>
                <w:sz w:val="19"/>
                <w:szCs w:val="19"/>
                <w:color w:val="auto"/>
              </w:rPr>
            </w:pPr>
          </w:p>
        </w:tc>
      </w:tr>
    </w:tbl>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Experience</w:t>
      </w:r>
    </w:p>
    <w:p>
      <w:pPr>
        <w:spacing w:after="0" w:line="20" w:lineRule="exact"/>
        <w:rPr>
          <w:sz w:val="20"/>
          <w:szCs w:val="20"/>
          <w:color w:val="auto"/>
        </w:rPr>
      </w:pPr>
    </w:p>
    <w:p>
      <w:pPr>
        <w:ind w:left="140" w:right="60"/>
        <w:spacing w:after="0" w:line="249" w:lineRule="auto"/>
        <w:rPr>
          <w:sz w:val="20"/>
          <w:szCs w:val="20"/>
          <w:color w:val="auto"/>
        </w:rPr>
      </w:pPr>
      <w:r>
        <w:rPr>
          <w:rFonts w:ascii="Arial" w:cs="Arial" w:eastAsia="Arial" w:hAnsi="Arial"/>
          <w:sz w:val="16"/>
          <w:szCs w:val="16"/>
          <w:color w:val="auto"/>
        </w:rPr>
        <w:t>Mr. Shaw is Chairman of the Board. He served as Vice Chairman of Marriott International, Inc.,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A70"/>
        </w:rPr>
        <w:t>Skills and Experience</w:t>
      </w:r>
    </w:p>
    <w:p>
      <w:pPr>
        <w:spacing w:after="0" w:line="20" w:lineRule="exact"/>
        <w:rPr>
          <w:sz w:val="20"/>
          <w:szCs w:val="20"/>
          <w:color w:val="auto"/>
        </w:rPr>
      </w:pPr>
    </w:p>
    <w:p>
      <w:pPr>
        <w:ind w:left="140" w:right="20"/>
        <w:spacing w:after="0" w:line="254" w:lineRule="auto"/>
        <w:rPr>
          <w:sz w:val="20"/>
          <w:szCs w:val="20"/>
          <w:color w:val="auto"/>
        </w:rPr>
      </w:pPr>
      <w:r>
        <w:rPr>
          <w:rFonts w:ascii="Arial" w:cs="Arial" w:eastAsia="Arial" w:hAnsi="Arial"/>
          <w:sz w:val="16"/>
          <w:szCs w:val="16"/>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960" w:type="dxa"/>
            <w:vAlign w:val="bottom"/>
          </w:tcPr>
          <w:p>
            <w:pPr>
              <w:ind w:left="260"/>
              <w:spacing w:after="0"/>
              <w:rPr>
                <w:sz w:val="20"/>
                <w:szCs w:val="20"/>
                <w:color w:val="auto"/>
              </w:rPr>
            </w:pPr>
            <w:r>
              <w:rPr>
                <w:rFonts w:ascii="Arial" w:cs="Arial" w:eastAsia="Arial" w:hAnsi="Arial"/>
                <w:sz w:val="13"/>
                <w:szCs w:val="13"/>
                <w:color w:val="003A70"/>
              </w:rPr>
              <w:t>Corporate</w:t>
            </w:r>
          </w:p>
        </w:tc>
        <w:tc>
          <w:tcPr>
            <w:tcW w:w="18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80" w:type="dxa"/>
            <w:vAlign w:val="bottom"/>
          </w:tcPr>
          <w:p>
            <w:pPr>
              <w:ind w:left="260"/>
              <w:spacing w:after="0"/>
              <w:rPr>
                <w:sz w:val="20"/>
                <w:szCs w:val="20"/>
                <w:color w:val="auto"/>
              </w:rPr>
            </w:pPr>
            <w:r>
              <w:rPr>
                <w:rFonts w:ascii="Arial" w:cs="Arial" w:eastAsia="Arial" w:hAnsi="Arial"/>
                <w:sz w:val="13"/>
                <w:szCs w:val="13"/>
                <w:color w:val="003A70"/>
              </w:rPr>
              <w:t>Accounting &amp;</w:t>
            </w:r>
          </w:p>
        </w:tc>
        <w:tc>
          <w:tcPr>
            <w:tcW w:w="2000" w:type="dxa"/>
            <w:vAlign w:val="bottom"/>
          </w:tcPr>
          <w:p>
            <w:pPr>
              <w:ind w:left="640"/>
              <w:spacing w:after="0"/>
              <w:rPr>
                <w:sz w:val="20"/>
                <w:szCs w:val="20"/>
                <w:color w:val="auto"/>
              </w:rPr>
            </w:pPr>
            <w:r>
              <w:rPr>
                <w:rFonts w:ascii="Arial" w:cs="Arial" w:eastAsia="Arial" w:hAnsi="Arial"/>
                <w:sz w:val="13"/>
                <w:szCs w:val="13"/>
                <w:color w:val="003A70"/>
                <w:w w:val="95"/>
              </w:rPr>
              <w:t>Business Development /</w:t>
            </w:r>
          </w:p>
        </w:tc>
      </w:tr>
      <w:tr>
        <w:trPr>
          <w:trHeight w:val="175"/>
        </w:trPr>
        <w:tc>
          <w:tcPr>
            <w:tcW w:w="320" w:type="dxa"/>
            <w:vAlign w:val="bottom"/>
          </w:tcPr>
          <w:p>
            <w:pPr>
              <w:ind w:left="40"/>
              <w:spacing w:after="0"/>
              <w:rPr>
                <w:sz w:val="20"/>
                <w:szCs w:val="20"/>
                <w:color w:val="auto"/>
              </w:rPr>
            </w:pPr>
            <w:r>
              <w:rPr>
                <w:rFonts w:ascii="Arial" w:cs="Arial" w:eastAsia="Arial" w:hAnsi="Arial"/>
                <w:sz w:val="13"/>
                <w:szCs w:val="13"/>
                <w:color w:val="auto"/>
              </w:rPr>
              <w:t> </w:t>
            </w:r>
          </w:p>
        </w:tc>
        <w:tc>
          <w:tcPr>
            <w:tcW w:w="1960" w:type="dxa"/>
            <w:vAlign w:val="bottom"/>
          </w:tcPr>
          <w:p>
            <w:pPr>
              <w:ind w:left="260"/>
              <w:spacing w:after="0"/>
              <w:rPr>
                <w:sz w:val="20"/>
                <w:szCs w:val="20"/>
                <w:color w:val="auto"/>
              </w:rPr>
            </w:pPr>
            <w:r>
              <w:rPr>
                <w:rFonts w:ascii="Arial" w:cs="Arial" w:eastAsia="Arial" w:hAnsi="Arial"/>
                <w:sz w:val="13"/>
                <w:szCs w:val="13"/>
                <w:color w:val="003A70"/>
              </w:rPr>
              <w:t>Leadership</w:t>
            </w:r>
          </w:p>
        </w:tc>
        <w:tc>
          <w:tcPr>
            <w:tcW w:w="1820" w:type="dxa"/>
            <w:vAlign w:val="bottom"/>
          </w:tcPr>
          <w:p>
            <w:pPr>
              <w:ind w:left="400"/>
              <w:spacing w:after="0"/>
              <w:rPr>
                <w:sz w:val="20"/>
                <w:szCs w:val="20"/>
                <w:color w:val="auto"/>
              </w:rPr>
            </w:pPr>
            <w:r>
              <w:rPr>
                <w:rFonts w:ascii="Arial" w:cs="Arial" w:eastAsia="Arial" w:hAnsi="Arial"/>
                <w:sz w:val="13"/>
                <w:szCs w:val="13"/>
                <w:color w:val="003A70"/>
              </w:rPr>
              <w:t>Independence</w:t>
            </w:r>
          </w:p>
        </w:tc>
        <w:tc>
          <w:tcPr>
            <w:tcW w:w="2900" w:type="dxa"/>
            <w:vAlign w:val="bottom"/>
          </w:tcPr>
          <w:p>
            <w:pPr>
              <w:ind w:left="700"/>
              <w:spacing w:after="0"/>
              <w:rPr>
                <w:sz w:val="20"/>
                <w:szCs w:val="20"/>
                <w:color w:val="auto"/>
              </w:rPr>
            </w:pPr>
            <w:r>
              <w:rPr>
                <w:rFonts w:ascii="Arial" w:cs="Arial" w:eastAsia="Arial" w:hAnsi="Arial"/>
                <w:sz w:val="13"/>
                <w:szCs w:val="13"/>
                <w:color w:val="003A70"/>
              </w:rPr>
              <w:t>Financial &amp; Capital Markets</w:t>
            </w:r>
          </w:p>
        </w:tc>
        <w:tc>
          <w:tcPr>
            <w:tcW w:w="1980" w:type="dxa"/>
            <w:vAlign w:val="bottom"/>
          </w:tcPr>
          <w:p>
            <w:pPr>
              <w:ind w:left="260"/>
              <w:spacing w:after="0"/>
              <w:rPr>
                <w:sz w:val="20"/>
                <w:szCs w:val="20"/>
                <w:color w:val="auto"/>
              </w:rPr>
            </w:pPr>
            <w:r>
              <w:rPr>
                <w:rFonts w:ascii="Arial" w:cs="Arial" w:eastAsia="Arial" w:hAnsi="Arial"/>
                <w:sz w:val="13"/>
                <w:szCs w:val="13"/>
                <w:color w:val="003A70"/>
              </w:rPr>
              <w:t>Financial Reporting</w:t>
            </w:r>
          </w:p>
        </w:tc>
        <w:tc>
          <w:tcPr>
            <w:tcW w:w="2000" w:type="dxa"/>
            <w:vAlign w:val="bottom"/>
          </w:tcPr>
          <w:p>
            <w:pPr>
              <w:ind w:left="640"/>
              <w:spacing w:after="0"/>
              <w:rPr>
                <w:sz w:val="20"/>
                <w:szCs w:val="20"/>
                <w:color w:val="auto"/>
              </w:rPr>
            </w:pPr>
            <w:r>
              <w:rPr>
                <w:rFonts w:ascii="Arial" w:cs="Arial" w:eastAsia="Arial" w:hAnsi="Arial"/>
                <w:sz w:val="13"/>
                <w:szCs w:val="13"/>
                <w:color w:val="003A70"/>
              </w:rPr>
              <w:t>Mergers &amp; Acquisitions</w:t>
            </w:r>
          </w:p>
        </w:tc>
      </w:tr>
      <w:tr>
        <w:trPr>
          <w:trHeight w:val="256"/>
        </w:trPr>
        <w:tc>
          <w:tcPr>
            <w:tcW w:w="320" w:type="dxa"/>
            <w:vAlign w:val="bottom"/>
          </w:tcPr>
          <w:p>
            <w:pPr>
              <w:spacing w:after="0"/>
              <w:rPr>
                <w:sz w:val="22"/>
                <w:szCs w:val="22"/>
                <w:color w:val="auto"/>
              </w:rPr>
            </w:pPr>
          </w:p>
        </w:tc>
        <w:tc>
          <w:tcPr>
            <w:tcW w:w="1960" w:type="dxa"/>
            <w:vAlign w:val="bottom"/>
          </w:tcPr>
          <w:p>
            <w:pPr>
              <w:ind w:left="260"/>
              <w:spacing w:after="0"/>
              <w:rPr>
                <w:sz w:val="20"/>
                <w:szCs w:val="20"/>
                <w:color w:val="auto"/>
              </w:rPr>
            </w:pPr>
            <w:r>
              <w:rPr>
                <w:rFonts w:ascii="Arial" w:cs="Arial" w:eastAsia="Arial" w:hAnsi="Arial"/>
                <w:sz w:val="13"/>
                <w:szCs w:val="13"/>
                <w:color w:val="003A70"/>
              </w:rPr>
              <w:t>Public Company Board</w:t>
            </w:r>
          </w:p>
        </w:tc>
        <w:tc>
          <w:tcPr>
            <w:tcW w:w="1820" w:type="dxa"/>
            <w:vAlign w:val="bottom"/>
          </w:tcPr>
          <w:p>
            <w:pPr>
              <w:ind w:left="400"/>
              <w:spacing w:after="0"/>
              <w:rPr>
                <w:sz w:val="20"/>
                <w:szCs w:val="20"/>
                <w:color w:val="auto"/>
              </w:rPr>
            </w:pPr>
            <w:r>
              <w:rPr>
                <w:rFonts w:ascii="Arial" w:cs="Arial" w:eastAsia="Arial" w:hAnsi="Arial"/>
                <w:sz w:val="13"/>
                <w:szCs w:val="13"/>
                <w:color w:val="003A70"/>
              </w:rPr>
              <w:t>Risk</w:t>
            </w:r>
          </w:p>
        </w:tc>
        <w:tc>
          <w:tcPr>
            <w:tcW w:w="29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00" w:type="dxa"/>
            <w:vAlign w:val="bottom"/>
          </w:tcPr>
          <w:p>
            <w:pPr>
              <w:ind w:left="640"/>
              <w:spacing w:after="0"/>
              <w:rPr>
                <w:sz w:val="20"/>
                <w:szCs w:val="20"/>
                <w:color w:val="auto"/>
              </w:rPr>
            </w:pPr>
            <w:r>
              <w:rPr>
                <w:rFonts w:ascii="Arial" w:cs="Arial" w:eastAsia="Arial" w:hAnsi="Arial"/>
                <w:sz w:val="13"/>
                <w:szCs w:val="13"/>
                <w:color w:val="003A70"/>
              </w:rPr>
              <w:t>Vacation Ownership &amp;</w:t>
            </w:r>
          </w:p>
        </w:tc>
      </w:tr>
      <w:tr>
        <w:trPr>
          <w:trHeight w:val="175"/>
        </w:trPr>
        <w:tc>
          <w:tcPr>
            <w:tcW w:w="320" w:type="dxa"/>
            <w:vAlign w:val="bottom"/>
          </w:tcPr>
          <w:p>
            <w:pPr>
              <w:spacing w:after="0"/>
              <w:rPr>
                <w:sz w:val="15"/>
                <w:szCs w:val="15"/>
                <w:color w:val="auto"/>
              </w:rPr>
            </w:pPr>
          </w:p>
        </w:tc>
        <w:tc>
          <w:tcPr>
            <w:tcW w:w="1960" w:type="dxa"/>
            <w:vAlign w:val="bottom"/>
          </w:tcPr>
          <w:p>
            <w:pPr>
              <w:ind w:left="260"/>
              <w:spacing w:after="0"/>
              <w:rPr>
                <w:sz w:val="20"/>
                <w:szCs w:val="20"/>
                <w:color w:val="auto"/>
              </w:rPr>
            </w:pPr>
            <w:r>
              <w:rPr>
                <w:rFonts w:ascii="Arial" w:cs="Arial" w:eastAsia="Arial" w:hAnsi="Arial"/>
                <w:sz w:val="13"/>
                <w:szCs w:val="13"/>
                <w:color w:val="003A70"/>
              </w:rPr>
              <w:t>Service &amp; Governance</w:t>
            </w:r>
          </w:p>
        </w:tc>
        <w:tc>
          <w:tcPr>
            <w:tcW w:w="1820" w:type="dxa"/>
            <w:vAlign w:val="bottom"/>
          </w:tcPr>
          <w:p>
            <w:pPr>
              <w:ind w:left="400"/>
              <w:spacing w:after="0"/>
              <w:rPr>
                <w:sz w:val="20"/>
                <w:szCs w:val="20"/>
                <w:color w:val="auto"/>
              </w:rPr>
            </w:pPr>
            <w:r>
              <w:rPr>
                <w:rFonts w:ascii="Arial" w:cs="Arial" w:eastAsia="Arial" w:hAnsi="Arial"/>
                <w:sz w:val="13"/>
                <w:szCs w:val="13"/>
                <w:color w:val="003A70"/>
              </w:rPr>
              <w:t>Management</w:t>
            </w:r>
          </w:p>
        </w:tc>
        <w:tc>
          <w:tcPr>
            <w:tcW w:w="2900" w:type="dxa"/>
            <w:vAlign w:val="bottom"/>
          </w:tcPr>
          <w:p>
            <w:pPr>
              <w:ind w:left="700"/>
              <w:spacing w:after="0"/>
              <w:rPr>
                <w:sz w:val="20"/>
                <w:szCs w:val="20"/>
                <w:color w:val="auto"/>
              </w:rPr>
            </w:pPr>
            <w:r>
              <w:rPr>
                <w:rFonts w:ascii="Arial" w:cs="Arial" w:eastAsia="Arial" w:hAnsi="Arial"/>
                <w:sz w:val="13"/>
                <w:szCs w:val="13"/>
                <w:color w:val="003A70"/>
              </w:rPr>
              <w:t>Strategic Planning</w:t>
            </w:r>
          </w:p>
        </w:tc>
        <w:tc>
          <w:tcPr>
            <w:tcW w:w="1980" w:type="dxa"/>
            <w:vAlign w:val="bottom"/>
          </w:tcPr>
          <w:p>
            <w:pPr>
              <w:ind w:left="260"/>
              <w:spacing w:after="0"/>
              <w:rPr>
                <w:sz w:val="20"/>
                <w:szCs w:val="20"/>
                <w:color w:val="auto"/>
              </w:rPr>
            </w:pPr>
            <w:r>
              <w:rPr>
                <w:rFonts w:ascii="Arial" w:cs="Arial" w:eastAsia="Arial" w:hAnsi="Arial"/>
                <w:sz w:val="13"/>
                <w:szCs w:val="13"/>
                <w:color w:val="003A70"/>
              </w:rPr>
              <w:t>Global Expertise</w:t>
            </w:r>
          </w:p>
        </w:tc>
        <w:tc>
          <w:tcPr>
            <w:tcW w:w="2000" w:type="dxa"/>
            <w:vAlign w:val="bottom"/>
          </w:tcPr>
          <w:p>
            <w:pPr>
              <w:ind w:left="640"/>
              <w:spacing w:after="0"/>
              <w:rPr>
                <w:sz w:val="20"/>
                <w:szCs w:val="20"/>
                <w:color w:val="auto"/>
              </w:rPr>
            </w:pPr>
            <w:r>
              <w:rPr>
                <w:rFonts w:ascii="Arial" w:cs="Arial" w:eastAsia="Arial" w:hAnsi="Arial"/>
                <w:sz w:val="13"/>
                <w:szCs w:val="13"/>
                <w:color w:val="003A70"/>
              </w:rPr>
              <w:t>Lodging Industry</w:t>
            </w:r>
          </w:p>
        </w:tc>
      </w:tr>
      <w:tr>
        <w:trPr>
          <w:trHeight w:val="305"/>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00" w:type="dxa"/>
            <w:vAlign w:val="bottom"/>
          </w:tcPr>
          <w:p>
            <w:pPr>
              <w:ind w:left="700"/>
              <w:spacing w:after="0"/>
              <w:rPr>
                <w:sz w:val="20"/>
                <w:szCs w:val="20"/>
                <w:color w:val="auto"/>
              </w:rPr>
            </w:pPr>
            <w:r>
              <w:rPr>
                <w:rFonts w:ascii="Arial" w:cs="Arial" w:eastAsia="Arial" w:hAnsi="Arial"/>
                <w:sz w:val="13"/>
                <w:szCs w:val="13"/>
                <w:color w:val="003A70"/>
              </w:rPr>
              <w:t>Human Capital, Professional</w:t>
            </w: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39"/>
        </w:trPr>
        <w:tc>
          <w:tcPr>
            <w:tcW w:w="320" w:type="dxa"/>
            <w:vAlign w:val="bottom"/>
          </w:tcPr>
          <w:p>
            <w:pPr>
              <w:spacing w:after="0"/>
              <w:rPr>
                <w:sz w:val="12"/>
                <w:szCs w:val="12"/>
                <w:color w:val="auto"/>
              </w:rPr>
            </w:pPr>
          </w:p>
        </w:tc>
        <w:tc>
          <w:tcPr>
            <w:tcW w:w="1960" w:type="dxa"/>
            <w:vAlign w:val="bottom"/>
          </w:tcPr>
          <w:p>
            <w:pPr>
              <w:ind w:left="260"/>
              <w:spacing w:after="0" w:line="139" w:lineRule="exact"/>
              <w:rPr>
                <w:sz w:val="20"/>
                <w:szCs w:val="20"/>
                <w:color w:val="auto"/>
              </w:rPr>
            </w:pPr>
            <w:r>
              <w:rPr>
                <w:rFonts w:ascii="Arial" w:cs="Arial" w:eastAsia="Arial" w:hAnsi="Arial"/>
                <w:sz w:val="13"/>
                <w:szCs w:val="13"/>
                <w:color w:val="003A70"/>
              </w:rPr>
              <w:t>Legal, Regulatory &amp;</w:t>
            </w:r>
          </w:p>
        </w:tc>
        <w:tc>
          <w:tcPr>
            <w:tcW w:w="1820" w:type="dxa"/>
            <w:vAlign w:val="bottom"/>
          </w:tcPr>
          <w:p>
            <w:pPr>
              <w:ind w:left="400"/>
              <w:spacing w:after="0" w:line="139" w:lineRule="exact"/>
              <w:rPr>
                <w:sz w:val="20"/>
                <w:szCs w:val="20"/>
                <w:color w:val="auto"/>
              </w:rPr>
            </w:pPr>
            <w:r>
              <w:rPr>
                <w:rFonts w:ascii="Arial" w:cs="Arial" w:eastAsia="Arial" w:hAnsi="Arial"/>
                <w:sz w:val="13"/>
                <w:szCs w:val="13"/>
                <w:color w:val="003A70"/>
              </w:rPr>
              <w:t>Real Estate &amp;</w:t>
            </w:r>
          </w:p>
        </w:tc>
        <w:tc>
          <w:tcPr>
            <w:tcW w:w="2900" w:type="dxa"/>
            <w:vAlign w:val="bottom"/>
          </w:tcPr>
          <w:p>
            <w:pPr>
              <w:ind w:left="700"/>
              <w:spacing w:after="0" w:line="139" w:lineRule="exact"/>
              <w:rPr>
                <w:sz w:val="20"/>
                <w:szCs w:val="20"/>
                <w:color w:val="auto"/>
              </w:rPr>
            </w:pPr>
            <w:r>
              <w:rPr>
                <w:rFonts w:ascii="Arial" w:cs="Arial" w:eastAsia="Arial" w:hAnsi="Arial"/>
                <w:sz w:val="13"/>
                <w:szCs w:val="13"/>
                <w:color w:val="003A70"/>
              </w:rPr>
              <w:t>Development &amp;</w:t>
            </w:r>
          </w:p>
        </w:tc>
        <w:tc>
          <w:tcPr>
            <w:tcW w:w="1980" w:type="dxa"/>
            <w:vAlign w:val="bottom"/>
          </w:tcPr>
          <w:p>
            <w:pPr>
              <w:ind w:left="260"/>
              <w:spacing w:after="0" w:line="139" w:lineRule="exact"/>
              <w:rPr>
                <w:sz w:val="20"/>
                <w:szCs w:val="20"/>
                <w:color w:val="auto"/>
              </w:rPr>
            </w:pPr>
            <w:r>
              <w:rPr>
                <w:rFonts w:ascii="Arial" w:cs="Arial" w:eastAsia="Arial" w:hAnsi="Arial"/>
                <w:sz w:val="13"/>
                <w:szCs w:val="13"/>
                <w:color w:val="003A70"/>
              </w:rPr>
              <w:t>Technology &amp;</w:t>
            </w:r>
          </w:p>
        </w:tc>
        <w:tc>
          <w:tcPr>
            <w:tcW w:w="2000" w:type="dxa"/>
            <w:vAlign w:val="bottom"/>
          </w:tcPr>
          <w:p>
            <w:pPr>
              <w:spacing w:after="0"/>
              <w:rPr>
                <w:sz w:val="12"/>
                <w:szCs w:val="12"/>
                <w:color w:val="auto"/>
              </w:rPr>
            </w:pPr>
          </w:p>
        </w:tc>
      </w:tr>
      <w:tr>
        <w:trPr>
          <w:trHeight w:val="175"/>
        </w:trPr>
        <w:tc>
          <w:tcPr>
            <w:tcW w:w="320" w:type="dxa"/>
            <w:vAlign w:val="bottom"/>
          </w:tcPr>
          <w:p>
            <w:pPr>
              <w:spacing w:after="0"/>
              <w:rPr>
                <w:sz w:val="15"/>
                <w:szCs w:val="15"/>
                <w:color w:val="auto"/>
              </w:rPr>
            </w:pPr>
          </w:p>
        </w:tc>
        <w:tc>
          <w:tcPr>
            <w:tcW w:w="1960" w:type="dxa"/>
            <w:vAlign w:val="bottom"/>
          </w:tcPr>
          <w:p>
            <w:pPr>
              <w:ind w:left="260"/>
              <w:spacing w:after="0"/>
              <w:rPr>
                <w:sz w:val="20"/>
                <w:szCs w:val="20"/>
                <w:color w:val="auto"/>
              </w:rPr>
            </w:pPr>
            <w:r>
              <w:rPr>
                <w:rFonts w:ascii="Arial" w:cs="Arial" w:eastAsia="Arial" w:hAnsi="Arial"/>
                <w:sz w:val="13"/>
                <w:szCs w:val="13"/>
                <w:color w:val="003A70"/>
              </w:rPr>
              <w:t>Government Relations</w:t>
            </w:r>
          </w:p>
        </w:tc>
        <w:tc>
          <w:tcPr>
            <w:tcW w:w="1820" w:type="dxa"/>
            <w:vAlign w:val="bottom"/>
          </w:tcPr>
          <w:p>
            <w:pPr>
              <w:ind w:left="400"/>
              <w:spacing w:after="0"/>
              <w:rPr>
                <w:sz w:val="20"/>
                <w:szCs w:val="20"/>
                <w:color w:val="auto"/>
              </w:rPr>
            </w:pPr>
            <w:r>
              <w:rPr>
                <w:rFonts w:ascii="Arial" w:cs="Arial" w:eastAsia="Arial" w:hAnsi="Arial"/>
                <w:sz w:val="13"/>
                <w:szCs w:val="13"/>
                <w:color w:val="003A70"/>
              </w:rPr>
              <w:t>Business Development</w:t>
            </w:r>
          </w:p>
        </w:tc>
        <w:tc>
          <w:tcPr>
            <w:tcW w:w="2900" w:type="dxa"/>
            <w:vAlign w:val="bottom"/>
          </w:tcPr>
          <w:p>
            <w:pPr>
              <w:ind w:left="700"/>
              <w:spacing w:after="0"/>
              <w:rPr>
                <w:sz w:val="20"/>
                <w:szCs w:val="20"/>
                <w:color w:val="auto"/>
              </w:rPr>
            </w:pPr>
            <w:r>
              <w:rPr>
                <w:rFonts w:ascii="Arial" w:cs="Arial" w:eastAsia="Arial" w:hAnsi="Arial"/>
                <w:sz w:val="13"/>
                <w:szCs w:val="13"/>
                <w:color w:val="003A70"/>
              </w:rPr>
              <w:t>Organizational Culture</w:t>
            </w:r>
          </w:p>
        </w:tc>
        <w:tc>
          <w:tcPr>
            <w:tcW w:w="1980" w:type="dxa"/>
            <w:vAlign w:val="bottom"/>
          </w:tcPr>
          <w:p>
            <w:pPr>
              <w:ind w:left="260"/>
              <w:spacing w:after="0"/>
              <w:rPr>
                <w:sz w:val="20"/>
                <w:szCs w:val="20"/>
                <w:color w:val="auto"/>
              </w:rPr>
            </w:pPr>
            <w:r>
              <w:rPr>
                <w:rFonts w:ascii="Arial" w:cs="Arial" w:eastAsia="Arial" w:hAnsi="Arial"/>
                <w:sz w:val="13"/>
                <w:szCs w:val="13"/>
                <w:color w:val="003A70"/>
              </w:rPr>
              <w:t>Cybersecurity</w:t>
            </w:r>
          </w:p>
        </w:tc>
        <w:tc>
          <w:tcPr>
            <w:tcW w:w="2000" w:type="dxa"/>
            <w:vAlign w:val="bottom"/>
          </w:tcPr>
          <w:p>
            <w:pPr>
              <w:spacing w:after="0"/>
              <w:rPr>
                <w:sz w:val="15"/>
                <w:szCs w:val="15"/>
                <w:color w:val="auto"/>
              </w:rPr>
            </w:pPr>
          </w:p>
        </w:tc>
      </w:tr>
      <w:tr>
        <w:trPr>
          <w:trHeight w:val="256"/>
        </w:trPr>
        <w:tc>
          <w:tcPr>
            <w:tcW w:w="41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p>
        </w:tc>
        <w:tc>
          <w:tcPr>
            <w:tcW w:w="2900" w:type="dxa"/>
            <w:vAlign w:val="bottom"/>
            <w:tcBorders>
              <w:bottom w:val="single" w:sz="8" w:color="003A70"/>
            </w:tcBorders>
          </w:tcPr>
          <w:p>
            <w:pPr>
              <w:ind w:left="140"/>
              <w:spacing w:after="0"/>
              <w:rPr>
                <w:sz w:val="20"/>
                <w:szCs w:val="20"/>
                <w:color w:val="auto"/>
              </w:rPr>
            </w:pPr>
            <w:r>
              <w:rPr>
                <w:rFonts w:ascii="Arial" w:cs="Arial" w:eastAsia="Arial" w:hAnsi="Arial"/>
                <w:sz w:val="11"/>
                <w:szCs w:val="11"/>
                <w:color w:val="auto"/>
              </w:rPr>
              <w:t>Report on the Board of Directors and its Committees</w:t>
            </w:r>
          </w:p>
        </w:tc>
        <w:tc>
          <w:tcPr>
            <w:tcW w:w="1980" w:type="dxa"/>
            <w:vAlign w:val="bottom"/>
            <w:tcBorders>
              <w:bottom w:val="single" w:sz="8" w:color="003A70"/>
            </w:tcBorders>
          </w:tcPr>
          <w:p>
            <w:pPr>
              <w:spacing w:after="0"/>
              <w:rPr>
                <w:sz w:val="22"/>
                <w:szCs w:val="22"/>
                <w:color w:val="auto"/>
              </w:rPr>
            </w:pPr>
          </w:p>
        </w:tc>
        <w:tc>
          <w:tcPr>
            <w:tcW w:w="2000" w:type="dxa"/>
            <w:vAlign w:val="bottom"/>
            <w:tcBorders>
              <w:bottom w:val="single" w:sz="8" w:color="003A70"/>
            </w:tcBorders>
          </w:tcPr>
          <w:p>
            <w:pPr>
              <w:ind w:left="1880"/>
              <w:spacing w:after="0"/>
              <w:rPr>
                <w:sz w:val="20"/>
                <w:szCs w:val="20"/>
                <w:color w:val="auto"/>
              </w:rPr>
            </w:pPr>
            <w:r>
              <w:rPr>
                <w:rFonts w:ascii="Arial" w:cs="Arial" w:eastAsia="Arial" w:hAnsi="Arial"/>
                <w:sz w:val="11"/>
                <w:szCs w:val="11"/>
                <w:b w:val="1"/>
                <w:bCs w:val="1"/>
                <w:color w:val="003A70"/>
                <w:w w:val="81"/>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-1007110</wp:posOffset>
            </wp:positionV>
            <wp:extent cx="102235" cy="136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-981710</wp:posOffset>
            </wp:positionV>
            <wp:extent cx="162560" cy="136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-981710</wp:posOffset>
            </wp:positionV>
            <wp:extent cx="162560" cy="136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-981710</wp:posOffset>
            </wp:positionV>
            <wp:extent cx="136525" cy="136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5864860</wp:posOffset>
            </wp:positionH>
            <wp:positionV relativeFrom="paragraph">
              <wp:posOffset>-981710</wp:posOffset>
            </wp:positionV>
            <wp:extent cx="153670" cy="1365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3670" cy="13652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-716915</wp:posOffset>
            </wp:positionV>
            <wp:extent cx="162560" cy="136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-708660</wp:posOffset>
            </wp:positionV>
            <wp:extent cx="136525" cy="1365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-708660</wp:posOffset>
            </wp:positionV>
            <wp:extent cx="145415" cy="136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-708660</wp:posOffset>
            </wp:positionV>
            <wp:extent cx="145415" cy="136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-716915</wp:posOffset>
            </wp:positionV>
            <wp:extent cx="128270" cy="136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-323850</wp:posOffset>
            </wp:positionV>
            <wp:extent cx="136525" cy="1365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1482725</wp:posOffset>
            </wp:positionH>
            <wp:positionV relativeFrom="paragraph">
              <wp:posOffset>-315595</wp:posOffset>
            </wp:positionV>
            <wp:extent cx="145415" cy="136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-332740</wp:posOffset>
            </wp:positionV>
            <wp:extent cx="145415" cy="136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-315595</wp:posOffset>
            </wp:positionV>
            <wp:extent cx="136525" cy="1365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SUMMARY OF DIRECTOR ATTRIBUTES AND SKILLS AS OF THE ANNUAL MEETING</w:t>
      </w:r>
    </w:p>
    <w:p>
      <w:pPr>
        <w:spacing w:after="0" w:line="111" w:lineRule="exact"/>
        <w:rPr>
          <w:sz w:val="20"/>
          <w:szCs w:val="20"/>
          <w:color w:val="auto"/>
        </w:rPr>
      </w:pPr>
    </w:p>
    <w:p>
      <w:pPr>
        <w:ind w:left="140" w:right="200"/>
        <w:spacing w:after="0" w:line="265" w:lineRule="auto"/>
        <w:rPr>
          <w:sz w:val="20"/>
          <w:szCs w:val="20"/>
          <w:color w:val="auto"/>
        </w:rPr>
      </w:pPr>
      <w:r>
        <w:rPr>
          <w:rFonts w:ascii="Arial" w:cs="Arial" w:eastAsia="Arial" w:hAnsi="Arial"/>
          <w:sz w:val="16"/>
          <w:szCs w:val="16"/>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3900" w:type="dxa"/>
            <w:vAlign w:val="bottom"/>
            <w:tcBorders>
              <w:bottom w:val="single" w:sz="8" w:color="003A70"/>
            </w:tcBorders>
          </w:tcPr>
          <w:p>
            <w:pPr>
              <w:ind w:left="100"/>
              <w:spacing w:after="0"/>
              <w:rPr>
                <w:sz w:val="20"/>
                <w:szCs w:val="20"/>
                <w:color w:val="auto"/>
              </w:rPr>
            </w:pPr>
            <w:r>
              <w:rPr>
                <w:rFonts w:ascii="Arial" w:cs="Arial" w:eastAsia="Arial" w:hAnsi="Arial"/>
                <w:sz w:val="14"/>
                <w:szCs w:val="14"/>
                <w:b w:val="1"/>
                <w:bCs w:val="1"/>
                <w:color w:val="003A70"/>
              </w:rPr>
              <w:t xml:space="preserve">   </w:t>
            </w:r>
          </w:p>
        </w:tc>
        <w:tc>
          <w:tcPr>
            <w:tcW w:w="5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Shaw</w:t>
            </w:r>
          </w:p>
        </w:tc>
        <w:tc>
          <w:tcPr>
            <w:tcW w:w="7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Andrews</w:t>
            </w:r>
          </w:p>
        </w:tc>
        <w:tc>
          <w:tcPr>
            <w:tcW w:w="4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Avril</w:t>
            </w:r>
          </w:p>
        </w:tc>
        <w:tc>
          <w:tcPr>
            <w:tcW w:w="6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Dausch</w:t>
            </w:r>
          </w:p>
        </w:tc>
        <w:tc>
          <w:tcPr>
            <w:tcW w:w="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Galbreath</w:t>
            </w: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Galligan</w:t>
            </w:r>
          </w:p>
        </w:tc>
        <w:tc>
          <w:tcPr>
            <w:tcW w:w="5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Geller</w:t>
            </w:r>
          </w:p>
        </w:tc>
        <w:tc>
          <w:tcPr>
            <w:tcW w:w="4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Gray</w:t>
            </w:r>
          </w:p>
        </w:tc>
        <w:tc>
          <w:tcPr>
            <w:tcW w:w="8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McCarten</w:t>
            </w:r>
          </w:p>
        </w:tc>
        <w:tc>
          <w:tcPr>
            <w:tcW w:w="6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Morgan</w:t>
            </w:r>
          </w:p>
        </w:tc>
        <w:tc>
          <w:tcPr>
            <w:tcW w:w="5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Quazzo</w:t>
            </w:r>
          </w:p>
        </w:tc>
        <w:tc>
          <w:tcPr>
            <w:tcW w:w="0" w:type="dxa"/>
            <w:vAlign w:val="bottom"/>
          </w:tcPr>
          <w:p>
            <w:pPr>
              <w:spacing w:after="0"/>
              <w:rPr>
                <w:sz w:val="1"/>
                <w:szCs w:val="1"/>
                <w:color w:val="auto"/>
              </w:rPr>
            </w:pPr>
          </w:p>
        </w:tc>
      </w:tr>
      <w:tr>
        <w:trPr>
          <w:trHeight w:val="152"/>
        </w:trPr>
        <w:tc>
          <w:tcPr>
            <w:tcW w:w="3900" w:type="dxa"/>
            <w:vAlign w:val="bottom"/>
          </w:tcPr>
          <w:p>
            <w:pPr>
              <w:ind w:left="620"/>
              <w:spacing w:after="0" w:line="152" w:lineRule="exact"/>
              <w:rPr>
                <w:sz w:val="20"/>
                <w:szCs w:val="20"/>
                <w:color w:val="auto"/>
              </w:rPr>
            </w:pPr>
            <w:r>
              <w:rPr>
                <w:rFonts w:ascii="Arial" w:cs="Arial" w:eastAsia="Arial" w:hAnsi="Arial"/>
                <w:sz w:val="14"/>
                <w:szCs w:val="14"/>
                <w:b w:val="1"/>
                <w:bCs w:val="1"/>
                <w:color w:val="003A70"/>
              </w:rPr>
              <w:t xml:space="preserve">Corporate Leadership </w:t>
            </w:r>
            <w:r>
              <w:rPr>
                <w:rFonts w:ascii="Arial" w:cs="Arial" w:eastAsia="Arial" w:hAnsi="Arial"/>
                <w:sz w:val="14"/>
                <w:szCs w:val="14"/>
                <w:color w:val="000000"/>
              </w:rPr>
              <w:t>is important because</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directors with experience running public</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companies, private companies or other large</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organizations typically possess strong leadership</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qualities.</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Independence </w:t>
            </w:r>
            <w:r>
              <w:rPr>
                <w:rFonts w:ascii="Arial" w:cs="Arial" w:eastAsia="Arial" w:hAnsi="Arial"/>
                <w:sz w:val="14"/>
                <w:szCs w:val="14"/>
                <w:color w:val="000000"/>
              </w:rPr>
              <w:t>satisfies the independence</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requirement of the NYSE and our Corporate</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Governance Guidelines.</w:t>
            </w:r>
          </w:p>
        </w:tc>
        <w:tc>
          <w:tcPr>
            <w:tcW w:w="56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Diversity </w:t>
            </w:r>
            <w:r>
              <w:rPr>
                <w:rFonts w:ascii="Arial" w:cs="Arial" w:eastAsia="Arial" w:hAnsi="Arial"/>
                <w:sz w:val="14"/>
                <w:szCs w:val="14"/>
                <w:color w:val="000000"/>
              </w:rPr>
              <w:t>adds perspective through diversity in,</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tcPr>
          <w:p>
            <w:pPr>
              <w:spacing w:after="0"/>
              <w:rPr>
                <w:sz w:val="12"/>
                <w:szCs w:val="12"/>
                <w:color w:val="auto"/>
              </w:rPr>
            </w:pP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among other areas, backgrounds, perspectives</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and experiences.</w:t>
            </w:r>
          </w:p>
        </w:tc>
        <w:tc>
          <w:tcPr>
            <w:tcW w:w="5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Financial &amp; Capital Markets </w:t>
            </w:r>
            <w:r>
              <w:rPr>
                <w:rFonts w:ascii="Arial" w:cs="Arial" w:eastAsia="Arial" w:hAnsi="Arial"/>
                <w:sz w:val="14"/>
                <w:szCs w:val="14"/>
                <w:color w:val="000000"/>
              </w:rPr>
              <w:t>experience helps</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tcPr>
          <w:p>
            <w:pPr>
              <w:spacing w:after="0"/>
              <w:rPr>
                <w:sz w:val="12"/>
                <w:szCs w:val="12"/>
                <w:color w:val="auto"/>
              </w:rPr>
            </w:pP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Board members advise on our capital structure</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and financing and investing activities.</w:t>
            </w:r>
          </w:p>
        </w:tc>
        <w:tc>
          <w:tcPr>
            <w:tcW w:w="56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620"/>
              <w:spacing w:after="0" w:line="159" w:lineRule="exact"/>
              <w:rPr>
                <w:sz w:val="20"/>
                <w:szCs w:val="20"/>
                <w:color w:val="auto"/>
              </w:rPr>
            </w:pPr>
            <w:r>
              <w:rPr>
                <w:rFonts w:ascii="Arial" w:cs="Arial" w:eastAsia="Arial" w:hAnsi="Arial"/>
                <w:sz w:val="14"/>
                <w:szCs w:val="14"/>
                <w:b w:val="1"/>
                <w:bCs w:val="1"/>
                <w:color w:val="003A70"/>
              </w:rPr>
              <w:t xml:space="preserve">Accounting &amp; Financial Reporting </w:t>
            </w:r>
            <w:r>
              <w:rPr>
                <w:rFonts w:ascii="Arial" w:cs="Arial" w:eastAsia="Arial" w:hAnsi="Arial"/>
                <w:sz w:val="14"/>
                <w:szCs w:val="14"/>
                <w:color w:val="000000"/>
              </w:rPr>
              <w:t>experience is</w:t>
            </w: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7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tcPr>
          <w:p>
            <w:pPr>
              <w:spacing w:after="0"/>
              <w:rPr>
                <w:sz w:val="13"/>
                <w:szCs w:val="13"/>
                <w:color w:val="auto"/>
              </w:rPr>
            </w:pPr>
          </w:p>
        </w:tc>
        <w:tc>
          <w:tcPr>
            <w:tcW w:w="8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tcPr>
          <w:p>
            <w:pPr>
              <w:spacing w:after="0"/>
              <w:rPr>
                <w:sz w:val="13"/>
                <w:szCs w:val="13"/>
                <w:color w:val="auto"/>
              </w:rPr>
            </w:pP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0" w:type="dxa"/>
            <w:vAlign w:val="bottom"/>
          </w:tcPr>
          <w:p>
            <w:pPr>
              <w:spacing w:after="0"/>
              <w:rPr>
                <w:sz w:val="1"/>
                <w:szCs w:val="1"/>
                <w:color w:val="auto"/>
              </w:rPr>
            </w:pPr>
          </w:p>
        </w:tc>
      </w:tr>
      <w:tr>
        <w:trPr>
          <w:trHeight w:val="0"/>
        </w:trPr>
        <w:tc>
          <w:tcPr>
            <w:tcW w:w="3900" w:type="dxa"/>
            <w:vAlign w:val="bottom"/>
          </w:tcPr>
          <w:p>
            <w:pPr>
              <w:ind w:left="620"/>
              <w:spacing w:after="0" w:line="1" w:lineRule="exact"/>
              <w:rPr>
                <w:sz w:val="20"/>
                <w:szCs w:val="20"/>
                <w:color w:val="auto"/>
              </w:rPr>
            </w:pPr>
            <w:r>
              <w:rPr>
                <w:rFonts w:ascii="Arial" w:cs="Arial" w:eastAsia="Arial" w:hAnsi="Arial"/>
                <w:sz w:val="1"/>
                <w:szCs w:val="1"/>
                <w:color w:val="auto"/>
              </w:rPr>
              <w:t>accuracy.</w:t>
            </w:r>
          </w:p>
        </w:tc>
        <w:tc>
          <w:tcPr>
            <w:tcW w:w="5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tcPr>
          <w:p>
            <w:pPr>
              <w:ind w:left="620"/>
              <w:spacing w:after="0" w:line="147" w:lineRule="exact"/>
              <w:rPr>
                <w:sz w:val="20"/>
                <w:szCs w:val="20"/>
                <w:color w:val="auto"/>
              </w:rPr>
            </w:pPr>
            <w:r>
              <w:rPr>
                <w:rFonts w:ascii="Arial" w:cs="Arial" w:eastAsia="Arial" w:hAnsi="Arial"/>
                <w:sz w:val="14"/>
                <w:szCs w:val="14"/>
                <w:color w:val="auto"/>
              </w:rPr>
              <w:t>important in overseeing our financial reporting and</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620"/>
              <w:spacing w:after="0"/>
              <w:rPr>
                <w:sz w:val="20"/>
                <w:szCs w:val="20"/>
                <w:color w:val="auto"/>
              </w:rPr>
            </w:pPr>
            <w:r>
              <w:rPr>
                <w:rFonts w:ascii="Arial" w:cs="Arial" w:eastAsia="Arial" w:hAnsi="Arial"/>
                <w:sz w:val="14"/>
                <w:szCs w:val="14"/>
                <w:color w:val="auto"/>
              </w:rPr>
              <w:t>internal controls to assure transparency and</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620"/>
              <w:spacing w:after="0" w:line="159" w:lineRule="exact"/>
              <w:rPr>
                <w:sz w:val="20"/>
                <w:szCs w:val="20"/>
                <w:color w:val="auto"/>
              </w:rPr>
            </w:pPr>
            <w:r>
              <w:rPr>
                <w:rFonts w:ascii="Arial" w:cs="Arial" w:eastAsia="Arial" w:hAnsi="Arial"/>
                <w:sz w:val="14"/>
                <w:szCs w:val="14"/>
                <w:b w:val="1"/>
                <w:bCs w:val="1"/>
                <w:color w:val="003A70"/>
              </w:rPr>
              <w:t>Business Development / Mergers &amp;</w:t>
            </w: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7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82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740" w:type="dxa"/>
            <w:vAlign w:val="bottom"/>
          </w:tcPr>
          <w:p>
            <w:pPr>
              <w:spacing w:after="0"/>
              <w:rPr>
                <w:sz w:val="13"/>
                <w:szCs w:val="13"/>
                <w:color w:val="auto"/>
              </w:rPr>
            </w:pP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tcPr>
          <w:p>
            <w:pPr>
              <w:spacing w:after="0"/>
              <w:rPr>
                <w:sz w:val="13"/>
                <w:szCs w:val="13"/>
                <w:color w:val="auto"/>
              </w:rPr>
            </w:pPr>
          </w:p>
        </w:tc>
        <w:tc>
          <w:tcPr>
            <w:tcW w:w="8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tcPr>
          <w:p>
            <w:pPr>
              <w:spacing w:after="0"/>
              <w:rPr>
                <w:sz w:val="13"/>
                <w:szCs w:val="13"/>
                <w:color w:val="auto"/>
              </w:rPr>
            </w:pP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0" w:type="dxa"/>
            <w:vAlign w:val="bottom"/>
          </w:tcPr>
          <w:p>
            <w:pPr>
              <w:spacing w:after="0"/>
              <w:rPr>
                <w:sz w:val="1"/>
                <w:szCs w:val="1"/>
                <w:color w:val="auto"/>
              </w:rPr>
            </w:pPr>
          </w:p>
        </w:tc>
      </w:tr>
      <w:tr>
        <w:trPr>
          <w:trHeight w:val="0"/>
        </w:trPr>
        <w:tc>
          <w:tcPr>
            <w:tcW w:w="3900" w:type="dxa"/>
            <w:vAlign w:val="bottom"/>
          </w:tcPr>
          <w:p>
            <w:pPr>
              <w:ind w:left="620"/>
              <w:spacing w:after="0" w:line="1" w:lineRule="exact"/>
              <w:rPr>
                <w:sz w:val="20"/>
                <w:szCs w:val="20"/>
                <w:color w:val="auto"/>
              </w:rPr>
            </w:pPr>
            <w:r>
              <w:rPr>
                <w:rFonts w:ascii="Arial" w:cs="Arial" w:eastAsia="Arial" w:hAnsi="Arial"/>
                <w:sz w:val="1"/>
                <w:szCs w:val="1"/>
                <w:color w:val="auto"/>
              </w:rPr>
              <w:t>opportunities.</w:t>
            </w:r>
          </w:p>
        </w:tc>
        <w:tc>
          <w:tcPr>
            <w:tcW w:w="5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tcPr>
          <w:p>
            <w:pPr>
              <w:ind w:left="620"/>
              <w:spacing w:after="0" w:line="147" w:lineRule="exact"/>
              <w:rPr>
                <w:sz w:val="20"/>
                <w:szCs w:val="20"/>
                <w:color w:val="auto"/>
              </w:rPr>
            </w:pPr>
            <w:r>
              <w:rPr>
                <w:rFonts w:ascii="Arial" w:cs="Arial" w:eastAsia="Arial" w:hAnsi="Arial"/>
                <w:sz w:val="14"/>
                <w:szCs w:val="14"/>
                <w:b w:val="1"/>
                <w:bCs w:val="1"/>
                <w:color w:val="003A70"/>
              </w:rPr>
              <w:t xml:space="preserve">Acquisitions </w:t>
            </w:r>
            <w:r>
              <w:rPr>
                <w:rFonts w:ascii="Arial" w:cs="Arial" w:eastAsia="Arial" w:hAnsi="Arial"/>
                <w:sz w:val="14"/>
                <w:szCs w:val="14"/>
                <w:color w:val="000000"/>
              </w:rPr>
              <w:t>experience supports our goal of</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620"/>
              <w:spacing w:after="0"/>
              <w:rPr>
                <w:sz w:val="20"/>
                <w:szCs w:val="20"/>
                <w:color w:val="auto"/>
              </w:rPr>
            </w:pPr>
            <w:r>
              <w:rPr>
                <w:rFonts w:ascii="Arial" w:cs="Arial" w:eastAsia="Arial" w:hAnsi="Arial"/>
                <w:sz w:val="14"/>
                <w:szCs w:val="14"/>
                <w:color w:val="auto"/>
              </w:rPr>
              <w:t>selectively pursuing compelling new business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620"/>
              <w:spacing w:after="0" w:line="159" w:lineRule="exact"/>
              <w:rPr>
                <w:sz w:val="20"/>
                <w:szCs w:val="20"/>
                <w:color w:val="auto"/>
              </w:rPr>
            </w:pPr>
            <w:r>
              <w:rPr>
                <w:rFonts w:ascii="Arial" w:cs="Arial" w:eastAsia="Arial" w:hAnsi="Arial"/>
                <w:sz w:val="14"/>
                <w:szCs w:val="14"/>
                <w:b w:val="1"/>
                <w:bCs w:val="1"/>
                <w:color w:val="003A70"/>
              </w:rPr>
              <w:t>Public Company Board Service &amp; Governance</w:t>
            </w: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7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tcPr>
          <w:p>
            <w:pPr>
              <w:spacing w:after="0"/>
              <w:rPr>
                <w:sz w:val="13"/>
                <w:szCs w:val="13"/>
                <w:color w:val="auto"/>
              </w:rPr>
            </w:pPr>
          </w:p>
        </w:tc>
        <w:tc>
          <w:tcPr>
            <w:tcW w:w="82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740" w:type="dxa"/>
            <w:vAlign w:val="bottom"/>
          </w:tcPr>
          <w:p>
            <w:pPr>
              <w:spacing w:after="0"/>
              <w:rPr>
                <w:sz w:val="13"/>
                <w:szCs w:val="13"/>
                <w:color w:val="auto"/>
              </w:rPr>
            </w:pP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8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6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5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003A70"/>
              </w:rPr>
              <w:t>•</w:t>
            </w:r>
          </w:p>
        </w:tc>
        <w:tc>
          <w:tcPr>
            <w:tcW w:w="0" w:type="dxa"/>
            <w:vAlign w:val="bottom"/>
          </w:tcPr>
          <w:p>
            <w:pPr>
              <w:spacing w:after="0"/>
              <w:rPr>
                <w:sz w:val="1"/>
                <w:szCs w:val="1"/>
                <w:color w:val="auto"/>
              </w:rPr>
            </w:pPr>
          </w:p>
        </w:tc>
      </w:tr>
      <w:tr>
        <w:trPr>
          <w:trHeight w:val="0"/>
        </w:trPr>
        <w:tc>
          <w:tcPr>
            <w:tcW w:w="3900" w:type="dxa"/>
            <w:vAlign w:val="bottom"/>
          </w:tcPr>
          <w:p>
            <w:pPr>
              <w:ind w:left="620"/>
              <w:spacing w:after="0" w:line="1" w:lineRule="exact"/>
              <w:rPr>
                <w:sz w:val="20"/>
                <w:szCs w:val="20"/>
                <w:color w:val="auto"/>
              </w:rPr>
            </w:pPr>
            <w:r>
              <w:rPr>
                <w:rFonts w:ascii="Arial" w:cs="Arial" w:eastAsia="Arial" w:hAnsi="Arial"/>
                <w:sz w:val="1"/>
                <w:szCs w:val="1"/>
                <w:color w:val="auto"/>
              </w:rPr>
              <w:t>interests.</w:t>
            </w:r>
          </w:p>
        </w:tc>
        <w:tc>
          <w:tcPr>
            <w:tcW w:w="5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tcPr>
          <w:p>
            <w:pPr>
              <w:ind w:left="620"/>
              <w:spacing w:after="0" w:line="147" w:lineRule="exact"/>
              <w:rPr>
                <w:sz w:val="20"/>
                <w:szCs w:val="20"/>
                <w:color w:val="auto"/>
              </w:rPr>
            </w:pPr>
            <w:r>
              <w:rPr>
                <w:rFonts w:ascii="Arial" w:cs="Arial" w:eastAsia="Arial" w:hAnsi="Arial"/>
                <w:sz w:val="14"/>
                <w:szCs w:val="14"/>
                <w:color w:val="auto"/>
              </w:rPr>
              <w:t>experience supports our goals of accountability,</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620"/>
              <w:spacing w:after="0"/>
              <w:rPr>
                <w:sz w:val="20"/>
                <w:szCs w:val="20"/>
                <w:color w:val="auto"/>
              </w:rPr>
            </w:pPr>
            <w:r>
              <w:rPr>
                <w:rFonts w:ascii="Arial" w:cs="Arial" w:eastAsia="Arial" w:hAnsi="Arial"/>
                <w:sz w:val="14"/>
                <w:szCs w:val="14"/>
                <w:color w:val="auto"/>
              </w:rPr>
              <w:t>transparency and protection of stockholder</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Risk Management </w:t>
            </w:r>
            <w:r>
              <w:rPr>
                <w:rFonts w:ascii="Arial" w:cs="Arial" w:eastAsia="Arial" w:hAnsi="Arial"/>
                <w:sz w:val="14"/>
                <w:szCs w:val="14"/>
                <w:color w:val="000000"/>
              </w:rPr>
              <w:t>experience supports oversight</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tcPr>
          <w:p>
            <w:pPr>
              <w:spacing w:after="0"/>
              <w:rPr>
                <w:sz w:val="12"/>
                <w:szCs w:val="12"/>
                <w:color w:val="auto"/>
              </w:rPr>
            </w:pP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of our processes for assessing and managing risk.</w:t>
            </w:r>
          </w:p>
        </w:tc>
        <w:tc>
          <w:tcPr>
            <w:tcW w:w="5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Strategic Planning </w:t>
            </w:r>
            <w:r>
              <w:rPr>
                <w:rFonts w:ascii="Arial" w:cs="Arial" w:eastAsia="Arial" w:hAnsi="Arial"/>
                <w:sz w:val="14"/>
                <w:szCs w:val="14"/>
                <w:color w:val="000000"/>
              </w:rPr>
              <w:t>experience allows the Board</w:t>
            </w:r>
          </w:p>
        </w:tc>
        <w:tc>
          <w:tcPr>
            <w:tcW w:w="56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76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48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66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82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740" w:type="dxa"/>
            <w:vAlign w:val="bottom"/>
          </w:tcPr>
          <w:p>
            <w:pPr>
              <w:spacing w:after="0"/>
              <w:rPr>
                <w:sz w:val="12"/>
                <w:szCs w:val="12"/>
                <w:color w:val="auto"/>
              </w:rPr>
            </w:pPr>
          </w:p>
        </w:tc>
        <w:tc>
          <w:tcPr>
            <w:tcW w:w="56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48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80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660" w:type="dxa"/>
            <w:vAlign w:val="bottom"/>
            <w:vMerge w:val="restart"/>
          </w:tcPr>
          <w:p>
            <w:pPr>
              <w:jc w:val="center"/>
              <w:spacing w:after="0" w:line="290" w:lineRule="exact"/>
              <w:rPr>
                <w:sz w:val="20"/>
                <w:szCs w:val="20"/>
                <w:color w:val="auto"/>
              </w:rPr>
            </w:pPr>
            <w:r>
              <w:rPr>
                <w:rFonts w:ascii="Times New Roman" w:cs="Times New Roman" w:eastAsia="Times New Roman" w:hAnsi="Times New Roman"/>
                <w:sz w:val="33"/>
                <w:szCs w:val="33"/>
                <w:color w:val="003A70"/>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vMerge w:val="restart"/>
          </w:tcPr>
          <w:p>
            <w:pPr>
              <w:ind w:left="620"/>
              <w:spacing w:after="0"/>
              <w:rPr>
                <w:sz w:val="20"/>
                <w:szCs w:val="20"/>
                <w:color w:val="auto"/>
              </w:rPr>
            </w:pPr>
            <w:r>
              <w:rPr>
                <w:rFonts w:ascii="Arial" w:cs="Arial" w:eastAsia="Arial" w:hAnsi="Arial"/>
                <w:sz w:val="14"/>
                <w:szCs w:val="14"/>
                <w:color w:val="auto"/>
              </w:rPr>
              <w:t>to evaluate and challenge our strategic plans.</w:t>
            </w:r>
          </w:p>
        </w:tc>
        <w:tc>
          <w:tcPr>
            <w:tcW w:w="5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9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900" w:type="dxa"/>
            <w:vAlign w:val="bottom"/>
          </w:tcPr>
          <w:p>
            <w:pPr>
              <w:ind w:left="620"/>
              <w:spacing w:after="0"/>
              <w:rPr>
                <w:sz w:val="20"/>
                <w:szCs w:val="20"/>
                <w:color w:val="auto"/>
              </w:rPr>
            </w:pPr>
            <w:r>
              <w:rPr>
                <w:rFonts w:ascii="Arial" w:cs="Arial" w:eastAsia="Arial" w:hAnsi="Arial"/>
                <w:sz w:val="14"/>
                <w:szCs w:val="14"/>
                <w:b w:val="1"/>
                <w:bCs w:val="1"/>
                <w:color w:val="003A70"/>
              </w:rPr>
              <w:t xml:space="preserve">Global Expertise </w:t>
            </w:r>
            <w:r>
              <w:rPr>
                <w:rFonts w:ascii="Arial" w:cs="Arial" w:eastAsia="Arial" w:hAnsi="Arial"/>
                <w:sz w:val="14"/>
                <w:szCs w:val="14"/>
                <w:color w:val="000000"/>
              </w:rPr>
              <w:t>supports our goal of continuing</w:t>
            </w:r>
          </w:p>
        </w:tc>
        <w:tc>
          <w:tcPr>
            <w:tcW w:w="56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76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48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66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spacing w:after="0"/>
              <w:rPr>
                <w:sz w:val="23"/>
                <w:szCs w:val="23"/>
                <w:color w:val="auto"/>
              </w:rPr>
            </w:pPr>
          </w:p>
        </w:tc>
        <w:tc>
          <w:tcPr>
            <w:tcW w:w="560" w:type="dxa"/>
            <w:vAlign w:val="bottom"/>
          </w:tcPr>
          <w:p>
            <w:pPr>
              <w:jc w:val="center"/>
              <w:spacing w:after="0" w:line="255" w:lineRule="exact"/>
              <w:rPr>
                <w:sz w:val="20"/>
                <w:szCs w:val="20"/>
                <w:color w:val="auto"/>
              </w:rPr>
            </w:pPr>
            <w:r>
              <w:rPr>
                <w:rFonts w:ascii="Times New Roman" w:cs="Times New Roman" w:eastAsia="Times New Roman" w:hAnsi="Times New Roman"/>
                <w:sz w:val="29"/>
                <w:szCs w:val="29"/>
                <w:color w:val="003A70"/>
              </w:rPr>
              <w:t>•</w:t>
            </w: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900" w:type="dxa"/>
            <w:vAlign w:val="bottom"/>
          </w:tcPr>
          <w:p>
            <w:pPr>
              <w:ind w:left="620"/>
              <w:spacing w:after="0"/>
              <w:rPr>
                <w:sz w:val="20"/>
                <w:szCs w:val="20"/>
                <w:color w:val="auto"/>
              </w:rPr>
            </w:pPr>
            <w:r>
              <w:rPr>
                <w:rFonts w:ascii="Arial" w:cs="Arial" w:eastAsia="Arial" w:hAnsi="Arial"/>
                <w:sz w:val="14"/>
                <w:szCs w:val="14"/>
                <w:color w:val="auto"/>
              </w:rPr>
              <w:t>growth globally.</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Vacation Ownership &amp; Lodging Industry</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experience is important in overseeing the</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development and implementation of our business</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strategy and operating plan.</w:t>
            </w:r>
          </w:p>
        </w:tc>
        <w:tc>
          <w:tcPr>
            <w:tcW w:w="5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Legal, Regulatory &amp; Government Relations</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tcPr>
          <w:p>
            <w:pPr>
              <w:spacing w:after="0"/>
              <w:rPr>
                <w:sz w:val="12"/>
                <w:szCs w:val="12"/>
                <w:color w:val="auto"/>
              </w:rPr>
            </w:pP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experience is relevant because we operate in a</w:t>
            </w: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heavily regulated industry.</w:t>
            </w:r>
          </w:p>
        </w:tc>
        <w:tc>
          <w:tcPr>
            <w:tcW w:w="56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 xml:space="preserve">Compliance </w:t>
            </w:r>
            <w:r>
              <w:rPr>
                <w:rFonts w:ascii="Arial" w:cs="Arial" w:eastAsia="Arial" w:hAnsi="Arial"/>
                <w:sz w:val="14"/>
                <w:szCs w:val="14"/>
                <w:color w:val="000000"/>
              </w:rPr>
              <w:t>experience helps set the tone at the</w:t>
            </w:r>
          </w:p>
        </w:tc>
        <w:tc>
          <w:tcPr>
            <w:tcW w:w="560" w:type="dxa"/>
            <w:vAlign w:val="bottom"/>
          </w:tcPr>
          <w:p>
            <w:pPr>
              <w:spacing w:after="0"/>
              <w:rPr>
                <w:sz w:val="12"/>
                <w:szCs w:val="12"/>
                <w:color w:val="auto"/>
              </w:rPr>
            </w:pPr>
          </w:p>
        </w:tc>
        <w:tc>
          <w:tcPr>
            <w:tcW w:w="7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top to encourage our employees to act ethically</w:t>
            </w: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and legally.</w:t>
            </w:r>
          </w:p>
        </w:tc>
        <w:tc>
          <w:tcPr>
            <w:tcW w:w="5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Sales &amp; Marketing/Consumer Insights</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w w:val="91"/>
              </w:rPr>
              <w:t>•</w:t>
            </w:r>
          </w:p>
        </w:tc>
        <w:tc>
          <w:tcPr>
            <w:tcW w:w="8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experience is important in understanding the</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consumer-driven aspects of our business in order</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to deliver outstanding products and services.</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6" w:lineRule="exact"/>
              <w:rPr>
                <w:sz w:val="20"/>
                <w:szCs w:val="20"/>
                <w:color w:val="auto"/>
              </w:rPr>
            </w:pPr>
            <w:r>
              <w:rPr>
                <w:rFonts w:ascii="Arial" w:cs="Arial" w:eastAsia="Arial" w:hAnsi="Arial"/>
                <w:sz w:val="14"/>
                <w:szCs w:val="14"/>
                <w:b w:val="1"/>
                <w:bCs w:val="1"/>
                <w:color w:val="003A70"/>
              </w:rPr>
              <w:t>Real Estate &amp; Business Development</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60" w:type="dxa"/>
            <w:vAlign w:val="bottom"/>
          </w:tcPr>
          <w:p>
            <w:pPr>
              <w:spacing w:after="0"/>
              <w:rPr>
                <w:sz w:val="12"/>
                <w:szCs w:val="12"/>
                <w:color w:val="auto"/>
              </w:rPr>
            </w:pPr>
          </w:p>
        </w:tc>
        <w:tc>
          <w:tcPr>
            <w:tcW w:w="48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tcPr>
          <w:p>
            <w:pPr>
              <w:spacing w:after="0"/>
              <w:rPr>
                <w:sz w:val="12"/>
                <w:szCs w:val="12"/>
                <w:color w:val="auto"/>
              </w:rPr>
            </w:pPr>
          </w:p>
        </w:tc>
        <w:tc>
          <w:tcPr>
            <w:tcW w:w="82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740" w:type="dxa"/>
            <w:vAlign w:val="bottom"/>
          </w:tcPr>
          <w:p>
            <w:pPr>
              <w:spacing w:after="0"/>
              <w:rPr>
                <w:sz w:val="12"/>
                <w:szCs w:val="12"/>
                <w:color w:val="auto"/>
              </w:rPr>
            </w:pP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480" w:type="dxa"/>
            <w:vAlign w:val="bottom"/>
          </w:tcPr>
          <w:p>
            <w:pPr>
              <w:spacing w:after="0"/>
              <w:rPr>
                <w:sz w:val="12"/>
                <w:szCs w:val="12"/>
                <w:color w:val="auto"/>
              </w:rPr>
            </w:pPr>
          </w:p>
        </w:tc>
        <w:tc>
          <w:tcPr>
            <w:tcW w:w="80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6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560" w:type="dxa"/>
            <w:vAlign w:val="bottom"/>
            <w:vMerge w:val="restart"/>
          </w:tcPr>
          <w:p>
            <w:pPr>
              <w:jc w:val="center"/>
              <w:spacing w:after="0" w:line="571" w:lineRule="exact"/>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1"/>
        </w:trPr>
        <w:tc>
          <w:tcPr>
            <w:tcW w:w="3900" w:type="dxa"/>
            <w:vAlign w:val="bottom"/>
          </w:tcPr>
          <w:p>
            <w:pPr>
              <w:ind w:left="620"/>
              <w:spacing w:after="0"/>
              <w:rPr>
                <w:sz w:val="20"/>
                <w:szCs w:val="20"/>
                <w:color w:val="auto"/>
              </w:rPr>
            </w:pPr>
            <w:r>
              <w:rPr>
                <w:rFonts w:ascii="Arial" w:cs="Arial" w:eastAsia="Arial" w:hAnsi="Arial"/>
                <w:sz w:val="14"/>
                <w:szCs w:val="14"/>
                <w:color w:val="auto"/>
              </w:rPr>
              <w:t>experience aids in understanding and reviewing</w:t>
            </w:r>
          </w:p>
        </w:tc>
        <w:tc>
          <w:tcPr>
            <w:tcW w:w="5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our business and strategy.</w:t>
            </w:r>
          </w:p>
        </w:tc>
        <w:tc>
          <w:tcPr>
            <w:tcW w:w="56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0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16</w:t>
            </w:r>
          </w:p>
        </w:tc>
        <w:tc>
          <w:tcPr>
            <w:tcW w:w="3280" w:type="dxa"/>
            <w:vAlign w:val="bottom"/>
            <w:tcBorders>
              <w:bottom w:val="single" w:sz="8" w:color="003A70"/>
            </w:tcBorders>
            <w:gridSpan w:val="5"/>
          </w:tcPr>
          <w:p>
            <w:pPr>
              <w:ind w:left="340"/>
              <w:spacing w:after="0"/>
              <w:rPr>
                <w:sz w:val="20"/>
                <w:szCs w:val="20"/>
                <w:color w:val="auto"/>
              </w:rPr>
            </w:pPr>
            <w:r>
              <w:rPr>
                <w:rFonts w:ascii="Arial" w:cs="Arial" w:eastAsia="Arial" w:hAnsi="Arial"/>
                <w:sz w:val="11"/>
                <w:szCs w:val="11"/>
                <w:color w:val="auto"/>
              </w:rPr>
              <w:t>Report on the Board of Directors and its Committees</w:t>
            </w:r>
          </w:p>
        </w:tc>
        <w:tc>
          <w:tcPr>
            <w:tcW w:w="3800" w:type="dxa"/>
            <w:vAlign w:val="bottom"/>
            <w:tcBorders>
              <w:bottom w:val="single" w:sz="8" w:color="003A70"/>
            </w:tcBorders>
            <w:gridSpan w:val="6"/>
          </w:tcPr>
          <w:p>
            <w:pPr>
              <w:ind w:left="52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-5987415</wp:posOffset>
            </wp:positionV>
            <wp:extent cx="145415" cy="2051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20510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-5543550</wp:posOffset>
            </wp:positionV>
            <wp:extent cx="247650" cy="205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7650"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-5167630</wp:posOffset>
            </wp:positionV>
            <wp:extent cx="213360" cy="205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-4791710</wp:posOffset>
            </wp:positionV>
            <wp:extent cx="247650" cy="2051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7650" cy="20510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-4390390</wp:posOffset>
            </wp:positionV>
            <wp:extent cx="196215" cy="2051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6215"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-3971290</wp:posOffset>
            </wp:positionV>
            <wp:extent cx="213360" cy="2051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-3552825</wp:posOffset>
            </wp:positionV>
            <wp:extent cx="230505" cy="2051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0505"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-3159760</wp:posOffset>
            </wp:positionV>
            <wp:extent cx="213360" cy="2051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-2783840</wp:posOffset>
            </wp:positionV>
            <wp:extent cx="213360" cy="2051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-2408555</wp:posOffset>
            </wp:positionV>
            <wp:extent cx="213360" cy="205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-2006600</wp:posOffset>
            </wp:positionV>
            <wp:extent cx="196215" cy="2051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215" cy="20510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-1614170</wp:posOffset>
            </wp:positionV>
            <wp:extent cx="196215" cy="2051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6215" cy="2051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-1238250</wp:posOffset>
            </wp:positionV>
            <wp:extent cx="281940" cy="2051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1940"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-870585</wp:posOffset>
            </wp:positionV>
            <wp:extent cx="213360" cy="2051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3360" cy="20510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-503555</wp:posOffset>
            </wp:positionV>
            <wp:extent cx="213360" cy="2051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3360" cy="20510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2660" w:type="dxa"/>
            <w:vAlign w:val="bottom"/>
            <w:tcBorders>
              <w:bottom w:val="single" w:sz="8" w:color="003A70"/>
            </w:tcBorders>
            <w:gridSpan w:val="2"/>
          </w:tcPr>
          <w:p>
            <w:pPr>
              <w:ind w:left="80"/>
              <w:spacing w:after="0"/>
              <w:rPr>
                <w:sz w:val="20"/>
                <w:szCs w:val="20"/>
                <w:color w:val="auto"/>
              </w:rPr>
            </w:pPr>
            <w:r>
              <w:rPr>
                <w:rFonts w:ascii="Arial" w:cs="Arial" w:eastAsia="Arial" w:hAnsi="Arial"/>
                <w:sz w:val="14"/>
                <w:szCs w:val="14"/>
                <w:b w:val="1"/>
                <w:bCs w:val="1"/>
                <w:color w:val="003A70"/>
              </w:rPr>
              <w:t xml:space="preserve">   </w:t>
            </w:r>
          </w:p>
        </w:tc>
        <w:tc>
          <w:tcPr>
            <w:tcW w:w="66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Shaw</w:t>
            </w:r>
          </w:p>
        </w:tc>
        <w:tc>
          <w:tcPr>
            <w:tcW w:w="92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Andrews</w:t>
            </w:r>
          </w:p>
        </w:tc>
        <w:tc>
          <w:tcPr>
            <w:tcW w:w="640" w:type="dxa"/>
            <w:vAlign w:val="bottom"/>
            <w:tcBorders>
              <w:bottom w:val="single" w:sz="8" w:color="003A70"/>
            </w:tcBorders>
          </w:tcPr>
          <w:p>
            <w:pPr>
              <w:ind w:left="160"/>
              <w:spacing w:after="0"/>
              <w:rPr>
                <w:sz w:val="20"/>
                <w:szCs w:val="20"/>
                <w:color w:val="auto"/>
              </w:rPr>
            </w:pPr>
            <w:r>
              <w:rPr>
                <w:rFonts w:ascii="Arial" w:cs="Arial" w:eastAsia="Arial" w:hAnsi="Arial"/>
                <w:sz w:val="14"/>
                <w:szCs w:val="14"/>
                <w:b w:val="1"/>
                <w:bCs w:val="1"/>
                <w:color w:val="003A70"/>
              </w:rPr>
              <w:t>Avril</w:t>
            </w:r>
          </w:p>
        </w:tc>
        <w:tc>
          <w:tcPr>
            <w:tcW w:w="80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Dausch</w:t>
            </w:r>
          </w:p>
        </w:tc>
        <w:tc>
          <w:tcPr>
            <w:tcW w:w="84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Galbreath</w:t>
            </w:r>
          </w:p>
        </w:tc>
        <w:tc>
          <w:tcPr>
            <w:tcW w:w="760" w:type="dxa"/>
            <w:vAlign w:val="bottom"/>
            <w:tcBorders>
              <w:bottom w:val="single" w:sz="8" w:color="003A70"/>
            </w:tcBorders>
          </w:tcPr>
          <w:p>
            <w:pPr>
              <w:ind w:left="60"/>
              <w:spacing w:after="0"/>
              <w:rPr>
                <w:sz w:val="20"/>
                <w:szCs w:val="20"/>
                <w:color w:val="auto"/>
              </w:rPr>
            </w:pPr>
            <w:r>
              <w:rPr>
                <w:rFonts w:ascii="Arial" w:cs="Arial" w:eastAsia="Arial" w:hAnsi="Arial"/>
                <w:sz w:val="14"/>
                <w:szCs w:val="14"/>
                <w:b w:val="1"/>
                <w:bCs w:val="1"/>
                <w:color w:val="003A70"/>
              </w:rPr>
              <w:t>Galligan</w:t>
            </w:r>
          </w:p>
        </w:tc>
        <w:tc>
          <w:tcPr>
            <w:tcW w:w="74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Geller</w:t>
            </w:r>
          </w:p>
        </w:tc>
        <w:tc>
          <w:tcPr>
            <w:tcW w:w="66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Gray</w:t>
            </w:r>
          </w:p>
        </w:tc>
        <w:tc>
          <w:tcPr>
            <w:tcW w:w="880" w:type="dxa"/>
            <w:vAlign w:val="bottom"/>
            <w:tcBorders>
              <w:bottom w:val="single" w:sz="8" w:color="003A70"/>
            </w:tcBorders>
          </w:tcPr>
          <w:p>
            <w:pPr>
              <w:ind w:left="120"/>
              <w:spacing w:after="0"/>
              <w:rPr>
                <w:sz w:val="20"/>
                <w:szCs w:val="20"/>
                <w:color w:val="auto"/>
              </w:rPr>
            </w:pPr>
            <w:r>
              <w:rPr>
                <w:rFonts w:ascii="Arial" w:cs="Arial" w:eastAsia="Arial" w:hAnsi="Arial"/>
                <w:sz w:val="14"/>
                <w:szCs w:val="14"/>
                <w:b w:val="1"/>
                <w:bCs w:val="1"/>
                <w:color w:val="003A70"/>
              </w:rPr>
              <w:t>McCarten</w:t>
            </w:r>
          </w:p>
        </w:tc>
        <w:tc>
          <w:tcPr>
            <w:tcW w:w="72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Morgan</w:t>
            </w:r>
          </w:p>
        </w:tc>
        <w:tc>
          <w:tcPr>
            <w:tcW w:w="700" w:type="dxa"/>
            <w:vAlign w:val="bottom"/>
            <w:tcBorders>
              <w:bottom w:val="single" w:sz="8" w:color="003A70"/>
            </w:tcBorders>
          </w:tcPr>
          <w:p>
            <w:pPr>
              <w:ind w:left="120"/>
              <w:spacing w:after="0"/>
              <w:rPr>
                <w:sz w:val="20"/>
                <w:szCs w:val="20"/>
                <w:color w:val="auto"/>
              </w:rPr>
            </w:pPr>
            <w:r>
              <w:rPr>
                <w:rFonts w:ascii="Arial" w:cs="Arial" w:eastAsia="Arial" w:hAnsi="Arial"/>
                <w:sz w:val="14"/>
                <w:szCs w:val="14"/>
                <w:b w:val="1"/>
                <w:bCs w:val="1"/>
                <w:color w:val="003A70"/>
              </w:rPr>
              <w:t>Quazzo</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2220" w:type="dxa"/>
            <w:vAlign w:val="bottom"/>
          </w:tcPr>
          <w:p>
            <w:pPr>
              <w:ind w:left="120"/>
              <w:spacing w:after="0" w:line="152" w:lineRule="exact"/>
              <w:rPr>
                <w:sz w:val="20"/>
                <w:szCs w:val="20"/>
                <w:color w:val="auto"/>
              </w:rPr>
            </w:pPr>
            <w:r>
              <w:rPr>
                <w:rFonts w:ascii="Arial" w:cs="Arial" w:eastAsia="Arial" w:hAnsi="Arial"/>
                <w:sz w:val="14"/>
                <w:szCs w:val="14"/>
                <w:b w:val="1"/>
                <w:bCs w:val="1"/>
                <w:color w:val="003A70"/>
              </w:rPr>
              <w:t>Human Capital, Professional</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b w:val="1"/>
                <w:bCs w:val="1"/>
                <w:color w:val="003A70"/>
              </w:rPr>
              <w:t>Development &amp;</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b w:val="1"/>
                <w:bCs w:val="1"/>
                <w:color w:val="003A70"/>
              </w:rPr>
              <w:t>Organizational Culture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experience helps us attract,</w:t>
            </w:r>
          </w:p>
        </w:tc>
        <w:tc>
          <w:tcPr>
            <w:tcW w:w="660" w:type="dxa"/>
            <w:vAlign w:val="bottom"/>
            <w:vMerge w:val="restart"/>
          </w:tcPr>
          <w:p>
            <w:pPr>
              <w:spacing w:after="0"/>
              <w:rPr>
                <w:sz w:val="14"/>
                <w:szCs w:val="14"/>
                <w:color w:val="auto"/>
              </w:rPr>
            </w:pPr>
          </w:p>
        </w:tc>
        <w:tc>
          <w:tcPr>
            <w:tcW w:w="920" w:type="dxa"/>
            <w:vAlign w:val="bottom"/>
            <w:vMerge w:val="restart"/>
          </w:tcPr>
          <w:p>
            <w:pPr>
              <w:spacing w:after="0"/>
              <w:rPr>
                <w:sz w:val="14"/>
                <w:szCs w:val="14"/>
                <w:color w:val="auto"/>
              </w:rPr>
            </w:pPr>
          </w:p>
        </w:tc>
        <w:tc>
          <w:tcPr>
            <w:tcW w:w="6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restart"/>
          </w:tcPr>
          <w:p>
            <w:pPr>
              <w:spacing w:after="0"/>
              <w:rPr>
                <w:sz w:val="14"/>
                <w:szCs w:val="14"/>
                <w:color w:val="auto"/>
              </w:rPr>
            </w:pPr>
          </w:p>
        </w:tc>
        <w:tc>
          <w:tcPr>
            <w:tcW w:w="7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40" w:type="dxa"/>
            <w:vAlign w:val="bottom"/>
          </w:tcPr>
          <w:p>
            <w:pPr>
              <w:spacing w:after="0"/>
              <w:rPr>
                <w:sz w:val="9"/>
                <w:szCs w:val="9"/>
                <w:color w:val="auto"/>
              </w:rPr>
            </w:pPr>
          </w:p>
        </w:tc>
        <w:tc>
          <w:tcPr>
            <w:tcW w:w="2220" w:type="dxa"/>
            <w:vAlign w:val="bottom"/>
            <w:vMerge w:val="restart"/>
          </w:tcPr>
          <w:p>
            <w:pPr>
              <w:ind w:left="120"/>
              <w:spacing w:after="0"/>
              <w:rPr>
                <w:sz w:val="20"/>
                <w:szCs w:val="20"/>
                <w:color w:val="auto"/>
              </w:rPr>
            </w:pPr>
            <w:r>
              <w:rPr>
                <w:rFonts w:ascii="Arial" w:cs="Arial" w:eastAsia="Arial" w:hAnsi="Arial"/>
                <w:sz w:val="14"/>
                <w:szCs w:val="14"/>
                <w:color w:val="auto"/>
              </w:rPr>
              <w:t>motivate and retain top</w:t>
            </w: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4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candidates for positions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throughout our global</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workforce.</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2220" w:type="dxa"/>
            <w:vAlign w:val="bottom"/>
          </w:tcPr>
          <w:p>
            <w:pPr>
              <w:ind w:left="120"/>
              <w:spacing w:after="0" w:line="146" w:lineRule="exact"/>
              <w:rPr>
                <w:sz w:val="20"/>
                <w:szCs w:val="20"/>
                <w:color w:val="auto"/>
              </w:rPr>
            </w:pPr>
            <w:r>
              <w:rPr>
                <w:rFonts w:ascii="Arial" w:cs="Arial" w:eastAsia="Arial" w:hAnsi="Arial"/>
                <w:sz w:val="14"/>
                <w:szCs w:val="14"/>
                <w:b w:val="1"/>
                <w:bCs w:val="1"/>
                <w:color w:val="003A70"/>
              </w:rPr>
              <w:t>Technology &amp; Cybersecurity</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experience is relevant as we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look for ways to assess and</w:t>
            </w:r>
          </w:p>
        </w:tc>
        <w:tc>
          <w:tcPr>
            <w:tcW w:w="660" w:type="dxa"/>
            <w:vAlign w:val="bottom"/>
            <w:vMerge w:val="restart"/>
          </w:tcPr>
          <w:p>
            <w:pPr>
              <w:spacing w:after="0"/>
              <w:rPr>
                <w:sz w:val="14"/>
                <w:szCs w:val="14"/>
                <w:color w:val="auto"/>
              </w:rPr>
            </w:pPr>
          </w:p>
        </w:tc>
        <w:tc>
          <w:tcPr>
            <w:tcW w:w="9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66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40" w:type="dxa"/>
            <w:vAlign w:val="bottom"/>
          </w:tcPr>
          <w:p>
            <w:pPr>
              <w:spacing w:after="0"/>
              <w:rPr>
                <w:sz w:val="9"/>
                <w:szCs w:val="9"/>
                <w:color w:val="auto"/>
              </w:rPr>
            </w:pPr>
          </w:p>
        </w:tc>
        <w:tc>
          <w:tcPr>
            <w:tcW w:w="2220" w:type="dxa"/>
            <w:vAlign w:val="bottom"/>
            <w:vMerge w:val="restart"/>
          </w:tcPr>
          <w:p>
            <w:pPr>
              <w:ind w:left="120"/>
              <w:spacing w:after="0"/>
              <w:rPr>
                <w:sz w:val="20"/>
                <w:szCs w:val="20"/>
                <w:color w:val="auto"/>
              </w:rPr>
            </w:pPr>
            <w:r>
              <w:rPr>
                <w:rFonts w:ascii="Arial" w:cs="Arial" w:eastAsia="Arial" w:hAnsi="Arial"/>
                <w:sz w:val="14"/>
                <w:szCs w:val="14"/>
                <w:color w:val="auto"/>
              </w:rPr>
              <w:t>address the risks associated</w:t>
            </w: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4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with our technology and cyber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activities.</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2220" w:type="dxa"/>
            <w:vAlign w:val="bottom"/>
          </w:tcPr>
          <w:p>
            <w:pPr>
              <w:ind w:left="120"/>
              <w:spacing w:after="0" w:line="146" w:lineRule="exact"/>
              <w:rPr>
                <w:sz w:val="20"/>
                <w:szCs w:val="20"/>
                <w:color w:val="auto"/>
              </w:rPr>
            </w:pPr>
            <w:r>
              <w:rPr>
                <w:rFonts w:ascii="Arial" w:cs="Arial" w:eastAsia="Arial" w:hAnsi="Arial"/>
                <w:sz w:val="14"/>
                <w:szCs w:val="14"/>
                <w:b w:val="1"/>
                <w:bCs w:val="1"/>
                <w:color w:val="003A70"/>
              </w:rPr>
              <w:t>Digital &amp; Social Media</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experience is relevant as we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look for ways to enhance the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customer experience and</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internal operations.</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003A70"/>
              </w:rPr>
              <w:t>Total</w:t>
            </w:r>
          </w:p>
        </w:tc>
        <w:tc>
          <w:tcPr>
            <w:tcW w:w="660" w:type="dxa"/>
            <w:vAlign w:val="bottom"/>
          </w:tcPr>
          <w:p>
            <w:pPr>
              <w:jc w:val="center"/>
              <w:spacing w:after="0" w:line="168" w:lineRule="exact"/>
              <w:rPr>
                <w:sz w:val="20"/>
                <w:szCs w:val="20"/>
                <w:color w:val="auto"/>
              </w:rPr>
            </w:pPr>
            <w:r>
              <w:rPr>
                <w:rFonts w:ascii="Arial" w:cs="Arial" w:eastAsia="Arial" w:hAnsi="Arial"/>
                <w:sz w:val="16"/>
                <w:szCs w:val="16"/>
                <w:color w:val="003A70"/>
              </w:rPr>
              <w:t>14</w:t>
            </w:r>
          </w:p>
        </w:tc>
        <w:tc>
          <w:tcPr>
            <w:tcW w:w="920" w:type="dxa"/>
            <w:vAlign w:val="bottom"/>
          </w:tcPr>
          <w:p>
            <w:pPr>
              <w:jc w:val="center"/>
              <w:spacing w:after="0" w:line="168" w:lineRule="exact"/>
              <w:rPr>
                <w:sz w:val="20"/>
                <w:szCs w:val="20"/>
                <w:color w:val="auto"/>
              </w:rPr>
            </w:pPr>
            <w:r>
              <w:rPr>
                <w:rFonts w:ascii="Arial" w:cs="Arial" w:eastAsia="Arial" w:hAnsi="Arial"/>
                <w:sz w:val="16"/>
                <w:szCs w:val="16"/>
                <w:color w:val="003A70"/>
              </w:rPr>
              <w:t>14</w:t>
            </w:r>
          </w:p>
        </w:tc>
        <w:tc>
          <w:tcPr>
            <w:tcW w:w="640" w:type="dxa"/>
            <w:vAlign w:val="bottom"/>
          </w:tcPr>
          <w:p>
            <w:pPr>
              <w:jc w:val="center"/>
              <w:spacing w:after="0" w:line="168" w:lineRule="exact"/>
              <w:rPr>
                <w:sz w:val="20"/>
                <w:szCs w:val="20"/>
                <w:color w:val="auto"/>
              </w:rPr>
            </w:pPr>
            <w:r>
              <w:rPr>
                <w:rFonts w:ascii="Arial" w:cs="Arial" w:eastAsia="Arial" w:hAnsi="Arial"/>
                <w:sz w:val="16"/>
                <w:szCs w:val="16"/>
                <w:color w:val="003A70"/>
              </w:rPr>
              <w:t>14</w:t>
            </w:r>
          </w:p>
        </w:tc>
        <w:tc>
          <w:tcPr>
            <w:tcW w:w="800" w:type="dxa"/>
            <w:vAlign w:val="bottom"/>
          </w:tcPr>
          <w:p>
            <w:pPr>
              <w:jc w:val="center"/>
              <w:ind w:left="24"/>
              <w:spacing w:after="0" w:line="168" w:lineRule="exact"/>
              <w:rPr>
                <w:sz w:val="20"/>
                <w:szCs w:val="20"/>
                <w:color w:val="auto"/>
              </w:rPr>
            </w:pPr>
            <w:r>
              <w:rPr>
                <w:rFonts w:ascii="Arial" w:cs="Arial" w:eastAsia="Arial" w:hAnsi="Arial"/>
                <w:sz w:val="16"/>
                <w:szCs w:val="16"/>
                <w:color w:val="003A70"/>
              </w:rPr>
              <w:t>9</w:t>
            </w:r>
          </w:p>
        </w:tc>
        <w:tc>
          <w:tcPr>
            <w:tcW w:w="840" w:type="dxa"/>
            <w:vAlign w:val="bottom"/>
          </w:tcPr>
          <w:p>
            <w:pPr>
              <w:jc w:val="center"/>
              <w:spacing w:after="0" w:line="168" w:lineRule="exact"/>
              <w:rPr>
                <w:sz w:val="20"/>
                <w:szCs w:val="20"/>
                <w:color w:val="auto"/>
              </w:rPr>
            </w:pPr>
            <w:r>
              <w:rPr>
                <w:rFonts w:ascii="Arial" w:cs="Arial" w:eastAsia="Arial" w:hAnsi="Arial"/>
                <w:sz w:val="16"/>
                <w:szCs w:val="16"/>
                <w:color w:val="003A70"/>
                <w:w w:val="89"/>
              </w:rPr>
              <w:t>9</w:t>
            </w:r>
          </w:p>
        </w:tc>
        <w:tc>
          <w:tcPr>
            <w:tcW w:w="760" w:type="dxa"/>
            <w:vAlign w:val="bottom"/>
          </w:tcPr>
          <w:p>
            <w:pPr>
              <w:jc w:val="center"/>
              <w:spacing w:after="0" w:line="168" w:lineRule="exact"/>
              <w:rPr>
                <w:sz w:val="20"/>
                <w:szCs w:val="20"/>
                <w:color w:val="auto"/>
              </w:rPr>
            </w:pPr>
            <w:r>
              <w:rPr>
                <w:rFonts w:ascii="Arial" w:cs="Arial" w:eastAsia="Arial" w:hAnsi="Arial"/>
                <w:sz w:val="16"/>
                <w:szCs w:val="16"/>
                <w:color w:val="003A70"/>
              </w:rPr>
              <w:t>7</w:t>
            </w:r>
          </w:p>
        </w:tc>
        <w:tc>
          <w:tcPr>
            <w:tcW w:w="740" w:type="dxa"/>
            <w:vAlign w:val="bottom"/>
          </w:tcPr>
          <w:p>
            <w:pPr>
              <w:jc w:val="center"/>
              <w:spacing w:after="0" w:line="168" w:lineRule="exact"/>
              <w:rPr>
                <w:sz w:val="20"/>
                <w:szCs w:val="20"/>
                <w:color w:val="auto"/>
              </w:rPr>
            </w:pPr>
            <w:r>
              <w:rPr>
                <w:rFonts w:ascii="Arial" w:cs="Arial" w:eastAsia="Arial" w:hAnsi="Arial"/>
                <w:sz w:val="16"/>
                <w:szCs w:val="16"/>
                <w:color w:val="003A70"/>
              </w:rPr>
              <w:t>14</w:t>
            </w:r>
          </w:p>
        </w:tc>
        <w:tc>
          <w:tcPr>
            <w:tcW w:w="660" w:type="dxa"/>
            <w:vAlign w:val="bottom"/>
          </w:tcPr>
          <w:p>
            <w:pPr>
              <w:jc w:val="center"/>
              <w:spacing w:after="0" w:line="168" w:lineRule="exact"/>
              <w:rPr>
                <w:sz w:val="20"/>
                <w:szCs w:val="20"/>
                <w:color w:val="auto"/>
              </w:rPr>
            </w:pPr>
            <w:r>
              <w:rPr>
                <w:rFonts w:ascii="Arial" w:cs="Arial" w:eastAsia="Arial" w:hAnsi="Arial"/>
                <w:sz w:val="16"/>
                <w:szCs w:val="16"/>
                <w:color w:val="003A70"/>
              </w:rPr>
              <w:t>12</w:t>
            </w:r>
          </w:p>
        </w:tc>
        <w:tc>
          <w:tcPr>
            <w:tcW w:w="880" w:type="dxa"/>
            <w:vAlign w:val="bottom"/>
          </w:tcPr>
          <w:p>
            <w:pPr>
              <w:jc w:val="center"/>
              <w:spacing w:after="0" w:line="168" w:lineRule="exact"/>
              <w:rPr>
                <w:sz w:val="20"/>
                <w:szCs w:val="20"/>
                <w:color w:val="auto"/>
              </w:rPr>
            </w:pPr>
            <w:r>
              <w:rPr>
                <w:rFonts w:ascii="Arial" w:cs="Arial" w:eastAsia="Arial" w:hAnsi="Arial"/>
                <w:sz w:val="16"/>
                <w:szCs w:val="16"/>
                <w:color w:val="003A70"/>
              </w:rPr>
              <w:t>10</w:t>
            </w:r>
          </w:p>
        </w:tc>
        <w:tc>
          <w:tcPr>
            <w:tcW w:w="720" w:type="dxa"/>
            <w:vAlign w:val="bottom"/>
          </w:tcPr>
          <w:p>
            <w:pPr>
              <w:jc w:val="center"/>
              <w:spacing w:after="0" w:line="168" w:lineRule="exact"/>
              <w:rPr>
                <w:sz w:val="20"/>
                <w:szCs w:val="20"/>
                <w:color w:val="auto"/>
              </w:rPr>
            </w:pPr>
            <w:r>
              <w:rPr>
                <w:rFonts w:ascii="Arial" w:cs="Arial" w:eastAsia="Arial" w:hAnsi="Arial"/>
                <w:sz w:val="16"/>
                <w:szCs w:val="16"/>
                <w:color w:val="003A70"/>
                <w:w w:val="89"/>
              </w:rPr>
              <w:t>11</w:t>
            </w:r>
          </w:p>
        </w:tc>
        <w:tc>
          <w:tcPr>
            <w:tcW w:w="700" w:type="dxa"/>
            <w:vAlign w:val="bottom"/>
          </w:tcPr>
          <w:p>
            <w:pPr>
              <w:jc w:val="center"/>
              <w:spacing w:after="0" w:line="168" w:lineRule="exact"/>
              <w:rPr>
                <w:sz w:val="20"/>
                <w:szCs w:val="20"/>
                <w:color w:val="auto"/>
              </w:rPr>
            </w:pPr>
            <w:r>
              <w:rPr>
                <w:rFonts w:ascii="Arial" w:cs="Arial" w:eastAsia="Arial" w:hAnsi="Arial"/>
                <w:sz w:val="16"/>
                <w:szCs w:val="16"/>
                <w:color w:val="003A70"/>
              </w:rPr>
              <w:t>8</w:t>
            </w:r>
          </w:p>
        </w:tc>
        <w:tc>
          <w:tcPr>
            <w:tcW w:w="0" w:type="dxa"/>
            <w:vAlign w:val="bottom"/>
          </w:tcPr>
          <w:p>
            <w:pPr>
              <w:spacing w:after="0"/>
              <w:rPr>
                <w:sz w:val="1"/>
                <w:szCs w:val="1"/>
                <w:color w:val="auto"/>
              </w:rPr>
            </w:pPr>
          </w:p>
        </w:tc>
      </w:tr>
      <w:tr>
        <w:trPr>
          <w:trHeight w:val="188"/>
        </w:trPr>
        <w:tc>
          <w:tcPr>
            <w:tcW w:w="2660" w:type="dxa"/>
            <w:vAlign w:val="bottom"/>
            <w:gridSpan w:val="2"/>
          </w:tcPr>
          <w:p>
            <w:pPr>
              <w:spacing w:after="0"/>
              <w:rPr>
                <w:sz w:val="20"/>
                <w:szCs w:val="20"/>
                <w:color w:val="auto"/>
              </w:rPr>
            </w:pPr>
            <w:r>
              <w:rPr>
                <w:rFonts w:ascii="Arial" w:cs="Arial" w:eastAsia="Arial" w:hAnsi="Arial"/>
                <w:sz w:val="16"/>
                <w:szCs w:val="16"/>
                <w:b w:val="1"/>
                <w:bCs w:val="1"/>
                <w:color w:val="003A70"/>
              </w:rPr>
              <w:t>Demographics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003A70"/>
              </w:rPr>
              <w:t>Race/Ethnicity</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White</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Hispanic or Latin American</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Black or African American</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2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6"/>
                <w:szCs w:val="16"/>
                <w:b w:val="1"/>
                <w:bCs w:val="1"/>
                <w:color w:val="003A70"/>
              </w:rPr>
              <w:t>Gender</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Male</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Female</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-2800985</wp:posOffset>
            </wp:positionV>
            <wp:extent cx="205105" cy="2051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105" cy="20510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-2075180</wp:posOffset>
            </wp:positionV>
            <wp:extent cx="205105" cy="2051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105" cy="20510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-1520190</wp:posOffset>
            </wp:positionV>
            <wp:extent cx="222250" cy="2133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2250" cy="213360"/>
                    </a:xfrm>
                    <a:prstGeom prst="rect">
                      <a:avLst/>
                    </a:prstGeom>
                    <a:noFill/>
                  </pic:spPr>
                </pic:pic>
              </a:graphicData>
            </a:graphic>
          </wp:anchor>
        </w:drawing>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Board Composition as of the Annual Meeting</w:t>
      </w:r>
    </w:p>
    <w:p>
      <w:pPr>
        <w:spacing w:after="0" w:line="110" w:lineRule="exact"/>
        <w:rPr>
          <w:sz w:val="20"/>
          <w:szCs w:val="20"/>
          <w:color w:val="auto"/>
        </w:rPr>
      </w:pPr>
    </w:p>
    <w:tbl>
      <w:tblPr>
        <w:tblLayout w:type="fixed"/>
        <w:tblInd w:w="140" w:type="dxa"/>
        <w:tblCellMar>
          <w:top w:w="0" w:type="dxa"/>
          <w:left w:w="0" w:type="dxa"/>
          <w:bottom w:w="0" w:type="dxa"/>
          <w:right w:w="0" w:type="dxa"/>
        </w:tblCellMar>
      </w:tblPr>
      <w:tr>
        <w:trPr>
          <w:trHeight w:val="376"/>
        </w:trPr>
        <w:tc>
          <w:tcPr>
            <w:tcW w:w="254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rPr>
              <w:t>10 of 11</w:t>
            </w:r>
          </w:p>
        </w:tc>
        <w:tc>
          <w:tcPr>
            <w:tcW w:w="296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rPr>
              <w:t>6.5 years</w:t>
            </w:r>
          </w:p>
        </w:tc>
        <w:tc>
          <w:tcPr>
            <w:tcW w:w="2600" w:type="dxa"/>
            <w:vAlign w:val="bottom"/>
            <w:tcBorders>
              <w:top w:val="single" w:sz="8" w:color="003A70"/>
            </w:tcBorders>
          </w:tcPr>
          <w:p>
            <w:pPr>
              <w:jc w:val="center"/>
              <w:ind w:left="19"/>
              <w:spacing w:after="0"/>
              <w:rPr>
                <w:sz w:val="20"/>
                <w:szCs w:val="20"/>
                <w:color w:val="auto"/>
              </w:rPr>
            </w:pPr>
            <w:r>
              <w:rPr>
                <w:rFonts w:ascii="Arial" w:cs="Arial" w:eastAsia="Arial" w:hAnsi="Arial"/>
                <w:sz w:val="32"/>
                <w:szCs w:val="32"/>
                <w:b w:val="1"/>
                <w:bCs w:val="1"/>
                <w:color w:val="003A70"/>
              </w:rPr>
              <w:t>65.5 years</w:t>
            </w:r>
          </w:p>
        </w:tc>
        <w:tc>
          <w:tcPr>
            <w:tcW w:w="2880" w:type="dxa"/>
            <w:vAlign w:val="bottom"/>
            <w:tcBorders>
              <w:top w:val="single" w:sz="8" w:color="003A70"/>
            </w:tcBorders>
          </w:tcPr>
          <w:p>
            <w:pPr>
              <w:jc w:val="right"/>
              <w:ind w:right="879"/>
              <w:spacing w:after="0"/>
              <w:rPr>
                <w:sz w:val="20"/>
                <w:szCs w:val="20"/>
                <w:color w:val="auto"/>
              </w:rPr>
            </w:pPr>
            <w:r>
              <w:rPr>
                <w:rFonts w:ascii="Arial" w:cs="Arial" w:eastAsia="Arial" w:hAnsi="Arial"/>
                <w:sz w:val="32"/>
                <w:szCs w:val="32"/>
                <w:b w:val="1"/>
                <w:bCs w:val="1"/>
                <w:color w:val="003A70"/>
              </w:rPr>
              <w:t>36%</w:t>
            </w:r>
          </w:p>
        </w:tc>
      </w:tr>
      <w:tr>
        <w:trPr>
          <w:trHeight w:val="215"/>
        </w:trPr>
        <w:tc>
          <w:tcPr>
            <w:tcW w:w="25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Independent Directors</w:t>
            </w:r>
          </w:p>
        </w:tc>
        <w:tc>
          <w:tcPr>
            <w:tcW w:w="296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w w:val="99"/>
              </w:rPr>
              <w:t>Average Tenure of Directors</w:t>
            </w:r>
          </w:p>
        </w:tc>
        <w:tc>
          <w:tcPr>
            <w:tcW w:w="260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Average Age of Directors</w:t>
            </w:r>
          </w:p>
        </w:tc>
        <w:tc>
          <w:tcPr>
            <w:tcW w:w="2880" w:type="dxa"/>
            <w:vAlign w:val="bottom"/>
            <w:tcBorders>
              <w:bottom w:val="single" w:sz="8" w:color="003A70"/>
            </w:tcBorders>
          </w:tcPr>
          <w:p>
            <w:pPr>
              <w:jc w:val="center"/>
              <w:ind w:left="119"/>
              <w:spacing w:after="0"/>
              <w:rPr>
                <w:sz w:val="20"/>
                <w:szCs w:val="20"/>
                <w:color w:val="auto"/>
              </w:rPr>
            </w:pPr>
            <w:r>
              <w:rPr>
                <w:rFonts w:ascii="Arial" w:cs="Arial" w:eastAsia="Arial" w:hAnsi="Arial"/>
                <w:sz w:val="16"/>
                <w:szCs w:val="16"/>
                <w:color w:val="auto"/>
              </w:rPr>
              <w:t>Gender/Racially Diverse Directors</w:t>
            </w:r>
          </w:p>
        </w:tc>
      </w:tr>
    </w:tbl>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Please refer to Item 1, “Business,” of our 2024 Annual Report for information regarding our executive officers.</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2024 BOARD AND COMMITTEE MEETINGS AND ATTENDANCE</w:t>
      </w:r>
    </w:p>
    <w:p>
      <w:pPr>
        <w:spacing w:after="0" w:line="111" w:lineRule="exact"/>
        <w:rPr>
          <w:sz w:val="20"/>
          <w:szCs w:val="20"/>
          <w:color w:val="auto"/>
        </w:rPr>
      </w:pPr>
    </w:p>
    <w:p>
      <w:pPr>
        <w:ind w:left="140" w:right="260"/>
        <w:spacing w:after="0" w:line="265" w:lineRule="auto"/>
        <w:rPr>
          <w:sz w:val="20"/>
          <w:szCs w:val="20"/>
          <w:color w:val="auto"/>
        </w:rPr>
      </w:pPr>
      <w:r>
        <w:rPr>
          <w:rFonts w:ascii="Arial" w:cs="Arial" w:eastAsia="Arial" w:hAnsi="Arial"/>
          <w:sz w:val="16"/>
          <w:szCs w:val="16"/>
          <w:color w:val="auto"/>
        </w:rPr>
        <w:t>Our Board met six times in 2024. No incumbent member of the Board attended fewer than 75% of the aggregate of the total number of meetings of the Board and the total number of meetings held by all committees of the Board on which such director served. Directors are expected to attend annual meetings of stockholders, and each of our directors attended the 2024 Annual Meeting of Stockholders.</w:t>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COMMITTEE CHARTERS</w:t>
      </w:r>
    </w:p>
    <w:p>
      <w:pPr>
        <w:spacing w:after="0" w:line="111" w:lineRule="exact"/>
        <w:rPr>
          <w:sz w:val="20"/>
          <w:szCs w:val="20"/>
          <w:color w:val="auto"/>
        </w:rPr>
      </w:pPr>
    </w:p>
    <w:p>
      <w:pPr>
        <w:ind w:left="140" w:right="60"/>
        <w:spacing w:after="0" w:line="258" w:lineRule="auto"/>
        <w:rPr>
          <w:sz w:val="20"/>
          <w:szCs w:val="20"/>
          <w:color w:val="auto"/>
        </w:rPr>
      </w:pPr>
      <w:r>
        <w:rPr>
          <w:rFonts w:ascii="Arial" w:cs="Arial" w:eastAsia="Arial" w:hAnsi="Arial"/>
          <w:sz w:val="16"/>
          <w:szCs w:val="16"/>
          <w:color w:val="auto"/>
        </w:rPr>
        <w:t>The charters of the Audit, Compensation Policy, and Nominating and Corporate Governance Committees, as well as our Corporate Governance Guidelines,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composition of our committees during 2024 and through the date of this Proxy Statement is set forth in the chart below.</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28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   Audit Committee</w:t>
            </w:r>
          </w:p>
        </w:tc>
        <w:tc>
          <w:tcPr>
            <w:tcW w:w="3980" w:type="dxa"/>
            <w:vAlign w:val="bottom"/>
            <w:tcBorders>
              <w:bottom w:val="single" w:sz="8" w:color="003A70"/>
            </w:tcBorders>
          </w:tcPr>
          <w:p>
            <w:pPr>
              <w:ind w:left="1020"/>
              <w:spacing w:after="0"/>
              <w:rPr>
                <w:sz w:val="20"/>
                <w:szCs w:val="20"/>
                <w:color w:val="auto"/>
              </w:rPr>
            </w:pPr>
            <w:r>
              <w:rPr>
                <w:rFonts w:ascii="Arial" w:cs="Arial" w:eastAsia="Arial" w:hAnsi="Arial"/>
                <w:sz w:val="14"/>
                <w:szCs w:val="14"/>
                <w:b w:val="1"/>
                <w:bCs w:val="1"/>
                <w:color w:val="003A70"/>
              </w:rPr>
              <w:t>   Compensation Policy Committee</w:t>
            </w:r>
          </w:p>
        </w:tc>
        <w:tc>
          <w:tcPr>
            <w:tcW w:w="4180" w:type="dxa"/>
            <w:vAlign w:val="bottom"/>
            <w:tcBorders>
              <w:bottom w:val="single" w:sz="8" w:color="003A70"/>
            </w:tcBorders>
          </w:tcPr>
          <w:p>
            <w:pPr>
              <w:ind w:left="600"/>
              <w:spacing w:after="0"/>
              <w:rPr>
                <w:sz w:val="20"/>
                <w:szCs w:val="20"/>
                <w:color w:val="auto"/>
              </w:rPr>
            </w:pPr>
            <w:r>
              <w:rPr>
                <w:rFonts w:ascii="Arial" w:cs="Arial" w:eastAsia="Arial" w:hAnsi="Arial"/>
                <w:sz w:val="14"/>
                <w:szCs w:val="14"/>
                <w:b w:val="1"/>
                <w:bCs w:val="1"/>
                <w:color w:val="003A70"/>
              </w:rPr>
              <w:t>   Nominating and Corporate Governance Committee</w:t>
            </w:r>
          </w:p>
        </w:tc>
      </w:tr>
      <w:tr>
        <w:trPr>
          <w:trHeight w:val="174"/>
        </w:trPr>
        <w:tc>
          <w:tcPr>
            <w:tcW w:w="2820" w:type="dxa"/>
            <w:vAlign w:val="bottom"/>
          </w:tcPr>
          <w:p>
            <w:pPr>
              <w:ind w:left="100"/>
              <w:spacing w:after="0" w:line="175" w:lineRule="exact"/>
              <w:rPr>
                <w:sz w:val="20"/>
                <w:szCs w:val="20"/>
                <w:color w:val="auto"/>
              </w:rPr>
            </w:pPr>
            <w:r>
              <w:rPr>
                <w:rFonts w:ascii="Arial" w:cs="Arial" w:eastAsia="Arial" w:hAnsi="Arial"/>
                <w:sz w:val="16"/>
                <w:szCs w:val="16"/>
                <w:color w:val="auto"/>
              </w:rPr>
              <w:t>C.E. Andrews (Chair)</w:t>
            </w:r>
          </w:p>
        </w:tc>
        <w:tc>
          <w:tcPr>
            <w:tcW w:w="3980" w:type="dxa"/>
            <w:vAlign w:val="bottom"/>
          </w:tcPr>
          <w:p>
            <w:pPr>
              <w:ind w:left="1140"/>
              <w:spacing w:after="0" w:line="175" w:lineRule="exact"/>
              <w:rPr>
                <w:sz w:val="20"/>
                <w:szCs w:val="20"/>
                <w:color w:val="auto"/>
              </w:rPr>
            </w:pPr>
            <w:r>
              <w:rPr>
                <w:rFonts w:ascii="Arial" w:cs="Arial" w:eastAsia="Arial" w:hAnsi="Arial"/>
                <w:sz w:val="16"/>
                <w:szCs w:val="16"/>
                <w:color w:val="auto"/>
              </w:rPr>
              <w:t>Dianna F. Morgan (Chair)</w:t>
            </w:r>
          </w:p>
        </w:tc>
        <w:tc>
          <w:tcPr>
            <w:tcW w:w="4180" w:type="dxa"/>
            <w:vAlign w:val="bottom"/>
          </w:tcPr>
          <w:p>
            <w:pPr>
              <w:ind w:left="720"/>
              <w:spacing w:after="0" w:line="174" w:lineRule="exact"/>
              <w:rPr>
                <w:sz w:val="20"/>
                <w:szCs w:val="20"/>
                <w:color w:val="auto"/>
              </w:rPr>
            </w:pPr>
            <w:r>
              <w:rPr>
                <w:rFonts w:ascii="Arial" w:cs="Arial" w:eastAsia="Arial" w:hAnsi="Arial"/>
                <w:sz w:val="14"/>
                <w:szCs w:val="14"/>
                <w:color w:val="auto"/>
              </w:rPr>
              <w:t>Stephen R. Quazzo (Chair)</w:t>
            </w:r>
            <w:r>
              <w:rPr>
                <w:rFonts w:ascii="Arial" w:cs="Arial" w:eastAsia="Arial" w:hAnsi="Arial"/>
                <w:sz w:val="20"/>
                <w:szCs w:val="20"/>
                <w:color w:val="auto"/>
                <w:vertAlign w:val="superscript"/>
              </w:rPr>
              <w:t>1</w:t>
            </w:r>
          </w:p>
        </w:tc>
      </w:tr>
      <w:tr>
        <w:trPr>
          <w:trHeight w:val="188"/>
        </w:trPr>
        <w:tc>
          <w:tcPr>
            <w:tcW w:w="2820" w:type="dxa"/>
            <w:vAlign w:val="bottom"/>
          </w:tcPr>
          <w:p>
            <w:pPr>
              <w:ind w:left="100"/>
              <w:spacing w:after="0"/>
              <w:rPr>
                <w:sz w:val="20"/>
                <w:szCs w:val="20"/>
                <w:color w:val="auto"/>
              </w:rPr>
            </w:pPr>
            <w:r>
              <w:rPr>
                <w:rFonts w:ascii="Arial" w:cs="Arial" w:eastAsia="Arial" w:hAnsi="Arial"/>
                <w:sz w:val="16"/>
                <w:szCs w:val="16"/>
                <w:color w:val="auto"/>
              </w:rPr>
              <w:t>Raymond L. Gellein, Jr.</w:t>
            </w:r>
          </w:p>
        </w:tc>
        <w:tc>
          <w:tcPr>
            <w:tcW w:w="3980" w:type="dxa"/>
            <w:vAlign w:val="bottom"/>
          </w:tcPr>
          <w:p>
            <w:pPr>
              <w:ind w:left="1140"/>
              <w:spacing w:after="0"/>
              <w:rPr>
                <w:sz w:val="20"/>
                <w:szCs w:val="20"/>
                <w:color w:val="auto"/>
              </w:rPr>
            </w:pPr>
            <w:r>
              <w:rPr>
                <w:rFonts w:ascii="Arial" w:cs="Arial" w:eastAsia="Arial" w:hAnsi="Arial"/>
                <w:sz w:val="16"/>
                <w:szCs w:val="16"/>
                <w:color w:val="auto"/>
              </w:rPr>
              <w:t>Lizanne Galbreath</w:t>
            </w:r>
          </w:p>
        </w:tc>
        <w:tc>
          <w:tcPr>
            <w:tcW w:w="4180" w:type="dxa"/>
            <w:vAlign w:val="bottom"/>
          </w:tcPr>
          <w:p>
            <w:pPr>
              <w:ind w:left="720"/>
              <w:spacing w:after="0"/>
              <w:rPr>
                <w:sz w:val="20"/>
                <w:szCs w:val="20"/>
                <w:color w:val="auto"/>
              </w:rPr>
            </w:pPr>
            <w:r>
              <w:rPr>
                <w:rFonts w:ascii="Arial" w:cs="Arial" w:eastAsia="Arial" w:hAnsi="Arial"/>
                <w:sz w:val="16"/>
                <w:szCs w:val="16"/>
                <w:color w:val="auto"/>
              </w:rPr>
              <w:t>C.E. Andrews</w:t>
            </w:r>
          </w:p>
        </w:tc>
      </w:tr>
      <w:tr>
        <w:trPr>
          <w:trHeight w:val="188"/>
        </w:trPr>
        <w:tc>
          <w:tcPr>
            <w:tcW w:w="2820" w:type="dxa"/>
            <w:vAlign w:val="bottom"/>
          </w:tcPr>
          <w:p>
            <w:pPr>
              <w:ind w:left="100"/>
              <w:spacing w:after="0"/>
              <w:rPr>
                <w:sz w:val="20"/>
                <w:szCs w:val="20"/>
                <w:color w:val="auto"/>
              </w:rPr>
            </w:pPr>
            <w:r>
              <w:rPr>
                <w:rFonts w:ascii="Arial" w:cs="Arial" w:eastAsia="Arial" w:hAnsi="Arial"/>
                <w:sz w:val="16"/>
                <w:szCs w:val="16"/>
                <w:color w:val="auto"/>
              </w:rPr>
              <w:t>Jonice M. Gray</w:t>
            </w:r>
          </w:p>
        </w:tc>
        <w:tc>
          <w:tcPr>
            <w:tcW w:w="3980" w:type="dxa"/>
            <w:vAlign w:val="bottom"/>
          </w:tcPr>
          <w:p>
            <w:pPr>
              <w:ind w:left="1140"/>
              <w:spacing w:after="0" w:line="189" w:lineRule="exact"/>
              <w:rPr>
                <w:sz w:val="20"/>
                <w:szCs w:val="20"/>
                <w:color w:val="auto"/>
              </w:rPr>
            </w:pPr>
            <w:r>
              <w:rPr>
                <w:rFonts w:ascii="Arial" w:cs="Arial" w:eastAsia="Arial" w:hAnsi="Arial"/>
                <w:sz w:val="14"/>
                <w:szCs w:val="14"/>
                <w:color w:val="auto"/>
              </w:rPr>
              <w:t>Mary E. Galligan</w:t>
            </w:r>
            <w:r>
              <w:rPr>
                <w:rFonts w:ascii="Arial" w:cs="Arial" w:eastAsia="Arial" w:hAnsi="Arial"/>
                <w:sz w:val="21"/>
                <w:szCs w:val="21"/>
                <w:color w:val="auto"/>
                <w:vertAlign w:val="superscript"/>
              </w:rPr>
              <w:t>1</w:t>
            </w:r>
          </w:p>
        </w:tc>
        <w:tc>
          <w:tcPr>
            <w:tcW w:w="4180" w:type="dxa"/>
            <w:vAlign w:val="bottom"/>
          </w:tcPr>
          <w:p>
            <w:pPr>
              <w:ind w:left="720"/>
              <w:spacing w:after="0"/>
              <w:rPr>
                <w:sz w:val="20"/>
                <w:szCs w:val="20"/>
                <w:color w:val="auto"/>
              </w:rPr>
            </w:pPr>
            <w:r>
              <w:rPr>
                <w:rFonts w:ascii="Arial" w:cs="Arial" w:eastAsia="Arial" w:hAnsi="Arial"/>
                <w:sz w:val="16"/>
                <w:szCs w:val="16"/>
                <w:color w:val="auto"/>
              </w:rPr>
              <w:t>Lizanne Galbreath</w:t>
            </w:r>
          </w:p>
        </w:tc>
      </w:tr>
      <w:tr>
        <w:trPr>
          <w:trHeight w:val="188"/>
        </w:trPr>
        <w:tc>
          <w:tcPr>
            <w:tcW w:w="2820" w:type="dxa"/>
            <w:vAlign w:val="bottom"/>
          </w:tcPr>
          <w:p>
            <w:pPr>
              <w:ind w:left="100"/>
              <w:spacing w:after="0"/>
              <w:rPr>
                <w:sz w:val="20"/>
                <w:szCs w:val="20"/>
                <w:color w:val="auto"/>
              </w:rPr>
            </w:pPr>
            <w:r>
              <w:rPr>
                <w:rFonts w:ascii="Arial" w:cs="Arial" w:eastAsia="Arial" w:hAnsi="Arial"/>
                <w:sz w:val="16"/>
                <w:szCs w:val="16"/>
                <w:color w:val="auto"/>
              </w:rPr>
              <w:t>William W. McCarten</w:t>
            </w:r>
          </w:p>
        </w:tc>
        <w:tc>
          <w:tcPr>
            <w:tcW w:w="3980" w:type="dxa"/>
            <w:vAlign w:val="bottom"/>
          </w:tcPr>
          <w:p>
            <w:pPr>
              <w:ind w:left="1140"/>
              <w:spacing w:after="0"/>
              <w:rPr>
                <w:sz w:val="20"/>
                <w:szCs w:val="20"/>
                <w:color w:val="auto"/>
              </w:rPr>
            </w:pPr>
            <w:r>
              <w:rPr>
                <w:rFonts w:ascii="Arial" w:cs="Arial" w:eastAsia="Arial" w:hAnsi="Arial"/>
                <w:sz w:val="16"/>
                <w:szCs w:val="16"/>
                <w:color w:val="auto"/>
              </w:rPr>
              <w:t>Raymond L. Gellein, Jr.</w:t>
            </w:r>
          </w:p>
        </w:tc>
        <w:tc>
          <w:tcPr>
            <w:tcW w:w="4180" w:type="dxa"/>
            <w:vAlign w:val="bottom"/>
          </w:tcPr>
          <w:p>
            <w:pPr>
              <w:ind w:left="720"/>
              <w:spacing w:after="0"/>
              <w:rPr>
                <w:sz w:val="20"/>
                <w:szCs w:val="20"/>
                <w:color w:val="auto"/>
              </w:rPr>
            </w:pPr>
            <w:r>
              <w:rPr>
                <w:rFonts w:ascii="Arial" w:cs="Arial" w:eastAsia="Arial" w:hAnsi="Arial"/>
                <w:sz w:val="16"/>
                <w:szCs w:val="16"/>
                <w:color w:val="auto"/>
              </w:rPr>
              <w:t>Jonice M. Gray</w:t>
            </w:r>
          </w:p>
        </w:tc>
      </w:tr>
      <w:tr>
        <w:trPr>
          <w:trHeight w:val="188"/>
        </w:trPr>
        <w:tc>
          <w:tcPr>
            <w:tcW w:w="2820" w:type="dxa"/>
            <w:vAlign w:val="bottom"/>
          </w:tcPr>
          <w:p>
            <w:pPr>
              <w:ind w:left="100"/>
              <w:spacing w:after="0"/>
              <w:rPr>
                <w:sz w:val="20"/>
                <w:szCs w:val="20"/>
                <w:color w:val="auto"/>
              </w:rPr>
            </w:pPr>
            <w:r>
              <w:rPr>
                <w:rFonts w:ascii="Arial" w:cs="Arial" w:eastAsia="Arial" w:hAnsi="Arial"/>
                <w:sz w:val="16"/>
                <w:szCs w:val="16"/>
                <w:color w:val="auto"/>
              </w:rPr>
              <w:t>Stephen R. Quazzo</w:t>
            </w:r>
          </w:p>
        </w:tc>
        <w:tc>
          <w:tcPr>
            <w:tcW w:w="3980" w:type="dxa"/>
            <w:vAlign w:val="bottom"/>
          </w:tcPr>
          <w:p>
            <w:pPr>
              <w:ind w:left="1140"/>
              <w:spacing w:after="0"/>
              <w:rPr>
                <w:sz w:val="20"/>
                <w:szCs w:val="20"/>
                <w:color w:val="auto"/>
              </w:rPr>
            </w:pPr>
            <w:r>
              <w:rPr>
                <w:rFonts w:ascii="Arial" w:cs="Arial" w:eastAsia="Arial" w:hAnsi="Arial"/>
                <w:sz w:val="16"/>
                <w:szCs w:val="16"/>
                <w:color w:val="auto"/>
              </w:rPr>
              <w:t>William W. McCarten</w:t>
            </w:r>
          </w:p>
        </w:tc>
        <w:tc>
          <w:tcPr>
            <w:tcW w:w="4180" w:type="dxa"/>
            <w:vAlign w:val="bottom"/>
          </w:tcPr>
          <w:p>
            <w:pPr>
              <w:ind w:left="720"/>
              <w:spacing w:after="0" w:line="189" w:lineRule="exact"/>
              <w:rPr>
                <w:sz w:val="20"/>
                <w:szCs w:val="20"/>
                <w:color w:val="auto"/>
              </w:rPr>
            </w:pPr>
            <w:r>
              <w:rPr>
                <w:rFonts w:ascii="Arial" w:cs="Arial" w:eastAsia="Arial" w:hAnsi="Arial"/>
                <w:sz w:val="14"/>
                <w:szCs w:val="14"/>
                <w:color w:val="auto"/>
              </w:rPr>
              <w:t>Melquiades R. Martinez</w:t>
            </w:r>
            <w:r>
              <w:rPr>
                <w:rFonts w:ascii="Arial" w:cs="Arial" w:eastAsia="Arial" w:hAnsi="Arial"/>
                <w:sz w:val="21"/>
                <w:szCs w:val="21"/>
                <w:color w:val="auto"/>
                <w:vertAlign w:val="superscript"/>
              </w:rPr>
              <w:t>3</w:t>
            </w:r>
          </w:p>
        </w:tc>
      </w:tr>
      <w:tr>
        <w:trPr>
          <w:trHeight w:val="216"/>
        </w:trPr>
        <w:tc>
          <w:tcPr>
            <w:tcW w:w="2820" w:type="dxa"/>
            <w:vAlign w:val="bottom"/>
            <w:tcBorders>
              <w:bottom w:val="single" w:sz="8" w:color="003A70"/>
            </w:tcBorders>
          </w:tcPr>
          <w:p>
            <w:pPr>
              <w:spacing w:after="0"/>
              <w:rPr>
                <w:sz w:val="18"/>
                <w:szCs w:val="18"/>
                <w:color w:val="auto"/>
              </w:rPr>
            </w:pPr>
          </w:p>
        </w:tc>
        <w:tc>
          <w:tcPr>
            <w:tcW w:w="3980" w:type="dxa"/>
            <w:vAlign w:val="bottom"/>
            <w:tcBorders>
              <w:bottom w:val="single" w:sz="8" w:color="003A70"/>
            </w:tcBorders>
          </w:tcPr>
          <w:p>
            <w:pPr>
              <w:ind w:left="1140"/>
              <w:spacing w:after="0" w:line="216" w:lineRule="exact"/>
              <w:rPr>
                <w:sz w:val="20"/>
                <w:szCs w:val="20"/>
                <w:color w:val="auto"/>
              </w:rPr>
            </w:pPr>
            <w:r>
              <w:rPr>
                <w:rFonts w:ascii="Arial" w:cs="Arial" w:eastAsia="Arial" w:hAnsi="Arial"/>
                <w:sz w:val="16"/>
                <w:szCs w:val="16"/>
                <w:color w:val="auto"/>
              </w:rPr>
              <w:t>Stephen R. Quazzo</w:t>
            </w:r>
            <w:r>
              <w:rPr>
                <w:rFonts w:ascii="Arial" w:cs="Arial" w:eastAsia="Arial" w:hAnsi="Arial"/>
                <w:sz w:val="24"/>
                <w:szCs w:val="24"/>
                <w:color w:val="auto"/>
                <w:vertAlign w:val="superscript"/>
              </w:rPr>
              <w:t>2</w:t>
            </w:r>
          </w:p>
        </w:tc>
        <w:tc>
          <w:tcPr>
            <w:tcW w:w="4180" w:type="dxa"/>
            <w:vAlign w:val="bottom"/>
            <w:tcBorders>
              <w:bottom w:val="single" w:sz="8" w:color="003A70"/>
            </w:tcBorders>
          </w:tcPr>
          <w:p>
            <w:pPr>
              <w:ind w:left="720"/>
              <w:spacing w:after="0"/>
              <w:rPr>
                <w:sz w:val="20"/>
                <w:szCs w:val="20"/>
                <w:color w:val="auto"/>
              </w:rPr>
            </w:pPr>
            <w:r>
              <w:rPr>
                <w:rFonts w:ascii="Arial" w:cs="Arial" w:eastAsia="Arial" w:hAnsi="Arial"/>
                <w:sz w:val="16"/>
                <w:szCs w:val="16"/>
                <w:color w:val="auto"/>
              </w:rPr>
              <w:t>Dianna F. Morgan</w:t>
            </w:r>
          </w:p>
        </w:tc>
      </w:tr>
    </w:tbl>
    <w:p>
      <w:pPr>
        <w:spacing w:after="0" w:line="8" w:lineRule="exact"/>
        <w:rPr>
          <w:sz w:val="20"/>
          <w:szCs w:val="20"/>
          <w:color w:val="auto"/>
        </w:rPr>
      </w:pPr>
    </w:p>
    <w:p>
      <w:pPr>
        <w:ind w:left="460" w:hanging="325"/>
        <w:spacing w:after="0"/>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Effective February 16, 2024.</w:t>
      </w:r>
    </w:p>
    <w:p>
      <w:pPr>
        <w:ind w:left="460" w:hanging="325"/>
        <w:spacing w:after="0" w:line="229"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Mr. Quazzo served on the Compensation Policy Committee through February 16, 2024.</w:t>
      </w:r>
    </w:p>
    <w:p>
      <w:pPr>
        <w:ind w:left="460" w:hanging="325"/>
        <w:spacing w:after="0" w:line="230"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Mr. Martinez served as Chair of the Nominating and Corporate Governance Committee through February 16, 2024.</w:t>
      </w:r>
    </w:p>
    <w:p>
      <w:pPr>
        <w:spacing w:after="0" w:line="116" w:lineRule="exact"/>
        <w:rPr>
          <w:sz w:val="20"/>
          <w:szCs w:val="20"/>
          <w:color w:val="auto"/>
        </w:rPr>
      </w:pPr>
    </w:p>
    <w:p>
      <w:pPr>
        <w:ind w:left="140"/>
        <w:spacing w:after="0"/>
        <w:tabs>
          <w:tab w:leader="none" w:pos="436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b w:val="1"/>
          <w:bCs w:val="1"/>
          <w:color w:val="003A7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02" w:lineRule="exact"/>
        <w:rPr>
          <w:sz w:val="20"/>
          <w:szCs w:val="20"/>
          <w:color w:val="auto"/>
        </w:rPr>
      </w:pPr>
    </w:p>
    <w:p>
      <w:pPr>
        <w:ind w:left="140" w:right="80"/>
        <w:spacing w:after="0" w:line="25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has determined that each of the members of the Audit Committee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seven times in 2024. Each member of the Audit Committee is financially literate under applicable SEC and NYSE standards. In addition, Mr. Andrews, Mr. McCarten and Mr. Quazzo each possesses accounting or related financial management expertise within the meaning of the NYSE Listing Standards and qualifies as an “audit committee financial expert” as defined under the applicable SEC rules. Our Corporate Governance Principles establish a limit on the number of audit committees of publicly traded companies on which members of the Company’s Audit Committee may serve, including our Audit Committee, at three.</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responsibilities of the Audit Committee include, among other things:</w:t>
      </w:r>
    </w:p>
    <w:p>
      <w:pPr>
        <w:spacing w:after="0" w:line="45" w:lineRule="exact"/>
        <w:rPr>
          <w:sz w:val="20"/>
          <w:szCs w:val="20"/>
          <w:color w:val="auto"/>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appointing, retaining, overseeing and determining the compensation of our independent auditor;</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approving all terms and fees associated with any audit engagement of our independent auditor;</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overseeing our accounting, reporting, financial, cybersecurity, data security and artificial intelligence practices;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overseeing our internal control environment and compliance with legal and regulatory requirements;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overseeing our independent auditor’s qualifications and independence;</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overseeing the performance of our internal audit function and the independent auditor; and</w:t>
      </w:r>
    </w:p>
    <w:p>
      <w:pPr>
        <w:spacing w:after="0" w:line="44" w:lineRule="exact"/>
        <w:rPr>
          <w:rFonts w:ascii="Arial" w:cs="Arial" w:eastAsia="Arial" w:hAnsi="Arial"/>
          <w:sz w:val="16"/>
          <w:szCs w:val="16"/>
          <w:color w:val="003A70"/>
        </w:rPr>
      </w:pPr>
    </w:p>
    <w:p>
      <w:pPr>
        <w:ind w:left="360" w:right="500" w:hanging="225"/>
        <w:spacing w:after="0" w:line="284" w:lineRule="auto"/>
        <w:tabs>
          <w:tab w:leader="none" w:pos="36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overseeing the Company’s corporate responsibility reporting and internal controls and disclosure procedures concerning corporate responsibility matters.</w:t>
      </w:r>
    </w:p>
    <w:p>
      <w:pPr>
        <w:spacing w:after="0" w:line="49" w:lineRule="exact"/>
        <w:rPr>
          <w:sz w:val="20"/>
          <w:szCs w:val="20"/>
          <w:color w:val="auto"/>
        </w:rPr>
      </w:pPr>
    </w:p>
    <w:p>
      <w:pPr>
        <w:ind w:left="140" w:right="540"/>
        <w:spacing w:after="0" w:line="284" w:lineRule="auto"/>
        <w:rPr>
          <w:sz w:val="20"/>
          <w:szCs w:val="20"/>
          <w:color w:val="auto"/>
        </w:rPr>
      </w:pPr>
      <w:r>
        <w:rPr>
          <w:rFonts w:ascii="Arial" w:cs="Arial" w:eastAsia="Arial" w:hAnsi="Arial"/>
          <w:sz w:val="16"/>
          <w:szCs w:val="16"/>
          <w:i w:val="1"/>
          <w:iCs w:val="1"/>
          <w:color w:val="auto"/>
        </w:rPr>
        <w:t xml:space="preserve">Compensation Policy Committee. </w:t>
      </w:r>
      <w:r>
        <w:rPr>
          <w:rFonts w:ascii="Arial" w:cs="Arial" w:eastAsia="Arial" w:hAnsi="Arial"/>
          <w:sz w:val="16"/>
          <w:szCs w:val="16"/>
          <w:color w:val="auto"/>
        </w:rPr>
        <w:t>The Board has determined that each of the members of the CPC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and the NYSE Listing Standards for compensation committee members. The CPC met four times in 2024.</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responsibilities of the CPC include, among other things:</w:t>
      </w:r>
    </w:p>
    <w:p>
      <w:pPr>
        <w:spacing w:after="0" w:line="45" w:lineRule="exact"/>
        <w:rPr>
          <w:sz w:val="20"/>
          <w:szCs w:val="20"/>
          <w:color w:val="auto"/>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assisting the Board in discharging its responsibilities relating to executive compensation;</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overseeing our overall compensation structure, policies and programs;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reviewing and approving on an annual basis the corporate goals and objectives with respect to compensation for the CEO;</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overseeing the evaluation and setting the compensation of our other executive officers;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maintaining management succession plans;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reviewing the compensation of non-employee directors and recommending any changes in compensation to the Board; and</w:t>
      </w:r>
    </w:p>
    <w:p>
      <w:pPr>
        <w:spacing w:after="0" w:line="44" w:lineRule="exact"/>
        <w:rPr>
          <w:rFonts w:ascii="Arial" w:cs="Arial" w:eastAsia="Arial" w:hAnsi="Arial"/>
          <w:sz w:val="16"/>
          <w:szCs w:val="16"/>
          <w:color w:val="003A70"/>
        </w:rPr>
      </w:pPr>
    </w:p>
    <w:p>
      <w:pPr>
        <w:ind w:left="360" w:hanging="225"/>
        <w:spacing w:after="0" w:line="263" w:lineRule="auto"/>
        <w:tabs>
          <w:tab w:leader="none" w:pos="360" w:val="left"/>
        </w:tabs>
        <w:numPr>
          <w:ilvl w:val="0"/>
          <w:numId w:val="36"/>
        </w:numPr>
        <w:rPr>
          <w:rFonts w:ascii="Arial" w:cs="Arial" w:eastAsia="Arial" w:hAnsi="Arial"/>
          <w:sz w:val="16"/>
          <w:szCs w:val="16"/>
          <w:color w:val="003A70"/>
        </w:rPr>
      </w:pPr>
      <w:r>
        <w:rPr>
          <w:rFonts w:ascii="Arial" w:cs="Arial" w:eastAsia="Arial" w:hAnsi="Arial"/>
          <w:sz w:val="16"/>
          <w:szCs w:val="16"/>
          <w:color w:val="auto"/>
        </w:rPr>
        <w:t>reviewing corporate responsibility matters relating to the Company’s workforce and key aspects of the Company’s human resources strategies, policies and programs.</w:t>
      </w:r>
    </w:p>
    <w:p>
      <w:pPr>
        <w:ind w:left="140"/>
        <w:spacing w:after="0"/>
        <w:rPr>
          <w:sz w:val="20"/>
          <w:szCs w:val="20"/>
          <w:color w:val="auto"/>
        </w:rPr>
      </w:pPr>
      <w:r>
        <w:rPr>
          <w:rFonts w:ascii="Arial" w:cs="Arial" w:eastAsia="Arial" w:hAnsi="Arial"/>
          <w:sz w:val="16"/>
          <w:szCs w:val="16"/>
          <w:color w:val="auto"/>
        </w:rPr>
        <w:t>The CPC may delegate any of its responsibilities to subcommittees as the CPC may deem appropriate.</w:t>
      </w:r>
    </w:p>
    <w:p>
      <w:pPr>
        <w:spacing w:after="0" w:line="112" w:lineRule="exact"/>
        <w:rPr>
          <w:sz w:val="20"/>
          <w:szCs w:val="20"/>
          <w:color w:val="auto"/>
        </w:rPr>
      </w:pPr>
    </w:p>
    <w:p>
      <w:pPr>
        <w:ind w:left="140" w:right="160"/>
        <w:spacing w:after="0" w:line="265"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has determined that each of the members of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our Corporate Governance Principles and the NYSE Listing Standards. The Nominating and Corporate Governance Committee met five times in 2024.</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responsibilities of the Nominating and Corporate Governance Committee include, among other things:</w:t>
      </w:r>
    </w:p>
    <w:p>
      <w:pPr>
        <w:spacing w:after="0" w:line="45" w:lineRule="exact"/>
        <w:rPr>
          <w:sz w:val="20"/>
          <w:szCs w:val="20"/>
          <w:color w:val="auto"/>
        </w:rPr>
      </w:pPr>
    </w:p>
    <w:p>
      <w:pPr>
        <w:ind w:left="360" w:hanging="225"/>
        <w:spacing w:after="0"/>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identifying and evaluating director candidates;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recommending to the Board director candidates for election;</w:t>
      </w:r>
    </w:p>
    <w:p>
      <w:pPr>
        <w:spacing w:after="0" w:line="44" w:lineRule="exact"/>
        <w:rPr>
          <w:rFonts w:ascii="Arial" w:cs="Arial" w:eastAsia="Arial" w:hAnsi="Arial"/>
          <w:sz w:val="16"/>
          <w:szCs w:val="16"/>
          <w:color w:val="003A70"/>
        </w:rPr>
      </w:pPr>
    </w:p>
    <w:p>
      <w:pPr>
        <w:ind w:left="360" w:right="720" w:hanging="225"/>
        <w:spacing w:after="0" w:line="271" w:lineRule="auto"/>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recommending to the Board implementation of corporate governance principles and annually reviewing and recommending changes to these principles as appropriate;</w:t>
      </w:r>
    </w:p>
    <w:p>
      <w:pPr>
        <w:spacing w:after="0" w:line="1" w:lineRule="exact"/>
        <w:rPr>
          <w:rFonts w:ascii="Arial" w:cs="Arial" w:eastAsia="Arial" w:hAnsi="Arial"/>
          <w:sz w:val="16"/>
          <w:szCs w:val="16"/>
          <w:color w:val="003A70"/>
        </w:rPr>
      </w:pPr>
    </w:p>
    <w:p>
      <w:pPr>
        <w:ind w:left="360" w:right="640" w:hanging="225"/>
        <w:spacing w:after="0" w:line="271" w:lineRule="auto"/>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reviewing our conflict of interest and related party transactions policies and approving certain related party transactions as provided for in such policies;</w:t>
      </w:r>
    </w:p>
    <w:p>
      <w:pPr>
        <w:spacing w:after="0" w:line="1" w:lineRule="exact"/>
        <w:rPr>
          <w:rFonts w:ascii="Arial" w:cs="Arial" w:eastAsia="Arial" w:hAnsi="Arial"/>
          <w:sz w:val="16"/>
          <w:szCs w:val="16"/>
          <w:color w:val="003A70"/>
        </w:rPr>
      </w:pPr>
    </w:p>
    <w:p>
      <w:pPr>
        <w:ind w:left="360" w:hanging="225"/>
        <w:spacing w:after="0"/>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performing a leadership role in shaping our corporate governance; and</w:t>
      </w:r>
    </w:p>
    <w:p>
      <w:pPr>
        <w:spacing w:after="0" w:line="44" w:lineRule="exact"/>
        <w:rPr>
          <w:rFonts w:ascii="Arial" w:cs="Arial" w:eastAsia="Arial" w:hAnsi="Arial"/>
          <w:sz w:val="16"/>
          <w:szCs w:val="16"/>
          <w:color w:val="003A70"/>
        </w:rPr>
      </w:pPr>
    </w:p>
    <w:p>
      <w:pPr>
        <w:ind w:left="360" w:right="160" w:hanging="225"/>
        <w:spacing w:after="0" w:line="284" w:lineRule="auto"/>
        <w:tabs>
          <w:tab w:leader="none" w:pos="36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reviewing and making recommendations to the Board regarding sustainability matters, including corporate responsibility matters, except to the extent specifically allocated to another committee of the Board.</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1" w:lineRule="exact"/>
        <w:rPr>
          <w:sz w:val="20"/>
          <w:szCs w:val="20"/>
          <w:color w:val="auto"/>
        </w:rPr>
      </w:pPr>
    </w:p>
    <w:p>
      <w:pPr>
        <w:ind w:left="140" w:right="460"/>
        <w:spacing w:after="0" w:line="284" w:lineRule="auto"/>
        <w:rPr>
          <w:sz w:val="20"/>
          <w:szCs w:val="20"/>
          <w:color w:val="auto"/>
        </w:rPr>
      </w:pPr>
      <w:r>
        <w:rPr>
          <w:rFonts w:ascii="Arial" w:cs="Arial" w:eastAsia="Arial" w:hAnsi="Arial"/>
          <w:sz w:val="16"/>
          <w:szCs w:val="16"/>
          <w:color w:val="auto"/>
        </w:rPr>
        <w:t>None of the members of the CPC is or has been an officer or employee of the Company or had any relationship that is required to be disclosed as a transaction with a related party or as an interlocking relationship.</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MEETINGS OF INDEPENDENT DIRECTORS</w:t>
      </w:r>
    </w:p>
    <w:p>
      <w:pPr>
        <w:spacing w:after="0" w:line="111" w:lineRule="exact"/>
        <w:rPr>
          <w:sz w:val="20"/>
          <w:szCs w:val="20"/>
          <w:color w:val="auto"/>
        </w:rPr>
      </w:pPr>
    </w:p>
    <w:p>
      <w:pPr>
        <w:ind w:left="140" w:right="400"/>
        <w:spacing w:after="0" w:line="265" w:lineRule="auto"/>
        <w:rPr>
          <w:sz w:val="20"/>
          <w:szCs w:val="20"/>
          <w:color w:val="auto"/>
        </w:rPr>
      </w:pPr>
      <w:r>
        <w:rPr>
          <w:rFonts w:ascii="Arial" w:cs="Arial" w:eastAsia="Arial" w:hAnsi="Arial"/>
          <w:sz w:val="16"/>
          <w:szCs w:val="16"/>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104" w:lineRule="exact"/>
        <w:rPr>
          <w:sz w:val="20"/>
          <w:szCs w:val="20"/>
          <w:color w:val="auto"/>
        </w:rPr>
      </w:pPr>
    </w:p>
    <w:p>
      <w:pPr>
        <w:ind w:left="140"/>
        <w:spacing w:after="0"/>
        <w:tabs>
          <w:tab w:leader="none" w:pos="4360" w:val="left"/>
          <w:tab w:leader="none" w:pos="7820" w:val="left"/>
        </w:tabs>
        <w:rPr>
          <w:sz w:val="20"/>
          <w:szCs w:val="20"/>
          <w:color w:val="auto"/>
        </w:rPr>
      </w:pPr>
      <w:r>
        <w:rPr>
          <w:rFonts w:ascii="Arial" w:cs="Arial" w:eastAsia="Arial" w:hAnsi="Arial"/>
          <w:sz w:val="11"/>
          <w:szCs w:val="11"/>
          <w:b w:val="1"/>
          <w:bCs w:val="1"/>
          <w:color w:val="003A70"/>
        </w:rPr>
        <w:t>18</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54"/>
          <w:szCs w:val="5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-356235</wp:posOffset>
            </wp:positionV>
            <wp:extent cx="85725" cy="4445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SEPARATION OF BOARD CHAIRMAN AND CHIEF EXECUTIVE OFFICER</w:t>
      </w:r>
    </w:p>
    <w:p>
      <w:pPr>
        <w:spacing w:after="0" w:line="111" w:lineRule="exact"/>
        <w:rPr>
          <w:sz w:val="20"/>
          <w:szCs w:val="20"/>
          <w:color w:val="auto"/>
        </w:rPr>
      </w:pPr>
    </w:p>
    <w:p>
      <w:pPr>
        <w:ind w:left="140" w:right="100"/>
        <w:spacing w:after="0" w:line="253" w:lineRule="auto"/>
        <w:rPr>
          <w:sz w:val="20"/>
          <w:szCs w:val="20"/>
          <w:color w:val="auto"/>
        </w:rPr>
      </w:pPr>
      <w:r>
        <w:rPr>
          <w:rFonts w:ascii="Arial" w:cs="Arial" w:eastAsia="Arial" w:hAnsi="Arial"/>
          <w:sz w:val="16"/>
          <w:szCs w:val="16"/>
          <w:color w:val="auto"/>
        </w:rPr>
        <w:t>While the Board has no formal policy requiring the separation of the positions of Chairman of the Board and Chief Executive Officer, William J. Shaw, an independent director, currently serves as Chairman of the Board. Our Board regularly reviews our leadership structure and has determined that separating the roles of Chairman and Chief Executive Officer is the optimal leadership structure for the Company at this time, allowing our Chief Executive Officer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BOARD AND COMMITTEE EVALUATIONS</w:t>
      </w:r>
    </w:p>
    <w:p>
      <w:pPr>
        <w:spacing w:after="0" w:line="111" w:lineRule="exact"/>
        <w:rPr>
          <w:sz w:val="20"/>
          <w:szCs w:val="20"/>
          <w:color w:val="auto"/>
        </w:rPr>
      </w:pPr>
    </w:p>
    <w:p>
      <w:pPr>
        <w:ind w:left="140" w:right="260"/>
        <w:spacing w:after="0" w:line="258" w:lineRule="auto"/>
        <w:rPr>
          <w:sz w:val="20"/>
          <w:szCs w:val="20"/>
          <w:color w:val="auto"/>
        </w:rPr>
      </w:pPr>
      <w:r>
        <w:rPr>
          <w:rFonts w:ascii="Arial" w:cs="Arial" w:eastAsia="Arial" w:hAnsi="Arial"/>
          <w:sz w:val="16"/>
          <w:szCs w:val="16"/>
          <w:color w:val="auto"/>
        </w:rPr>
        <w:t>The Board and its committees annually evaluate their own performance. The evaluation process is overseen by the Nominating and Corporate Governance Committee, which recommends enhancements to Board and committee effectiveness as appropriate. The process includes distribution of questionnaires to each director, Board and committee discussions in executive session led by the Chairman or relevant committee chair, and opportunities for discussions between individual directors and the Chairman, committee chairs, and/or the Corporate Secretary.</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6"/>
          <w:szCs w:val="16"/>
          <w:color w:val="003A70"/>
        </w:rPr>
        <w:t>Topics covered by the 2024 evaluation process included:</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5060" w:type="dxa"/>
            <w:vAlign w:val="bottom"/>
            <w:tcBorders>
              <w:top w:val="single" w:sz="8" w:color="003A70"/>
            </w:tcBorders>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Board and committee structure; overall evaluation</w:t>
            </w:r>
          </w:p>
        </w:tc>
        <w:tc>
          <w:tcPr>
            <w:tcW w:w="5920" w:type="dxa"/>
            <w:vAlign w:val="bottom"/>
            <w:tcBorders>
              <w:top w:val="single" w:sz="8" w:color="003A70"/>
            </w:tcBorders>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Oversight of key strategic, operational and compliance risks</w:t>
            </w:r>
          </w:p>
        </w:tc>
      </w:tr>
      <w:tr>
        <w:trPr>
          <w:trHeight w:val="214"/>
        </w:trPr>
        <w:tc>
          <w:tcPr>
            <w:tcW w:w="5060" w:type="dxa"/>
            <w:vAlign w:val="bottom"/>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Effectiveness of meetings</w:t>
            </w:r>
          </w:p>
        </w:tc>
        <w:tc>
          <w:tcPr>
            <w:tcW w:w="5920" w:type="dxa"/>
            <w:vAlign w:val="bottom"/>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Frequency and breadth of executive sessions</w:t>
            </w:r>
          </w:p>
        </w:tc>
      </w:tr>
      <w:tr>
        <w:trPr>
          <w:trHeight w:val="215"/>
        </w:trPr>
        <w:tc>
          <w:tcPr>
            <w:tcW w:w="5060" w:type="dxa"/>
            <w:vAlign w:val="bottom"/>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Adequacy of materials</w:t>
            </w:r>
          </w:p>
        </w:tc>
        <w:tc>
          <w:tcPr>
            <w:tcW w:w="5920" w:type="dxa"/>
            <w:vAlign w:val="bottom"/>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Skills and qualifications of Board and committee members</w:t>
            </w:r>
          </w:p>
        </w:tc>
      </w:tr>
      <w:tr>
        <w:trPr>
          <w:trHeight w:val="251"/>
        </w:trPr>
        <w:tc>
          <w:tcPr>
            <w:tcW w:w="5060" w:type="dxa"/>
            <w:vAlign w:val="bottom"/>
            <w:tcBorders>
              <w:bottom w:val="single" w:sz="8" w:color="003A70"/>
            </w:tcBorders>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Quality of deliberations and communication with management</w:t>
            </w:r>
          </w:p>
        </w:tc>
        <w:tc>
          <w:tcPr>
            <w:tcW w:w="5920" w:type="dxa"/>
            <w:vAlign w:val="bottom"/>
            <w:tcBorders>
              <w:bottom w:val="single" w:sz="8" w:color="003A70"/>
            </w:tcBorders>
          </w:tcPr>
          <w:p>
            <w:pPr>
              <w:spacing w:after="0"/>
              <w:rPr>
                <w:sz w:val="21"/>
                <w:szCs w:val="21"/>
                <w:color w:val="auto"/>
              </w:rPr>
            </w:pPr>
          </w:p>
        </w:tc>
      </w:tr>
    </w:tbl>
    <w:p>
      <w:pPr>
        <w:spacing w:after="0" w:line="94" w:lineRule="exact"/>
        <w:rPr>
          <w:sz w:val="20"/>
          <w:szCs w:val="20"/>
          <w:color w:val="auto"/>
        </w:rPr>
      </w:pPr>
    </w:p>
    <w:p>
      <w:pPr>
        <w:ind w:left="140" w:right="500"/>
        <w:spacing w:after="0" w:line="284" w:lineRule="auto"/>
        <w:rPr>
          <w:sz w:val="20"/>
          <w:szCs w:val="20"/>
          <w:color w:val="auto"/>
        </w:rPr>
      </w:pPr>
      <w:r>
        <w:rPr>
          <w:rFonts w:ascii="Arial" w:cs="Arial" w:eastAsia="Arial" w:hAnsi="Arial"/>
          <w:sz w:val="16"/>
          <w:szCs w:val="16"/>
          <w:color w:val="auto"/>
        </w:rPr>
        <w:t>The results from the 2024 evaluation process were positive and confirmed our belief that our Board upholds a high level of Board effectiveness and governance.</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INCLUSION AND DIVERSITY</w:t>
      </w:r>
    </w:p>
    <w:p>
      <w:pPr>
        <w:spacing w:after="0" w:line="111" w:lineRule="exact"/>
        <w:rPr>
          <w:sz w:val="20"/>
          <w:szCs w:val="20"/>
          <w:color w:val="auto"/>
        </w:rPr>
      </w:pPr>
    </w:p>
    <w:p>
      <w:pPr>
        <w:ind w:left="140" w:right="80"/>
        <w:spacing w:after="0" w:line="253" w:lineRule="auto"/>
        <w:rPr>
          <w:sz w:val="20"/>
          <w:szCs w:val="20"/>
          <w:color w:val="auto"/>
        </w:rPr>
      </w:pPr>
      <w:r>
        <w:rPr>
          <w:rFonts w:ascii="Arial" w:cs="Arial" w:eastAsia="Arial" w:hAnsi="Arial"/>
          <w:sz w:val="16"/>
          <w:szCs w:val="16"/>
          <w:color w:val="auto"/>
        </w:rPr>
        <w:t>At Marriott Vacations Worldwide, we are in the business of bringing people together. Like our customers, our associates come from diverse backgrounds, offering invaluably distinct perspectives. Throughout the year, we infused our associate communications and associate experience programming with touchpoints designed to educate, commemorate, and celebrate key events and milestones, and further build on our vibrant culture of inclusion. We have an Executive Inclusion Council, which is comprised of senior leaders dedicated to enabling and championing inclusion initiatives throughout the organization. Our inclusion and diversity commitment statement is “MVW is committed to cultivating inclusion and fostering diversity in all aspects of our business.</w:t>
      </w:r>
    </w:p>
    <w:p>
      <w:pPr>
        <w:spacing w:after="0" w:line="182" w:lineRule="exact"/>
        <w:rPr>
          <w:sz w:val="20"/>
          <w:szCs w:val="20"/>
          <w:color w:val="auto"/>
        </w:rPr>
      </w:pPr>
    </w:p>
    <w:p>
      <w:pPr>
        <w:ind w:left="140" w:right="220"/>
        <w:spacing w:after="0" w:line="284" w:lineRule="auto"/>
        <w:rPr>
          <w:sz w:val="20"/>
          <w:szCs w:val="20"/>
          <w:color w:val="auto"/>
        </w:rPr>
      </w:pPr>
      <w:r>
        <w:rPr>
          <w:rFonts w:ascii="Arial" w:cs="Arial" w:eastAsia="Arial" w:hAnsi="Arial"/>
          <w:sz w:val="16"/>
          <w:szCs w:val="16"/>
          <w:color w:val="auto"/>
        </w:rPr>
        <w:t>We provide treasured vacation experiences to our customers around the world and work to create an inclusive, diverse, and caring environment for our associates. We support a Life Fulfilled for all individuals and embrace the notion that we are Better Together.”</w:t>
      </w:r>
    </w:p>
    <w:p>
      <w:pPr>
        <w:spacing w:after="0" w:line="90" w:lineRule="exact"/>
        <w:rPr>
          <w:sz w:val="20"/>
          <w:szCs w:val="20"/>
          <w:color w:val="auto"/>
        </w:rPr>
      </w:pPr>
    </w:p>
    <w:p>
      <w:pPr>
        <w:ind w:left="140"/>
        <w:spacing w:after="0"/>
        <w:tabs>
          <w:tab w:leader="none" w:pos="50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2024 Workforce Composition </w:t>
      </w:r>
      <w:r>
        <w:rPr>
          <w:rFonts w:ascii="Arial" w:cs="Arial" w:eastAsia="Arial" w:hAnsi="Arial"/>
          <w:sz w:val="18"/>
          <w:szCs w:val="18"/>
          <w:color w:val="auto"/>
        </w:rPr>
        <w:t>(as of 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162560</wp:posOffset>
            </wp:positionV>
            <wp:extent cx="5236210" cy="5022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36210" cy="502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hanging="325"/>
        <w:spacing w:after="0"/>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Based on voluntarily disclosed data from United States associates.</w:t>
      </w:r>
    </w:p>
    <w:p>
      <w:pPr>
        <w:spacing w:after="0" w:line="116" w:lineRule="exact"/>
        <w:rPr>
          <w:sz w:val="20"/>
          <w:szCs w:val="20"/>
          <w:color w:val="auto"/>
        </w:rPr>
      </w:pPr>
    </w:p>
    <w:p>
      <w:pPr>
        <w:ind w:left="140"/>
        <w:spacing w:after="0"/>
        <w:tabs>
          <w:tab w:leader="none" w:pos="5080" w:val="left"/>
          <w:tab w:leader="none" w:pos="7820" w:val="left"/>
        </w:tabs>
        <w:rPr>
          <w:sz w:val="20"/>
          <w:szCs w:val="20"/>
          <w:color w:val="auto"/>
        </w:rPr>
      </w:pPr>
      <w:r>
        <w:rPr>
          <w:rFonts w:ascii="Arial" w:cs="Arial" w:eastAsia="Arial" w:hAnsi="Arial"/>
          <w:sz w:val="11"/>
          <w:szCs w:val="11"/>
          <w:b w:val="1"/>
          <w:bCs w:val="1"/>
          <w:color w:val="003A70"/>
        </w:rPr>
        <w:t>20</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SELECTION OF DIRECTOR NOMINEES</w:t>
      </w:r>
    </w:p>
    <w:p>
      <w:pPr>
        <w:spacing w:after="0" w:line="111" w:lineRule="exact"/>
        <w:rPr>
          <w:sz w:val="20"/>
          <w:szCs w:val="20"/>
          <w:color w:val="auto"/>
        </w:rPr>
      </w:pPr>
    </w:p>
    <w:p>
      <w:pPr>
        <w:ind w:left="140" w:right="40"/>
        <w:spacing w:after="0" w:line="248" w:lineRule="auto"/>
        <w:rPr>
          <w:sz w:val="20"/>
          <w:szCs w:val="20"/>
          <w:color w:val="auto"/>
        </w:rPr>
      </w:pPr>
      <w:r>
        <w:rPr>
          <w:rFonts w:ascii="Arial" w:cs="Arial" w:eastAsia="Arial" w:hAnsi="Arial"/>
          <w:sz w:val="16"/>
          <w:szCs w:val="16"/>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seeks diverse backgrounds, experiences, and perspectives among its members.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 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 Mr. Avril was recommended to the Board by a non-management director and Mr. Dausch was recommended to the Board by a stockholder.</w:t>
      </w:r>
    </w:p>
    <w:p>
      <w:pPr>
        <w:spacing w:after="0" w:line="271" w:lineRule="exact"/>
        <w:rPr>
          <w:sz w:val="20"/>
          <w:szCs w:val="20"/>
          <w:color w:val="auto"/>
        </w:rPr>
      </w:pPr>
    </w:p>
    <w:p>
      <w:pPr>
        <w:ind w:left="140" w:right="300"/>
        <w:spacing w:after="0" w:line="253" w:lineRule="auto"/>
        <w:rPr>
          <w:sz w:val="20"/>
          <w:szCs w:val="20"/>
          <w:color w:val="auto"/>
        </w:rPr>
      </w:pPr>
      <w:r>
        <w:rPr>
          <w:rFonts w:ascii="Arial" w:cs="Arial" w:eastAsia="Arial" w:hAnsi="Arial"/>
          <w:sz w:val="16"/>
          <w:szCs w:val="16"/>
          <w:color w:val="auto"/>
        </w:rPr>
        <w:t>The Nominating and Corporate Governance Committee identifies candidates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candidates for consideration by the Nominating and Corporate Governance Committee by submitting the names and supporting information to: Marriott Vacations Worldwide Corporation, 7812 Palm Parkway, Orlando, Florida, 32836, Attention: Corporate Secretary. Candidates recommended by stockholders are considered on the same basis as those from other sources.</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supporting information should include the information required by our Bylaws in connection with the nominations of persons for election to the Board.</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Nominating and Corporate Governance Committee will evaluate all candidates, regardless of source, in light of the Board-approved criteria.</w:t>
      </w:r>
    </w:p>
    <w:p>
      <w:pPr>
        <w:spacing w:after="0" w:line="29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DIRECTOR INDEPENDENCE</w:t>
      </w:r>
    </w:p>
    <w:p>
      <w:pPr>
        <w:spacing w:after="0" w:line="111" w:lineRule="exact"/>
        <w:rPr>
          <w:sz w:val="20"/>
          <w:szCs w:val="20"/>
          <w:color w:val="auto"/>
        </w:rPr>
      </w:pPr>
    </w:p>
    <w:p>
      <w:pPr>
        <w:ind w:left="140" w:right="420"/>
        <w:spacing w:after="0" w:line="258" w:lineRule="auto"/>
        <w:rPr>
          <w:sz w:val="20"/>
          <w:szCs w:val="20"/>
          <w:color w:val="auto"/>
        </w:rPr>
      </w:pPr>
      <w:r>
        <w:rPr>
          <w:rFonts w:ascii="Arial" w:cs="Arial" w:eastAsia="Arial" w:hAnsi="Arial"/>
          <w:sz w:val="16"/>
          <w:szCs w:val="16"/>
          <w:color w:val="auto"/>
        </w:rPr>
        <w:t>The Company has determined that all of the current directors, other than John E. Geller, Jr., have no material relationship with the Company and are independent under the criteria set forth in the applicable rules of the SEC, the NYSE Listing Standards and the Company’s Corporate Governance Principles. Additionally, all of the members of the Audit Committee, Compensation Policy Committee, and Nominating and Corporate Governance Committee are independent under such standards, including any heightened standards applicable to committee members.</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RISK OVERSIGHT</w:t>
      </w:r>
    </w:p>
    <w:p>
      <w:pPr>
        <w:spacing w:after="0" w:line="111"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Executive Vice President and Chief Financial Officer and our Senior Vice President, Internal Audit &amp; Corporate Responsibility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Each of the Board’s committees addresses risks that fall within that committee’s area of responsibility.</w:t>
      </w:r>
    </w:p>
    <w:p>
      <w:pPr>
        <w:spacing w:after="0" w:line="112" w:lineRule="exact"/>
        <w:rPr>
          <w:sz w:val="20"/>
          <w:szCs w:val="20"/>
          <w:color w:val="auto"/>
        </w:rPr>
      </w:pPr>
    </w:p>
    <w:p>
      <w:pPr>
        <w:ind w:left="140" w:right="240"/>
        <w:spacing w:after="0" w:line="253" w:lineRule="auto"/>
        <w:rPr>
          <w:sz w:val="20"/>
          <w:szCs w:val="20"/>
          <w:color w:val="auto"/>
        </w:rPr>
      </w:pPr>
      <w:r>
        <w:rPr>
          <w:rFonts w:ascii="Arial" w:cs="Arial" w:eastAsia="Arial" w:hAnsi="Arial"/>
          <w:sz w:val="16"/>
          <w:szCs w:val="16"/>
          <w:color w:val="auto"/>
        </w:rPr>
        <w:t>Our Audit Committee is responsible for a number of risk oversight functions, including the periodic review of the audit plan of the internal audit department, the tax function, treasury operations, and insurance, as well as conducting oversight of legal and regulatory risks, artificial intelligence and related regulations, cybersecurity and data security. The Audit Committee receives regular reports from: the corporate controllership and our outside independent accounting firm on financial reporting matters; the internal audit department about significant findings; and the General Counsel regarding legal and regulatory risks; and as discussed below with respect to cybersecurity. The Audit Committee incorporates its risk assessment function into its reports to the Board.</w:t>
      </w:r>
    </w:p>
    <w:p>
      <w:pPr>
        <w:spacing w:after="0" w:line="74"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Our CPC evaluates any incentives and risks arising from or related to our compensation programs and plans and assesses whether the incentives and risks are appropriate. As discussed in the Compensation Discussion and Analysis below, the CPC believes that our compensation programs do not present risks that are reasonably likely to have a material adverse effect on the Company. The CPC is also responsible for oversight of risks related to our workforce and key aspects of the Company’s human resources strategies, policies and programs with respect to organizational development activities, including, but not limited to, initiatives relating to inclusion and diversity and other social responsibility matters.</w:t>
      </w:r>
    </w:p>
    <w:p>
      <w:pPr>
        <w:spacing w:after="0" w:line="72" w:lineRule="exact"/>
        <w:rPr>
          <w:sz w:val="20"/>
          <w:szCs w:val="20"/>
          <w:color w:val="auto"/>
        </w:rPr>
      </w:pPr>
    </w:p>
    <w:p>
      <w:pPr>
        <w:ind w:left="140" w:right="420"/>
        <w:spacing w:after="0" w:line="284" w:lineRule="auto"/>
        <w:rPr>
          <w:sz w:val="20"/>
          <w:szCs w:val="20"/>
          <w:color w:val="auto"/>
        </w:rPr>
      </w:pPr>
      <w:r>
        <w:rPr>
          <w:rFonts w:ascii="Arial" w:cs="Arial" w:eastAsia="Arial" w:hAnsi="Arial"/>
          <w:sz w:val="16"/>
          <w:szCs w:val="16"/>
          <w:color w:val="auto"/>
        </w:rPr>
        <w:t>Our Nominating and Corporate Governance Committee plays a central role in oversight of corporate responsibility risk and the Company’s corporate responsibility functions, objectives, strategy, and performance, as further discussed below.</w:t>
      </w:r>
    </w:p>
    <w:p>
      <w:pPr>
        <w:spacing w:after="0" w:line="90" w:lineRule="exact"/>
        <w:rPr>
          <w:sz w:val="20"/>
          <w:szCs w:val="20"/>
          <w:color w:val="auto"/>
        </w:rPr>
      </w:pPr>
    </w:p>
    <w:p>
      <w:pPr>
        <w:ind w:left="140"/>
        <w:spacing w:after="0"/>
        <w:tabs>
          <w:tab w:leader="none" w:pos="50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OVERSIGHT OF CYBERSECURITY</w:t>
      </w:r>
    </w:p>
    <w:p>
      <w:pPr>
        <w:spacing w:after="0" w:line="111" w:lineRule="exact"/>
        <w:rPr>
          <w:sz w:val="20"/>
          <w:szCs w:val="20"/>
          <w:color w:val="auto"/>
        </w:rPr>
      </w:pPr>
    </w:p>
    <w:p>
      <w:pPr>
        <w:ind w:left="140" w:right="220"/>
        <w:spacing w:after="0" w:line="250" w:lineRule="auto"/>
        <w:rPr>
          <w:sz w:val="20"/>
          <w:szCs w:val="20"/>
          <w:color w:val="auto"/>
        </w:rPr>
      </w:pPr>
      <w:r>
        <w:rPr>
          <w:rFonts w:ascii="Arial" w:cs="Arial" w:eastAsia="Arial" w:hAnsi="Arial"/>
          <w:sz w:val="16"/>
          <w:szCs w:val="16"/>
          <w:color w:val="auto"/>
        </w:rPr>
        <w:t>Our Audit Committee is responsible for oversight of cybersecurity risk.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and our Executive Vice President and Chief Information Officer, and periodically receives reports and presentations from third parties.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 on our information security policies. This includes but is not limited to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BOARD AND COMMITTEE OVERSIGHT OF CORPORATE RESPONSIBILITY</w:t>
      </w:r>
    </w:p>
    <w:p>
      <w:pPr>
        <w:spacing w:after="0" w:line="111" w:lineRule="exact"/>
        <w:rPr>
          <w:sz w:val="20"/>
          <w:szCs w:val="20"/>
          <w:color w:val="auto"/>
        </w:rPr>
      </w:pPr>
    </w:p>
    <w:p>
      <w:pPr>
        <w:ind w:left="140" w:right="120"/>
        <w:spacing w:after="0" w:line="258" w:lineRule="auto"/>
        <w:rPr>
          <w:sz w:val="20"/>
          <w:szCs w:val="20"/>
          <w:color w:val="auto"/>
        </w:rPr>
      </w:pPr>
      <w:r>
        <w:rPr>
          <w:rFonts w:ascii="Arial" w:cs="Arial" w:eastAsia="Arial" w:hAnsi="Arial"/>
          <w:sz w:val="16"/>
          <w:szCs w:val="16"/>
          <w:color w:val="auto"/>
        </w:rPr>
        <w:t>Oversight of corporate responsibility matters happens at multiple levels within our corporate responsibility governance structure. Our Board has overall responsibility for managing corporate responsibility risks and opportunities and is provided with updates on corporate responsibility matters at least quarterly. Each of the Board’s committees assists the Board in fulfilling this responsibility by overseeing the corporate responsibility-related risks in areas over which they have responsibility.</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28575</wp:posOffset>
            </wp:positionV>
            <wp:extent cx="697039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70395" cy="17145"/>
                    </a:xfrm>
                    <a:prstGeom prst="rect">
                      <a:avLst/>
                    </a:prstGeom>
                    <a:noFill/>
                  </pic:spPr>
                </pic:pic>
              </a:graphicData>
            </a:graphic>
          </wp:anchor>
        </w:drawing>
      </w:r>
    </w:p>
    <w:p>
      <w:pPr>
        <w:spacing w:after="0" w:line="105" w:lineRule="exact"/>
        <w:rPr>
          <w:sz w:val="20"/>
          <w:szCs w:val="20"/>
          <w:color w:val="auto"/>
        </w:rPr>
      </w:pPr>
    </w:p>
    <w:p>
      <w:pPr>
        <w:jc w:val="center"/>
        <w:ind w:left="440" w:right="120"/>
        <w:spacing w:after="0" w:line="265" w:lineRule="auto"/>
        <w:rPr>
          <w:sz w:val="20"/>
          <w:szCs w:val="20"/>
          <w:color w:val="auto"/>
        </w:rPr>
      </w:pPr>
      <w:r>
        <w:rPr>
          <w:rFonts w:ascii="Arial" w:cs="Arial" w:eastAsia="Arial" w:hAnsi="Arial"/>
          <w:sz w:val="16"/>
          <w:szCs w:val="16"/>
          <w:color w:val="auto"/>
        </w:rPr>
        <w:t>The Board has overall responsibility for overseeing corporate responsibility risks and opportunities and is provided with updates on corporate responsibility matters at least quarterly. Our Board plays a critical role in understanding how corporate responsibility issues affect our business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31750</wp:posOffset>
            </wp:positionV>
            <wp:extent cx="69703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28575</wp:posOffset>
            </wp:positionV>
            <wp:extent cx="697039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70395" cy="17145"/>
                    </a:xfrm>
                    <a:prstGeom prst="rect">
                      <a:avLst/>
                    </a:prstGeom>
                    <a:noFill/>
                  </pic:spPr>
                </pic:pic>
              </a:graphicData>
            </a:graphic>
          </wp:anchor>
        </w:drawing>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Nominating and Corporate Governance Committee oversees the Company’s corporate responsibility priorities, objectives, strategy, and performance</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and makes recommendations to the Board and reviews corporate responsibility risks and opportunities with management.</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Compensation Policy Committee oversees initiatives relating to inclusion, diversity, and other social responsibility matters.</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Audit Committee oversees reporting, internal control, and disclosure procedures with respect to corporate responsibility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62865</wp:posOffset>
            </wp:positionV>
            <wp:extent cx="69703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Corporate Responsibility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28575</wp:posOffset>
            </wp:positionV>
            <wp:extent cx="697039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70395" cy="17145"/>
                    </a:xfrm>
                    <a:prstGeom prst="rect">
                      <a:avLst/>
                    </a:prstGeom>
                    <a:noFill/>
                  </pic:spPr>
                </pic:pic>
              </a:graphicData>
            </a:graphic>
          </wp:anchor>
        </w:drawing>
      </w:r>
    </w:p>
    <w:p>
      <w:pPr>
        <w:spacing w:after="0" w:line="105" w:lineRule="exact"/>
        <w:rPr>
          <w:sz w:val="20"/>
          <w:szCs w:val="20"/>
          <w:color w:val="auto"/>
        </w:rPr>
      </w:pPr>
    </w:p>
    <w:p>
      <w:pPr>
        <w:jc w:val="center"/>
        <w:ind w:left="440" w:right="40"/>
        <w:spacing w:after="0" w:line="253" w:lineRule="auto"/>
        <w:rPr>
          <w:sz w:val="20"/>
          <w:szCs w:val="20"/>
          <w:color w:val="auto"/>
        </w:rPr>
      </w:pPr>
      <w:r>
        <w:rPr>
          <w:rFonts w:ascii="Arial" w:cs="Arial" w:eastAsia="Arial" w:hAnsi="Arial"/>
          <w:sz w:val="16"/>
          <w:szCs w:val="16"/>
          <w:color w:val="auto"/>
        </w:rPr>
        <w:t>The Corporate Responsibility Steering Committee has overall responsibility for managing corporate responsibility-related risks and opportunities. The Corporate Responsibility Steering Committee is a cross-functional management committee of the Company comprised of C-Suite executives that is responsible for (a) setting general strategy relating to corporate responsibility matters, (b) developing, implementing, and monitoring initiatives and policies based on that strategy, (c) overseeing communications with employees, investors, and other stakeholders with respect to corporate responsibility matters, and (d) monitoring and assessing developments relating to, and improving our understanding of, corporate responsibility matters. The Corporate Responsibility Steering Committee established the 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38735</wp:posOffset>
            </wp:positionV>
            <wp:extent cx="69703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26670</wp:posOffset>
            </wp:positionV>
            <wp:extent cx="697039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70395" cy="17145"/>
                    </a:xfrm>
                    <a:prstGeom prst="rect">
                      <a:avLst/>
                    </a:prstGeom>
                    <a:noFill/>
                  </pic:spPr>
                </pic:pic>
              </a:graphicData>
            </a:graphic>
          </wp:anchor>
        </w:drawing>
      </w:r>
    </w:p>
    <w:p>
      <w:pPr>
        <w:spacing w:after="0" w:line="75" w:lineRule="exact"/>
        <w:rPr>
          <w:sz w:val="20"/>
          <w:szCs w:val="20"/>
          <w:color w:val="auto"/>
        </w:rPr>
      </w:pPr>
    </w:p>
    <w:p>
      <w:pPr>
        <w:jc w:val="center"/>
        <w:ind w:left="440" w:right="520"/>
        <w:spacing w:after="0" w:line="265" w:lineRule="auto"/>
        <w:rPr>
          <w:sz w:val="20"/>
          <w:szCs w:val="20"/>
          <w:color w:val="auto"/>
        </w:rPr>
      </w:pPr>
      <w:r>
        <w:rPr>
          <w:rFonts w:ascii="Arial" w:cs="Arial" w:eastAsia="Arial" w:hAnsi="Arial"/>
          <w:sz w:val="16"/>
          <w:szCs w:val="16"/>
          <w:color w:val="auto"/>
        </w:rPr>
        <w:t>The Corporate Responsibility Task Force is responsible for the day-to-day progress of the Company’s corporate responsibility activities. The Corporate Responsibility Task Force is a cross-functional team of senior leaders that is responsible for specific corporate responsibility programs and is overseen by the Corporate Responsibility Steering Committee.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task force consists of associates from these departments:</w:t>
      </w:r>
    </w:p>
    <w:p>
      <w:pPr>
        <w:spacing w:after="0" w:line="85"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510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Investor Relations</w:t>
            </w:r>
          </w:p>
        </w:tc>
        <w:tc>
          <w:tcPr>
            <w:tcW w:w="588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Procurement</w:t>
            </w:r>
          </w:p>
        </w:tc>
      </w:tr>
      <w:tr>
        <w:trPr>
          <w:trHeight w:val="215"/>
        </w:trPr>
        <w:tc>
          <w:tcPr>
            <w:tcW w:w="510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Legal</w:t>
            </w:r>
          </w:p>
        </w:tc>
        <w:tc>
          <w:tcPr>
            <w:tcW w:w="588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Financial Reporting</w:t>
            </w:r>
          </w:p>
        </w:tc>
      </w:tr>
      <w:tr>
        <w:trPr>
          <w:trHeight w:val="215"/>
        </w:trPr>
        <w:tc>
          <w:tcPr>
            <w:tcW w:w="510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Global Communications</w:t>
            </w:r>
          </w:p>
        </w:tc>
        <w:tc>
          <w:tcPr>
            <w:tcW w:w="588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Capital Markets</w:t>
            </w:r>
          </w:p>
        </w:tc>
      </w:tr>
      <w:tr>
        <w:trPr>
          <w:trHeight w:val="215"/>
        </w:trPr>
        <w:tc>
          <w:tcPr>
            <w:tcW w:w="510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Human Resources</w:t>
            </w:r>
          </w:p>
        </w:tc>
        <w:tc>
          <w:tcPr>
            <w:tcW w:w="588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Market Operations</w:t>
            </w:r>
          </w:p>
        </w:tc>
      </w:tr>
      <w:tr>
        <w:trPr>
          <w:trHeight w:val="215"/>
        </w:trPr>
        <w:tc>
          <w:tcPr>
            <w:tcW w:w="510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Internal Audit</w:t>
            </w:r>
          </w:p>
        </w:tc>
        <w:tc>
          <w:tcPr>
            <w:tcW w:w="588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Global Information Security</w:t>
            </w:r>
          </w:p>
        </w:tc>
      </w:tr>
      <w:tr>
        <w:trPr>
          <w:trHeight w:val="224"/>
        </w:trPr>
        <w:tc>
          <w:tcPr>
            <w:tcW w:w="5100" w:type="dxa"/>
            <w:vAlign w:val="bottom"/>
            <w:tcBorders>
              <w:bottom w:val="single" w:sz="8" w:color="003A70"/>
            </w:tcBorders>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Architecture and Design</w:t>
            </w:r>
          </w:p>
        </w:tc>
        <w:tc>
          <w:tcPr>
            <w:tcW w:w="5880" w:type="dxa"/>
            <w:vAlign w:val="bottom"/>
            <w:tcBorders>
              <w:bottom w:val="single" w:sz="8" w:color="003A70"/>
            </w:tcBorders>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Insurance and Risk Management</w:t>
            </w:r>
          </w:p>
        </w:tc>
      </w:tr>
    </w:tbl>
    <w:p>
      <w:pPr>
        <w:spacing w:after="0" w:line="94" w:lineRule="exact"/>
        <w:rPr>
          <w:sz w:val="20"/>
          <w:szCs w:val="20"/>
          <w:color w:val="auto"/>
        </w:rPr>
      </w:pPr>
    </w:p>
    <w:p>
      <w:pPr>
        <w:ind w:left="140" w:right="260"/>
        <w:spacing w:after="0" w:line="265" w:lineRule="auto"/>
        <w:rPr>
          <w:sz w:val="20"/>
          <w:szCs w:val="20"/>
          <w:color w:val="auto"/>
        </w:rPr>
      </w:pPr>
      <w:r>
        <w:rPr>
          <w:rFonts w:ascii="Arial" w:cs="Arial" w:eastAsia="Arial" w:hAnsi="Arial"/>
          <w:sz w:val="16"/>
          <w:szCs w:val="16"/>
          <w:color w:val="auto"/>
        </w:rPr>
        <w:t>Our business conduct guide, supplier code of conduct, human rights policy and 2023 Corporate Responsibility Report are posted on our website at www.marriottvacationsworldwide.com under the “Our Values” tab. We encourage you to read more about how we are working to build a more inclusive and purpose-driven culture on our Investor Relations and Our Values sections of our website.</w:t>
      </w:r>
    </w:p>
    <w:p>
      <w:pPr>
        <w:spacing w:after="0" w:line="104" w:lineRule="exact"/>
        <w:rPr>
          <w:sz w:val="20"/>
          <w:szCs w:val="20"/>
          <w:color w:val="auto"/>
        </w:rPr>
      </w:pPr>
    </w:p>
    <w:p>
      <w:pPr>
        <w:ind w:left="140"/>
        <w:spacing w:after="0"/>
        <w:tabs>
          <w:tab w:leader="none" w:pos="5080" w:val="left"/>
          <w:tab w:leader="none" w:pos="7820" w:val="left"/>
        </w:tabs>
        <w:rPr>
          <w:sz w:val="20"/>
          <w:szCs w:val="20"/>
          <w:color w:val="auto"/>
        </w:rPr>
      </w:pPr>
      <w:r>
        <w:rPr>
          <w:rFonts w:ascii="Arial" w:cs="Arial" w:eastAsia="Arial" w:hAnsi="Arial"/>
          <w:sz w:val="11"/>
          <w:szCs w:val="11"/>
          <w:b w:val="1"/>
          <w:bCs w:val="1"/>
          <w:color w:val="003A70"/>
        </w:rPr>
        <w:t>22</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COMMUNICATIONS WITH THE BOARD</w:t>
      </w:r>
    </w:p>
    <w:p>
      <w:pPr>
        <w:spacing w:after="0" w:line="111" w:lineRule="exact"/>
        <w:rPr>
          <w:sz w:val="20"/>
          <w:szCs w:val="20"/>
          <w:color w:val="auto"/>
        </w:rPr>
      </w:pPr>
    </w:p>
    <w:p>
      <w:pPr>
        <w:ind w:left="140" w:right="60"/>
        <w:spacing w:after="0" w:line="258" w:lineRule="auto"/>
        <w:rPr>
          <w:sz w:val="20"/>
          <w:szCs w:val="20"/>
          <w:color w:val="auto"/>
        </w:rPr>
      </w:pPr>
      <w:r>
        <w:rPr>
          <w:rFonts w:ascii="Arial" w:cs="Arial" w:eastAsia="Arial" w:hAnsi="Arial"/>
          <w:sz w:val="16"/>
          <w:szCs w:val="16"/>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7812 Palm Parkway, Orlando, Florida, 32836, Attention: Chief Audit Executive. Such communications may be confidential and/or anonymous. All such concerns are forwarded to the appropriate directors for their review and are reviewed and addressed by us in the same way that we address other concerns.</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OTHER DIRECTORSHIPS</w:t>
      </w:r>
    </w:p>
    <w:p>
      <w:pPr>
        <w:spacing w:after="0" w:line="111"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Our Corporate Governance Principles limit the number of boards of publicly traded companies on which the Company’s directors may serve, including our Board, to two for directors who are executive officers of publicly traded companies and four for other directors.</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CODE OF CONDUCT</w:t>
      </w:r>
    </w:p>
    <w:p>
      <w:pPr>
        <w:spacing w:after="0" w:line="111" w:lineRule="exact"/>
        <w:rPr>
          <w:sz w:val="20"/>
          <w:szCs w:val="20"/>
          <w:color w:val="auto"/>
        </w:rPr>
      </w:pPr>
    </w:p>
    <w:p>
      <w:pPr>
        <w:ind w:left="140" w:right="160"/>
        <w:spacing w:after="0" w:line="253"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President and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or on a Current Report on Form 8-K.</w:t>
      </w:r>
    </w:p>
    <w:p>
      <w:pPr>
        <w:spacing w:after="0" w:line="115" w:lineRule="exact"/>
        <w:rPr>
          <w:sz w:val="20"/>
          <w:szCs w:val="20"/>
          <w:color w:val="auto"/>
        </w:rPr>
      </w:pPr>
    </w:p>
    <w:p>
      <w:pPr>
        <w:ind w:left="140"/>
        <w:spacing w:after="0"/>
        <w:tabs>
          <w:tab w:leader="none" w:pos="50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right="1780"/>
        <w:spacing w:after="0" w:line="290" w:lineRule="auto"/>
        <w:rPr>
          <w:sz w:val="20"/>
          <w:szCs w:val="20"/>
          <w:color w:val="auto"/>
        </w:rPr>
      </w:pPr>
      <w:r>
        <w:rPr>
          <w:rFonts w:ascii="Arial" w:cs="Arial" w:eastAsia="Arial" w:hAnsi="Arial"/>
          <w:sz w:val="53"/>
          <w:szCs w:val="53"/>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-897255</wp:posOffset>
            </wp:positionV>
            <wp:extent cx="85725" cy="8286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REPORT OF THE AUDIT COMMITTEE</w:t>
      </w:r>
    </w:p>
    <w:p>
      <w:pPr>
        <w:spacing w:after="0" w:line="111" w:lineRule="exact"/>
        <w:rPr>
          <w:sz w:val="20"/>
          <w:szCs w:val="20"/>
          <w:color w:val="auto"/>
        </w:rPr>
      </w:pPr>
    </w:p>
    <w:p>
      <w:pPr>
        <w:ind w:left="140" w:right="100"/>
        <w:spacing w:after="0" w:line="255" w:lineRule="auto"/>
        <w:rPr>
          <w:sz w:val="20"/>
          <w:szCs w:val="20"/>
          <w:color w:val="auto"/>
        </w:rPr>
      </w:pPr>
      <w:r>
        <w:rPr>
          <w:rFonts w:ascii="Arial" w:cs="Arial" w:eastAsia="Arial" w:hAnsi="Arial"/>
          <w:sz w:val="16"/>
          <w:szCs w:val="16"/>
          <w:color w:val="auto"/>
        </w:rPr>
        <w:t>The Audit Committee is composed solely of independent directors meeting the requirements of applicable SEC and NYSE rules. Each member is financially literate for audit committee purposes under the NYSE rules, and three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www.marriottvacationsworldwide.com.</w:t>
      </w:r>
    </w:p>
    <w:p>
      <w:pPr>
        <w:spacing w:after="0" w:line="72" w:lineRule="exact"/>
        <w:rPr>
          <w:sz w:val="20"/>
          <w:szCs w:val="20"/>
          <w:color w:val="auto"/>
        </w:rPr>
      </w:pPr>
    </w:p>
    <w:p>
      <w:pPr>
        <w:ind w:left="140" w:right="40"/>
        <w:spacing w:after="0" w:line="252" w:lineRule="auto"/>
        <w:rPr>
          <w:sz w:val="20"/>
          <w:szCs w:val="20"/>
          <w:color w:val="auto"/>
        </w:rPr>
      </w:pPr>
      <w:r>
        <w:rPr>
          <w:rFonts w:ascii="Arial" w:cs="Arial" w:eastAsia="Arial" w:hAnsi="Arial"/>
          <w:sz w:val="16"/>
          <w:szCs w:val="16"/>
          <w:color w:val="auto"/>
        </w:rPr>
        <w:t>As more fully described in the Audit Committee charter, our Audit Committee assists the Board in its oversight of risks related to financial reporting, accounting, financial practices, legal and regulatory matters, artificial intelligence, cybersecurity and data security. Our Audit Committee also oversees reporting and internal controls and disclosure procedures concerning the Company’s corporate responsibility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74" w:lineRule="exact"/>
        <w:rPr>
          <w:sz w:val="20"/>
          <w:szCs w:val="20"/>
          <w:color w:val="auto"/>
        </w:rPr>
      </w:pPr>
    </w:p>
    <w:p>
      <w:pPr>
        <w:ind w:left="140" w:right="40"/>
        <w:spacing w:after="0" w:line="255" w:lineRule="auto"/>
        <w:rPr>
          <w:sz w:val="20"/>
          <w:szCs w:val="20"/>
          <w:color w:val="auto"/>
        </w:rPr>
      </w:pPr>
      <w:r>
        <w:rPr>
          <w:rFonts w:ascii="Arial" w:cs="Arial" w:eastAsia="Arial" w:hAnsi="Arial"/>
          <w:sz w:val="16"/>
          <w:szCs w:val="16"/>
          <w:color w:val="auto"/>
        </w:rPr>
        <w:t>The Audit Committee has selected Ernst &amp; Young as our independent registered public accountant for 2025.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5" w:lineRule="exact"/>
        <w:rPr>
          <w:sz w:val="20"/>
          <w:szCs w:val="20"/>
          <w:color w:val="auto"/>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Ernst &amp; Young’s historical and recent performance on our audit;</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Ernst &amp; Young’s capability and expertise in handling the breadth and complexity of our operations;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data on audit quality and performance, including recent PCAOB reports on Ernst &amp; Young and its peer firms;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the appropriateness of Ernst &amp; Young’s fees for audit and non-audit services, on both an absolute basis and as compared to its peer firms;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Ernst &amp; Young’s independence, including the possible effects of its provision of non-audit services and associated fees on its independence;</w:t>
      </w:r>
    </w:p>
    <w:p>
      <w:pPr>
        <w:spacing w:after="0" w:line="44" w:lineRule="exact"/>
        <w:rPr>
          <w:rFonts w:ascii="Arial" w:cs="Arial" w:eastAsia="Arial" w:hAnsi="Arial"/>
          <w:sz w:val="16"/>
          <w:szCs w:val="16"/>
          <w:color w:val="003A70"/>
        </w:rPr>
      </w:pPr>
    </w:p>
    <w:p>
      <w:pPr>
        <w:ind w:left="360" w:right="100" w:hanging="225"/>
        <w:spacing w:after="0" w:line="271" w:lineRule="auto"/>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Ernst &amp; Young’s tenure as our independent registered public accountant, including the benefits of having an independent registered public accountant that is familiar with us; and</w:t>
      </w:r>
    </w:p>
    <w:p>
      <w:pPr>
        <w:spacing w:after="0" w:line="1" w:lineRule="exact"/>
        <w:rPr>
          <w:rFonts w:ascii="Arial" w:cs="Arial" w:eastAsia="Arial" w:hAnsi="Arial"/>
          <w:sz w:val="16"/>
          <w:szCs w:val="16"/>
          <w:color w:val="003A70"/>
        </w:rPr>
      </w:pPr>
    </w:p>
    <w:p>
      <w:pPr>
        <w:ind w:left="360" w:hanging="225"/>
        <w:spacing w:after="0"/>
        <w:tabs>
          <w:tab w:leader="none" w:pos="360" w:val="left"/>
        </w:tabs>
        <w:numPr>
          <w:ilvl w:val="0"/>
          <w:numId w:val="39"/>
        </w:numPr>
        <w:rPr>
          <w:rFonts w:ascii="Arial" w:cs="Arial" w:eastAsia="Arial" w:hAnsi="Arial"/>
          <w:sz w:val="16"/>
          <w:szCs w:val="16"/>
          <w:color w:val="003A70"/>
        </w:rPr>
      </w:pPr>
      <w:r>
        <w:rPr>
          <w:rFonts w:ascii="Arial" w:cs="Arial" w:eastAsia="Arial" w:hAnsi="Arial"/>
          <w:sz w:val="16"/>
          <w:szCs w:val="16"/>
          <w:color w:val="auto"/>
        </w:rPr>
        <w:t>the controls and processes that help ensure Ernst &amp; Young’s independence.</w:t>
      </w:r>
    </w:p>
    <w:p>
      <w:pPr>
        <w:spacing w:after="0" w:line="112" w:lineRule="exact"/>
        <w:rPr>
          <w:sz w:val="20"/>
          <w:szCs w:val="20"/>
          <w:color w:val="auto"/>
        </w:rPr>
      </w:pPr>
    </w:p>
    <w:p>
      <w:pPr>
        <w:ind w:left="140" w:right="20"/>
        <w:spacing w:after="0" w:line="253" w:lineRule="auto"/>
        <w:rPr>
          <w:sz w:val="20"/>
          <w:szCs w:val="20"/>
          <w:color w:val="auto"/>
        </w:rPr>
      </w:pPr>
      <w:r>
        <w:rPr>
          <w:rFonts w:ascii="Arial" w:cs="Arial" w:eastAsia="Arial" w:hAnsi="Arial"/>
          <w:sz w:val="16"/>
          <w:szCs w:val="16"/>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who was assigned to us in 2020 completed her service upon the issuance of the 2024 audit report. A new lead audit partner was assigned to us for 2025 and will complete his five years of service with us upon completion of the 2029 audit.</w:t>
      </w:r>
    </w:p>
    <w:p>
      <w:pPr>
        <w:spacing w:after="0" w:line="74" w:lineRule="exact"/>
        <w:rPr>
          <w:sz w:val="20"/>
          <w:szCs w:val="20"/>
          <w:color w:val="auto"/>
        </w:rPr>
      </w:pPr>
    </w:p>
    <w:p>
      <w:pPr>
        <w:ind w:left="140" w:right="60"/>
        <w:spacing w:after="0" w:line="258" w:lineRule="auto"/>
        <w:rPr>
          <w:sz w:val="20"/>
          <w:szCs w:val="20"/>
          <w:color w:val="auto"/>
        </w:rPr>
      </w:pPr>
      <w:r>
        <w:rPr>
          <w:rFonts w:ascii="Arial" w:cs="Arial" w:eastAsia="Arial" w:hAnsi="Arial"/>
          <w:sz w:val="16"/>
          <w:szCs w:val="16"/>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70" w:lineRule="exact"/>
        <w:rPr>
          <w:sz w:val="20"/>
          <w:szCs w:val="20"/>
          <w:color w:val="auto"/>
        </w:rPr>
      </w:pPr>
    </w:p>
    <w:p>
      <w:pPr>
        <w:ind w:left="140" w:right="200"/>
        <w:spacing w:after="0" w:line="284" w:lineRule="auto"/>
        <w:rPr>
          <w:sz w:val="20"/>
          <w:szCs w:val="20"/>
          <w:color w:val="auto"/>
        </w:rPr>
      </w:pPr>
      <w:r>
        <w:rPr>
          <w:rFonts w:ascii="Arial" w:cs="Arial" w:eastAsia="Arial" w:hAnsi="Arial"/>
          <w:sz w:val="16"/>
          <w:szCs w:val="16"/>
          <w:color w:val="auto"/>
        </w:rPr>
        <w:t>The Audit Committee and the Board believe that the continued retention of Ernst &amp; Young as our independent registered public accounting firm is in the best interest of our stockholders.</w:t>
      </w:r>
    </w:p>
    <w:p>
      <w:pPr>
        <w:spacing w:after="0" w:line="49" w:lineRule="exact"/>
        <w:rPr>
          <w:sz w:val="20"/>
          <w:szCs w:val="20"/>
          <w:color w:val="auto"/>
        </w:rPr>
      </w:pPr>
    </w:p>
    <w:p>
      <w:pPr>
        <w:ind w:left="140" w:right="60"/>
        <w:spacing w:after="0" w:line="251" w:lineRule="auto"/>
        <w:rPr>
          <w:sz w:val="20"/>
          <w:szCs w:val="20"/>
          <w:color w:val="auto"/>
        </w:rPr>
      </w:pPr>
      <w:r>
        <w:rPr>
          <w:rFonts w:ascii="Arial" w:cs="Arial" w:eastAsia="Arial" w:hAnsi="Arial"/>
          <w:sz w:val="16"/>
          <w:szCs w:val="16"/>
          <w:color w:val="auto"/>
        </w:rPr>
        <w:t>The Audit Committee regularly meets and holds separate discussions with management, our internal auditors, and Ernst &amp; Young. Prior to their issuance, the Audit Committee reviewed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2024, management, our internal auditors and Ernst &amp; Young also made presentations to the Audit Committee on specific topics of interest, including: corporate responsibility matters, our information technology systems and controls; changes in significant estimates; our critical accounting policies; our critical audit matters; new accounting guidance and the potential impact of new accounting pronouncements; integration and transformation initiatives; our strategy and the implementation of new systems; and cybersecurity.</w:t>
      </w:r>
    </w:p>
    <w:p>
      <w:pPr>
        <w:spacing w:after="0" w:line="75" w:lineRule="exact"/>
        <w:rPr>
          <w:sz w:val="20"/>
          <w:szCs w:val="20"/>
          <w:color w:val="auto"/>
        </w:rPr>
      </w:pPr>
    </w:p>
    <w:p>
      <w:pPr>
        <w:ind w:left="140" w:right="100"/>
        <w:spacing w:after="0" w:line="251" w:lineRule="auto"/>
        <w:rPr>
          <w:sz w:val="20"/>
          <w:szCs w:val="20"/>
          <w:color w:val="auto"/>
        </w:rPr>
      </w:pPr>
      <w:r>
        <w:rPr>
          <w:rFonts w:ascii="Arial" w:cs="Arial" w:eastAsia="Arial" w:hAnsi="Arial"/>
          <w:sz w:val="16"/>
          <w:szCs w:val="16"/>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and the SEC.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ectPr>
          <w:pgSz w:w="11900" w:h="16838" w:orient="portrait"/>
          <w:cols w:equalWidth="0" w:num="1">
            <w:col w:w="11120"/>
          </w:cols>
          <w:pgMar w:left="320" w:top="480" w:right="459" w:bottom="1440" w:gutter="0" w:footer="0" w:header="0"/>
        </w:sectPr>
      </w:pPr>
    </w:p>
    <w:p>
      <w:pPr>
        <w:spacing w:after="0" w:line="116" w:lineRule="exact"/>
        <w:rPr>
          <w:sz w:val="20"/>
          <w:szCs w:val="20"/>
          <w:color w:val="auto"/>
        </w:rPr>
      </w:pPr>
    </w:p>
    <w:p>
      <w:pPr>
        <w:ind w:left="140"/>
        <w:spacing w:after="0"/>
        <w:tabs>
          <w:tab w:leader="none" w:pos="4300" w:val="left"/>
          <w:tab w:leader="none" w:pos="7820" w:val="left"/>
        </w:tabs>
        <w:rPr>
          <w:sz w:val="20"/>
          <w:szCs w:val="20"/>
          <w:color w:val="auto"/>
        </w:rPr>
      </w:pPr>
      <w:r>
        <w:rPr>
          <w:rFonts w:ascii="Arial" w:cs="Arial" w:eastAsia="Arial" w:hAnsi="Arial"/>
          <w:sz w:val="11"/>
          <w:szCs w:val="11"/>
          <w:b w:val="1"/>
          <w:bCs w:val="1"/>
          <w:color w:val="003A70"/>
        </w:rPr>
        <w:t>24</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20"/>
        <w:spacing w:after="0" w:line="254" w:lineRule="auto"/>
        <w:rPr>
          <w:sz w:val="20"/>
          <w:szCs w:val="20"/>
          <w:color w:val="auto"/>
        </w:rPr>
      </w:pPr>
      <w:r>
        <w:rPr>
          <w:rFonts w:ascii="Arial" w:cs="Arial" w:eastAsia="Arial" w:hAnsi="Arial"/>
          <w:sz w:val="16"/>
          <w:szCs w:val="16"/>
          <w:color w:val="auto"/>
        </w:rPr>
        <w:t>The Audit Committee discussed with Ernst &amp; Young the overall scope and plans for their audit, including the estimated audit fees and non-audit fees. The Audit Committee has also discussed with our Senior Vice President, Internal Audit &amp; Corporate Responsibility,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264" w:lineRule="exact"/>
        <w:rPr>
          <w:sz w:val="20"/>
          <w:szCs w:val="20"/>
          <w:color w:val="auto"/>
        </w:rPr>
      </w:pPr>
    </w:p>
    <w:p>
      <w:pPr>
        <w:jc w:val="both"/>
        <w:ind w:left="140" w:right="100"/>
        <w:spacing w:after="0" w:line="265"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the Company’s Annual Report on Form 10-K for the year ended December 31, 2024, for filing with the Securities and Exchange Commission.</w:t>
      </w:r>
    </w:p>
    <w:p>
      <w:pPr>
        <w:spacing w:after="0" w:line="7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Members of the Audit Committee:</w:t>
      </w:r>
    </w:p>
    <w:p>
      <w:pPr>
        <w:spacing w:after="0" w:line="2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C.E. Andrews, Chair</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Raymond L. Gellein, Jr.</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Jonice M. Gray</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W. McCarten</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Stephen R. Quazzo</w:t>
      </w:r>
    </w:p>
    <w:p>
      <w:pPr>
        <w:spacing w:after="0" w:line="29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PRE-APPROVAL OF INDEPENDENT AUDITOR FEES AND SERVICES POLICY</w:t>
      </w:r>
    </w:p>
    <w:p>
      <w:pPr>
        <w:spacing w:after="0" w:line="111" w:lineRule="exact"/>
        <w:rPr>
          <w:sz w:val="20"/>
          <w:szCs w:val="20"/>
          <w:color w:val="auto"/>
        </w:rPr>
      </w:pPr>
    </w:p>
    <w:p>
      <w:pPr>
        <w:ind w:left="140" w:right="60"/>
        <w:spacing w:after="0" w:line="253" w:lineRule="auto"/>
        <w:rPr>
          <w:sz w:val="20"/>
          <w:szCs w:val="20"/>
          <w:color w:val="auto"/>
        </w:rPr>
      </w:pPr>
      <w:r>
        <w:rPr>
          <w:rFonts w:ascii="Arial" w:cs="Arial" w:eastAsia="Arial" w:hAnsi="Arial"/>
          <w:sz w:val="16"/>
          <w:szCs w:val="16"/>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2024, all such services were pre-approved by the Audit Committee.</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INDEPENDENT REGISTERED PUBLIC ACCOUNTING FIRM FEE DISCLOSURE</w:t>
      </w:r>
    </w:p>
    <w:p>
      <w:pPr>
        <w:spacing w:after="0" w:line="111" w:lineRule="exact"/>
        <w:rPr>
          <w:sz w:val="20"/>
          <w:szCs w:val="20"/>
          <w:color w:val="auto"/>
        </w:rPr>
      </w:pPr>
    </w:p>
    <w:p>
      <w:pPr>
        <w:ind w:left="140" w:right="100"/>
        <w:spacing w:after="0" w:line="255"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for the audit of our annual consolidated financial statements and statutory audits for fiscal 2024 and fiscal 2023 and aggregate fees billed in fiscal 2024 and fiscal 2023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Borders>
              <w:bottom w:val="single" w:sz="8" w:color="003A70"/>
            </w:tcBorders>
          </w:tcPr>
          <w:p>
            <w:pPr>
              <w:spacing w:after="0"/>
              <w:rPr>
                <w:sz w:val="15"/>
                <w:szCs w:val="15"/>
                <w:color w:val="auto"/>
              </w:rPr>
            </w:pPr>
          </w:p>
        </w:tc>
        <w:tc>
          <w:tcPr>
            <w:tcW w:w="4840" w:type="dxa"/>
            <w:vAlign w:val="bottom"/>
            <w:tcBorders>
              <w:bottom w:val="single" w:sz="8" w:color="003A70"/>
            </w:tcBorders>
          </w:tcPr>
          <w:p>
            <w:pPr>
              <w:jc w:val="right"/>
              <w:ind w:right="261"/>
              <w:spacing w:after="0"/>
              <w:rPr>
                <w:sz w:val="20"/>
                <w:szCs w:val="20"/>
                <w:color w:val="auto"/>
              </w:rPr>
            </w:pPr>
            <w:r>
              <w:rPr>
                <w:rFonts w:ascii="Arial" w:cs="Arial" w:eastAsia="Arial" w:hAnsi="Arial"/>
                <w:sz w:val="14"/>
                <w:szCs w:val="14"/>
                <w:b w:val="1"/>
                <w:bCs w:val="1"/>
                <w:color w:val="003A70"/>
              </w:rPr>
              <w:t>2024</w:t>
            </w:r>
          </w:p>
        </w:tc>
        <w:tc>
          <w:tcPr>
            <w:tcW w:w="960" w:type="dxa"/>
            <w:vAlign w:val="bottom"/>
            <w:tcBorders>
              <w:bottom w:val="single" w:sz="8" w:color="003A70"/>
            </w:tcBorders>
          </w:tcPr>
          <w:p>
            <w:pPr>
              <w:jc w:val="right"/>
              <w:ind w:right="241"/>
              <w:spacing w:after="0"/>
              <w:rPr>
                <w:sz w:val="20"/>
                <w:szCs w:val="20"/>
                <w:color w:val="auto"/>
              </w:rPr>
            </w:pPr>
            <w:r>
              <w:rPr>
                <w:rFonts w:ascii="Arial" w:cs="Arial" w:eastAsia="Arial" w:hAnsi="Arial"/>
                <w:sz w:val="14"/>
                <w:szCs w:val="14"/>
                <w:b w:val="1"/>
                <w:bCs w:val="1"/>
                <w:color w:val="003A70"/>
              </w:rPr>
              <w:t>2023</w:t>
            </w:r>
          </w:p>
        </w:tc>
      </w:tr>
      <w:tr>
        <w:trPr>
          <w:trHeight w:val="188"/>
        </w:trPr>
        <w:tc>
          <w:tcPr>
            <w:tcW w:w="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Audit fees</w:t>
            </w:r>
          </w:p>
        </w:tc>
        <w:tc>
          <w:tcPr>
            <w:tcW w:w="4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$8,661,417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$7,323,944</w:t>
            </w:r>
          </w:p>
        </w:tc>
      </w:tr>
      <w:tr>
        <w:trPr>
          <w:trHeight w:val="182"/>
        </w:trPr>
        <w:tc>
          <w:tcPr>
            <w:tcW w:w="51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Audit-related fees</w:t>
            </w:r>
          </w:p>
        </w:tc>
        <w:tc>
          <w:tcPr>
            <w:tcW w:w="4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266,110</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343,275</w:t>
            </w:r>
          </w:p>
        </w:tc>
      </w:tr>
      <w:tr>
        <w:trPr>
          <w:trHeight w:val="182"/>
        </w:trPr>
        <w:tc>
          <w:tcPr>
            <w:tcW w:w="51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Tax fees</w:t>
            </w:r>
          </w:p>
        </w:tc>
        <w:tc>
          <w:tcPr>
            <w:tcW w:w="4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399,304</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241,531</w:t>
            </w:r>
          </w:p>
        </w:tc>
      </w:tr>
      <w:tr>
        <w:trPr>
          <w:trHeight w:val="182"/>
        </w:trPr>
        <w:tc>
          <w:tcPr>
            <w:tcW w:w="5180" w:type="dxa"/>
            <w:vAlign w:val="bottom"/>
            <w:gridSpan w:val="2"/>
          </w:tcPr>
          <w:p>
            <w:pPr>
              <w:spacing w:after="0" w:line="182" w:lineRule="exact"/>
              <w:rPr>
                <w:sz w:val="20"/>
                <w:szCs w:val="20"/>
                <w:color w:val="auto"/>
              </w:rPr>
            </w:pPr>
            <w:r>
              <w:rPr>
                <w:rFonts w:ascii="Arial" w:cs="Arial" w:eastAsia="Arial" w:hAnsi="Arial"/>
                <w:sz w:val="16"/>
                <w:szCs w:val="16"/>
                <w:color w:val="auto"/>
              </w:rPr>
              <w:t>All other fees</w:t>
            </w:r>
          </w:p>
        </w:tc>
        <w:tc>
          <w:tcPr>
            <w:tcW w:w="4840" w:type="dxa"/>
            <w:vAlign w:val="bottom"/>
          </w:tcPr>
          <w:p>
            <w:pPr>
              <w:jc w:val="right"/>
              <w:ind w:right="1"/>
              <w:spacing w:after="0" w:line="182" w:lineRule="exact"/>
              <w:rPr>
                <w:sz w:val="20"/>
                <w:szCs w:val="20"/>
                <w:color w:val="auto"/>
              </w:rPr>
            </w:pPr>
            <w:r>
              <w:rPr>
                <w:rFonts w:ascii="Arial" w:cs="Arial" w:eastAsia="Arial" w:hAnsi="Arial"/>
                <w:sz w:val="16"/>
                <w:szCs w:val="16"/>
                <w:color w:val="auto"/>
              </w:rPr>
              <w:t>3,600</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3,000</w:t>
            </w:r>
          </w:p>
        </w:tc>
      </w:tr>
      <w:tr>
        <w:trPr>
          <w:trHeight w:val="182"/>
        </w:trPr>
        <w:tc>
          <w:tcPr>
            <w:tcW w:w="20" w:type="dxa"/>
            <w:vAlign w:val="bottom"/>
          </w:tcPr>
          <w:p>
            <w:pPr>
              <w:spacing w:after="0"/>
              <w:rPr>
                <w:sz w:val="15"/>
                <w:szCs w:val="15"/>
                <w:color w:val="auto"/>
              </w:rPr>
            </w:pPr>
          </w:p>
        </w:tc>
        <w:tc>
          <w:tcPr>
            <w:tcW w:w="5160" w:type="dxa"/>
            <w:vAlign w:val="bottom"/>
            <w:tcBorders>
              <w:top w:val="single" w:sz="8" w:color="auto"/>
              <w:bottom w:val="single" w:sz="8" w:color="003A70"/>
            </w:tcBorders>
          </w:tcPr>
          <w:p>
            <w:pPr>
              <w:ind w:left="140"/>
              <w:spacing w:after="0" w:line="182" w:lineRule="exact"/>
              <w:rPr>
                <w:sz w:val="20"/>
                <w:szCs w:val="20"/>
                <w:color w:val="auto"/>
              </w:rPr>
            </w:pPr>
            <w:r>
              <w:rPr>
                <w:rFonts w:ascii="Arial" w:cs="Arial" w:eastAsia="Arial" w:hAnsi="Arial"/>
                <w:sz w:val="16"/>
                <w:szCs w:val="16"/>
                <w:b w:val="1"/>
                <w:bCs w:val="1"/>
                <w:color w:val="auto"/>
              </w:rPr>
              <w:t>Total</w:t>
            </w:r>
          </w:p>
        </w:tc>
        <w:tc>
          <w:tcPr>
            <w:tcW w:w="4840" w:type="dxa"/>
            <w:vAlign w:val="bottom"/>
            <w:tcBorders>
              <w:top w:val="single" w:sz="8" w:color="auto"/>
              <w:bottom w:val="single" w:sz="8" w:color="003A70"/>
            </w:tcBorders>
          </w:tcPr>
          <w:p>
            <w:pPr>
              <w:jc w:val="right"/>
              <w:ind w:right="1"/>
              <w:spacing w:after="0" w:line="182" w:lineRule="exact"/>
              <w:rPr>
                <w:sz w:val="20"/>
                <w:szCs w:val="20"/>
                <w:color w:val="auto"/>
              </w:rPr>
            </w:pPr>
            <w:r>
              <w:rPr>
                <w:rFonts w:ascii="Arial" w:cs="Arial" w:eastAsia="Arial" w:hAnsi="Arial"/>
                <w:sz w:val="16"/>
                <w:szCs w:val="16"/>
                <w:b w:val="1"/>
                <w:bCs w:val="1"/>
                <w:color w:val="auto"/>
              </w:rPr>
              <w:t>$9,330,431</w:t>
            </w:r>
          </w:p>
        </w:tc>
        <w:tc>
          <w:tcPr>
            <w:tcW w:w="960" w:type="dxa"/>
            <w:vAlign w:val="bottom"/>
            <w:tcBorders>
              <w:top w:val="single" w:sz="8" w:color="auto"/>
              <w:bottom w:val="single" w:sz="8" w:color="003A70"/>
            </w:tcBorders>
          </w:tcPr>
          <w:p>
            <w:pPr>
              <w:jc w:val="right"/>
              <w:spacing w:after="0" w:line="182" w:lineRule="exact"/>
              <w:rPr>
                <w:sz w:val="20"/>
                <w:szCs w:val="20"/>
                <w:color w:val="auto"/>
              </w:rPr>
            </w:pPr>
            <w:r>
              <w:rPr>
                <w:rFonts w:ascii="Arial" w:cs="Arial" w:eastAsia="Arial" w:hAnsi="Arial"/>
                <w:sz w:val="16"/>
                <w:szCs w:val="16"/>
                <w:b w:val="1"/>
                <w:bCs w:val="1"/>
                <w:color w:val="auto"/>
              </w:rPr>
              <w:t>$ 7,911,750</w:t>
            </w:r>
          </w:p>
        </w:tc>
      </w:tr>
    </w:tbl>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purposes of the preceding table, the professional fees are classified as follows:</w:t>
      </w:r>
    </w:p>
    <w:p>
      <w:pPr>
        <w:spacing w:after="0" w:line="45" w:lineRule="exact"/>
        <w:rPr>
          <w:sz w:val="20"/>
          <w:szCs w:val="20"/>
          <w:color w:val="auto"/>
        </w:rPr>
      </w:pPr>
    </w:p>
    <w:p>
      <w:pPr>
        <w:ind w:left="360" w:right="20" w:hanging="225"/>
        <w:spacing w:after="0" w:line="253" w:lineRule="auto"/>
        <w:tabs>
          <w:tab w:leader="none" w:pos="360" w:val="left"/>
        </w:tabs>
        <w:numPr>
          <w:ilvl w:val="0"/>
          <w:numId w:val="40"/>
        </w:numPr>
        <w:rPr>
          <w:rFonts w:ascii="Arial" w:cs="Arial" w:eastAsia="Arial" w:hAnsi="Arial"/>
          <w:sz w:val="16"/>
          <w:szCs w:val="16"/>
          <w:color w:val="003A70"/>
        </w:rPr>
      </w:pPr>
      <w:r>
        <w:rPr>
          <w:rFonts w:ascii="Arial" w:cs="Arial" w:eastAsia="Arial" w:hAnsi="Arial"/>
          <w:sz w:val="16"/>
          <w:szCs w:val="16"/>
          <w:color w:val="auto"/>
        </w:rPr>
        <w:t>Audit fees – These are fees for professional services performed for the audit of our annual financial statements and the required review of quarterly financial statements and other procedures performed by our independent registered public accounting firm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affiliates.</w:t>
      </w:r>
    </w:p>
    <w:p>
      <w:pPr>
        <w:spacing w:after="0" w:line="6" w:lineRule="exact"/>
        <w:rPr>
          <w:rFonts w:ascii="Arial" w:cs="Arial" w:eastAsia="Arial" w:hAnsi="Arial"/>
          <w:sz w:val="16"/>
          <w:szCs w:val="16"/>
          <w:color w:val="003A70"/>
        </w:rPr>
      </w:pPr>
    </w:p>
    <w:p>
      <w:pPr>
        <w:ind w:left="360" w:hanging="225"/>
        <w:spacing w:after="0"/>
        <w:tabs>
          <w:tab w:leader="none" w:pos="360" w:val="left"/>
        </w:tabs>
        <w:numPr>
          <w:ilvl w:val="0"/>
          <w:numId w:val="40"/>
        </w:numPr>
        <w:rPr>
          <w:rFonts w:ascii="Arial" w:cs="Arial" w:eastAsia="Arial" w:hAnsi="Arial"/>
          <w:sz w:val="16"/>
          <w:szCs w:val="16"/>
          <w:color w:val="003A70"/>
        </w:rPr>
      </w:pPr>
      <w:r>
        <w:rPr>
          <w:rFonts w:ascii="Arial" w:cs="Arial" w:eastAsia="Arial" w:hAnsi="Arial"/>
          <w:sz w:val="16"/>
          <w:szCs w:val="16"/>
          <w:color w:val="auto"/>
        </w:rPr>
        <w:t>Audit-related fees – These are fees for assurance and related services for agreed-upon procedures and attestation reports.</w:t>
      </w:r>
    </w:p>
    <w:p>
      <w:pPr>
        <w:spacing w:after="0" w:line="44" w:lineRule="exact"/>
        <w:rPr>
          <w:rFonts w:ascii="Arial" w:cs="Arial" w:eastAsia="Arial" w:hAnsi="Arial"/>
          <w:sz w:val="16"/>
          <w:szCs w:val="16"/>
          <w:color w:val="003A70"/>
        </w:rPr>
      </w:pPr>
    </w:p>
    <w:p>
      <w:pPr>
        <w:ind w:left="360" w:right="100" w:hanging="225"/>
        <w:spacing w:after="0" w:line="258" w:lineRule="auto"/>
        <w:tabs>
          <w:tab w:leader="none" w:pos="360" w:val="left"/>
        </w:tabs>
        <w:numPr>
          <w:ilvl w:val="0"/>
          <w:numId w:val="40"/>
        </w:numPr>
        <w:rPr>
          <w:rFonts w:ascii="Arial" w:cs="Arial" w:eastAsia="Arial" w:hAnsi="Arial"/>
          <w:sz w:val="16"/>
          <w:szCs w:val="16"/>
          <w:color w:val="003A70"/>
        </w:rPr>
      </w:pPr>
      <w:r>
        <w:rPr>
          <w:rFonts w:ascii="Arial" w:cs="Arial" w:eastAsia="Arial" w:hAnsi="Arial"/>
          <w:sz w:val="16"/>
          <w:szCs w:val="16"/>
          <w:color w:val="auto"/>
        </w:rPr>
        <w:t>Tax fees – These are fees for all professional services performed by professional staff in Ernst &amp; Young’s tax division, except those services related to the audit of our consolidated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2" w:lineRule="exact"/>
        <w:rPr>
          <w:rFonts w:ascii="Arial" w:cs="Arial" w:eastAsia="Arial" w:hAnsi="Arial"/>
          <w:sz w:val="16"/>
          <w:szCs w:val="16"/>
          <w:color w:val="003A70"/>
        </w:rPr>
      </w:pPr>
    </w:p>
    <w:p>
      <w:pPr>
        <w:ind w:left="360" w:right="220" w:hanging="225"/>
        <w:spacing w:after="0" w:line="284" w:lineRule="auto"/>
        <w:tabs>
          <w:tab w:leader="none" w:pos="360" w:val="left"/>
        </w:tabs>
        <w:numPr>
          <w:ilvl w:val="0"/>
          <w:numId w:val="40"/>
        </w:numPr>
        <w:rPr>
          <w:rFonts w:ascii="Arial" w:cs="Arial" w:eastAsia="Arial" w:hAnsi="Arial"/>
          <w:sz w:val="16"/>
          <w:szCs w:val="16"/>
          <w:color w:val="003A70"/>
        </w:rPr>
      </w:pPr>
      <w:r>
        <w:rPr>
          <w:rFonts w:ascii="Arial" w:cs="Arial" w:eastAsia="Arial" w:hAnsi="Arial"/>
          <w:sz w:val="16"/>
          <w:szCs w:val="16"/>
          <w:color w:val="auto"/>
        </w:rPr>
        <w:t>All other fees – These are fees for other permissible work performed that do not meet the above-described categories, including a subscription to an accounting research website.</w:t>
      </w:r>
    </w:p>
    <w:p>
      <w:pPr>
        <w:spacing w:after="0" w:line="90" w:lineRule="exact"/>
        <w:rPr>
          <w:sz w:val="20"/>
          <w:szCs w:val="20"/>
          <w:color w:val="auto"/>
        </w:rPr>
      </w:pPr>
    </w:p>
    <w:p>
      <w:pPr>
        <w:ind w:left="140"/>
        <w:spacing w:after="0"/>
        <w:tabs>
          <w:tab w:leader="none" w:pos="430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b w:val="1"/>
          <w:bCs w:val="1"/>
          <w:color w:val="003A7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3" w:lineRule="exact"/>
        <w:rPr>
          <w:sz w:val="20"/>
          <w:szCs w:val="20"/>
          <w:color w:val="auto"/>
        </w:rPr>
      </w:pPr>
    </w:p>
    <w:p>
      <w:pPr>
        <w:ind w:left="620" w:right="3220"/>
        <w:spacing w:after="0" w:line="279" w:lineRule="auto"/>
        <w:rPr>
          <w:sz w:val="20"/>
          <w:szCs w:val="20"/>
          <w:color w:val="auto"/>
        </w:rPr>
      </w:pPr>
      <w:r>
        <w:rPr>
          <w:rFonts w:ascii="Arial" w:cs="Arial" w:eastAsia="Arial" w:hAnsi="Arial"/>
          <w:sz w:val="53"/>
          <w:szCs w:val="53"/>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-862965</wp:posOffset>
            </wp:positionV>
            <wp:extent cx="85725" cy="8286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NEOs for whom compensation information is presented in the Summary Compensation Table below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165735</wp:posOffset>
            </wp:positionV>
            <wp:extent cx="6970395" cy="1136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70395" cy="1136015"/>
                    </a:xfrm>
                    <a:prstGeom prst="rect">
                      <a:avLst/>
                    </a:prstGeom>
                    <a:noFill/>
                  </pic:spPr>
                </pic:pic>
              </a:graphicData>
            </a:graphic>
          </wp:anchor>
        </w:drawing>
      </w:r>
    </w:p>
    <w:p>
      <w:pPr>
        <w:spacing w:after="0" w:line="34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John E. Geller, Jr.</w:t>
      </w:r>
      <w:r>
        <w:rPr>
          <w:rFonts w:ascii="Arial" w:cs="Arial" w:eastAsia="Arial" w:hAnsi="Arial"/>
          <w:sz w:val="16"/>
          <w:szCs w:val="16"/>
          <w:color w:val="000000"/>
        </w:rPr>
        <w:t>, President and Chief Executive Officer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Jason P. Marino</w:t>
      </w:r>
      <w:r>
        <w:rPr>
          <w:rFonts w:ascii="Arial" w:cs="Arial" w:eastAsia="Arial" w:hAnsi="Arial"/>
          <w:sz w:val="16"/>
          <w:szCs w:val="16"/>
          <w:color w:val="000000"/>
        </w:rPr>
        <w:t>, Executive Vice President and Chief Financial Officer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Brian E. Miller</w:t>
      </w:r>
      <w:r>
        <w:rPr>
          <w:rFonts w:ascii="Arial" w:cs="Arial" w:eastAsia="Arial" w:hAnsi="Arial"/>
          <w:sz w:val="16"/>
          <w:szCs w:val="16"/>
          <w:color w:val="000000"/>
        </w:rPr>
        <w:t>, President, Vacation Ownership</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James H Hunter, IV</w:t>
      </w:r>
      <w:r>
        <w:rPr>
          <w:rFonts w:ascii="Arial" w:cs="Arial" w:eastAsia="Arial" w:hAnsi="Arial"/>
          <w:sz w:val="16"/>
          <w:szCs w:val="16"/>
          <w:color w:val="000000"/>
        </w:rPr>
        <w:t>, Executive Vice President and General Counsel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Jeanette E. Marbert</w:t>
      </w:r>
      <w:r>
        <w:rPr>
          <w:rFonts w:ascii="Arial" w:cs="Arial" w:eastAsia="Arial" w:hAnsi="Arial"/>
          <w:sz w:val="16"/>
          <w:szCs w:val="16"/>
          <w:color w:val="000000"/>
        </w:rPr>
        <w:t>, Former President, Exchange and Third-Party Management*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A70"/>
        </w:rPr>
        <w:t>Lori Gustafson</w:t>
      </w:r>
      <w:r>
        <w:rPr>
          <w:rFonts w:ascii="Arial" w:cs="Arial" w:eastAsia="Arial" w:hAnsi="Arial"/>
          <w:sz w:val="16"/>
          <w:szCs w:val="16"/>
          <w:color w:val="000000"/>
        </w:rPr>
        <w:t>, Executive Vice President and Chief Membership &amp; Commercial Services Officer</w:t>
      </w:r>
    </w:p>
    <w:p>
      <w:pPr>
        <w:spacing w:after="0" w:line="265" w:lineRule="exact"/>
        <w:rPr>
          <w:sz w:val="20"/>
          <w:szCs w:val="20"/>
          <w:color w:val="auto"/>
        </w:rPr>
      </w:pPr>
    </w:p>
    <w:p>
      <w:pPr>
        <w:ind w:left="460" w:hanging="325"/>
        <w:spacing w:after="0"/>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Marbert retired from the Company on August 31, 2024.</w:t>
      </w:r>
    </w:p>
    <w:p>
      <w:pPr>
        <w:spacing w:after="0" w:line="103" w:lineRule="exact"/>
        <w:rPr>
          <w:sz w:val="20"/>
          <w:szCs w:val="20"/>
          <w:color w:val="auto"/>
        </w:rPr>
      </w:pPr>
    </w:p>
    <w:p>
      <w:pPr>
        <w:ind w:left="140" w:right="860"/>
        <w:spacing w:after="0" w:line="284" w:lineRule="auto"/>
        <w:rPr>
          <w:sz w:val="20"/>
          <w:szCs w:val="20"/>
          <w:color w:val="auto"/>
        </w:rPr>
      </w:pPr>
      <w:r>
        <w:rPr>
          <w:rFonts w:ascii="Arial" w:cs="Arial" w:eastAsia="Arial" w:hAnsi="Arial"/>
          <w:sz w:val="16"/>
          <w:szCs w:val="16"/>
          <w:color w:val="auto"/>
        </w:rPr>
        <w:t>Our executive compensation programs are designed to reward financial results and effective strategic leadership to build sustainable value for stockholders by correlating the timing and amount of actual pay with performance over various time horizons without excessive risk-taking.</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executive compensation program includes the following key elements:</w:t>
      </w:r>
    </w:p>
    <w:p>
      <w:pPr>
        <w:spacing w:after="0" w:line="45" w:lineRule="exact"/>
        <w:rPr>
          <w:sz w:val="20"/>
          <w:szCs w:val="20"/>
          <w:color w:val="auto"/>
        </w:rPr>
      </w:pPr>
    </w:p>
    <w:p>
      <w:pPr>
        <w:ind w:left="360" w:hanging="225"/>
        <w:spacing w:after="0"/>
        <w:tabs>
          <w:tab w:leader="none" w:pos="36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base salary, which provides our named executive officers a fixed level of compensation;</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annual bonus, which encourages the achievement of current year objectives; and</w:t>
      </w:r>
    </w:p>
    <w:p>
      <w:pPr>
        <w:spacing w:after="0" w:line="44" w:lineRule="exact"/>
        <w:rPr>
          <w:rFonts w:ascii="Arial" w:cs="Arial" w:eastAsia="Arial" w:hAnsi="Arial"/>
          <w:sz w:val="16"/>
          <w:szCs w:val="16"/>
          <w:color w:val="003A70"/>
        </w:rPr>
      </w:pPr>
    </w:p>
    <w:p>
      <w:pPr>
        <w:ind w:left="360" w:right="460" w:hanging="225"/>
        <w:spacing w:after="0" w:line="284" w:lineRule="auto"/>
        <w:tabs>
          <w:tab w:leader="none" w:pos="36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stock based awards, which align the long-term interests of our named executive officers with the interests of our stockholders and encourage the achievement of longer-term objectives.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December 2023 and February 2024 Compensation Actions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CPC made the following key compensation decisions for 2024, which are discussed in greater detail in the following pages:</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180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Compensation Element</w:t>
            </w:r>
          </w:p>
        </w:tc>
        <w:tc>
          <w:tcPr>
            <w:tcW w:w="558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Compensation Decisions</w:t>
            </w:r>
          </w:p>
        </w:tc>
        <w:tc>
          <w:tcPr>
            <w:tcW w:w="3600" w:type="dxa"/>
            <w:vAlign w:val="bottom"/>
            <w:tcBorders>
              <w:bottom w:val="single" w:sz="8" w:color="003A70"/>
            </w:tcBorders>
          </w:tcPr>
          <w:p>
            <w:pPr>
              <w:spacing w:after="0"/>
              <w:rPr>
                <w:sz w:val="15"/>
                <w:szCs w:val="15"/>
                <w:color w:val="auto"/>
              </w:rPr>
            </w:pPr>
          </w:p>
        </w:tc>
      </w:tr>
      <w:tr>
        <w:trPr>
          <w:trHeight w:val="174"/>
        </w:trPr>
        <w:tc>
          <w:tcPr>
            <w:tcW w:w="18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Base Salary</w:t>
            </w:r>
          </w:p>
        </w:tc>
        <w:tc>
          <w:tcPr>
            <w:tcW w:w="9180" w:type="dxa"/>
            <w:vAlign w:val="bottom"/>
            <w:gridSpan w:val="2"/>
          </w:tcPr>
          <w:p>
            <w:pPr>
              <w:ind w:left="200"/>
              <w:spacing w:after="0" w:line="175" w:lineRule="exact"/>
              <w:rPr>
                <w:sz w:val="20"/>
                <w:szCs w:val="20"/>
                <w:color w:val="auto"/>
              </w:rPr>
            </w:pPr>
            <w:r>
              <w:rPr>
                <w:rFonts w:ascii="Arial" w:cs="Arial" w:eastAsia="Arial" w:hAnsi="Arial"/>
                <w:sz w:val="16"/>
                <w:szCs w:val="16"/>
                <w:color w:val="auto"/>
              </w:rPr>
              <w:t>In connection with the CPC’s desire to bring Mr. Marino’s compensation closer to market median over the next few years, an</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increase to his base pay was approved. In connection with Ms. Gustafson’s assumption of additional responsibilities as</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Commercial Services Officer, an increase to her base pay was approved. Our other named executive officers did not receive</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a base pay increase in 2024, rather, the focus was on short-term and long-term incentives. In determining the amount of the</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adjustments, the CPC considered individual contributions to overall corporate results, Company budget, salary level relative</w:t>
            </w:r>
          </w:p>
        </w:tc>
      </w:tr>
      <w:tr>
        <w:trPr>
          <w:trHeight w:val="202"/>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 market and prior compensation actions.</w:t>
            </w:r>
          </w:p>
        </w:tc>
        <w:tc>
          <w:tcPr>
            <w:tcW w:w="3600" w:type="dxa"/>
            <w:vAlign w:val="bottom"/>
            <w:tcBorders>
              <w:bottom w:val="single" w:sz="8" w:color="auto"/>
            </w:tcBorders>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line="168" w:lineRule="exact"/>
              <w:rPr>
                <w:sz w:val="20"/>
                <w:szCs w:val="20"/>
                <w:color w:val="auto"/>
              </w:rPr>
            </w:pPr>
            <w:r>
              <w:rPr>
                <w:rFonts w:ascii="Arial" w:cs="Arial" w:eastAsia="Arial" w:hAnsi="Arial"/>
                <w:sz w:val="16"/>
                <w:szCs w:val="16"/>
                <w:b w:val="1"/>
                <w:bCs w:val="1"/>
                <w:color w:val="auto"/>
              </w:rPr>
              <w:t>Annual Bonus</w:t>
            </w:r>
          </w:p>
        </w:tc>
        <w:tc>
          <w:tcPr>
            <w:tcW w:w="9180" w:type="dxa"/>
            <w:vAlign w:val="bottom"/>
            <w:gridSpan w:val="2"/>
          </w:tcPr>
          <w:p>
            <w:pPr>
              <w:ind w:left="200"/>
              <w:spacing w:after="0" w:line="168" w:lineRule="exact"/>
              <w:rPr>
                <w:sz w:val="20"/>
                <w:szCs w:val="20"/>
                <w:color w:val="auto"/>
              </w:rPr>
            </w:pPr>
            <w:r>
              <w:rPr>
                <w:rFonts w:ascii="Arial" w:cs="Arial" w:eastAsia="Arial" w:hAnsi="Arial"/>
                <w:sz w:val="16"/>
                <w:szCs w:val="16"/>
                <w:color w:val="auto"/>
              </w:rPr>
              <w:t>For 2024, our financial objectives, which account for 80% of the amounts payable under our management bonus plan (the</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“Bonus Plan”), were Adjusted EBITDA and Total Revenue (which are defined below). The remaining 20% of amounts payable</w:t>
            </w:r>
          </w:p>
        </w:tc>
      </w:tr>
      <w:tr>
        <w:trPr>
          <w:trHeight w:val="202"/>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under the Bonus Plan was based on corporate responsibility initiatives.</w:t>
            </w:r>
          </w:p>
        </w:tc>
        <w:tc>
          <w:tcPr>
            <w:tcW w:w="3600" w:type="dxa"/>
            <w:vAlign w:val="bottom"/>
            <w:tcBorders>
              <w:bottom w:val="single" w:sz="8" w:color="auto"/>
            </w:tcBorders>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line="168" w:lineRule="exact"/>
              <w:rPr>
                <w:sz w:val="20"/>
                <w:szCs w:val="20"/>
                <w:color w:val="auto"/>
              </w:rPr>
            </w:pPr>
            <w:r>
              <w:rPr>
                <w:rFonts w:ascii="Arial" w:cs="Arial" w:eastAsia="Arial" w:hAnsi="Arial"/>
                <w:sz w:val="16"/>
                <w:szCs w:val="16"/>
                <w:b w:val="1"/>
                <w:bCs w:val="1"/>
                <w:color w:val="auto"/>
              </w:rPr>
              <w:t>Equity</w:t>
            </w:r>
          </w:p>
        </w:tc>
        <w:tc>
          <w:tcPr>
            <w:tcW w:w="9180" w:type="dxa"/>
            <w:vAlign w:val="bottom"/>
            <w:gridSpan w:val="2"/>
          </w:tcPr>
          <w:p>
            <w:pPr>
              <w:ind w:left="200"/>
              <w:spacing w:after="0" w:line="168" w:lineRule="exact"/>
              <w:rPr>
                <w:sz w:val="20"/>
                <w:szCs w:val="20"/>
                <w:color w:val="auto"/>
              </w:rPr>
            </w:pPr>
            <w:r>
              <w:rPr>
                <w:rFonts w:ascii="Arial" w:cs="Arial" w:eastAsia="Arial" w:hAnsi="Arial"/>
                <w:sz w:val="16"/>
                <w:szCs w:val="16"/>
                <w:color w:val="auto"/>
              </w:rPr>
              <w:t>All of our named executive officers, with the exception of Jeanette Marbert who had announced her intent to retire, received</w:t>
            </w:r>
          </w:p>
        </w:tc>
      </w:tr>
      <w:tr>
        <w:trPr>
          <w:trHeight w:val="188"/>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Compensation</w:t>
            </w: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increases in their equity compensation to align their interests with stockholder interests and bring their compensation closer to</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market median. Our equity awards for 2024 were a combination of performance based stock units (“Performance Units”),</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stock appreciation rights (“SARs”) and restricted stock units (“RSUs”), with 50% consisting of Performance Units, 20%</w:t>
            </w: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80" w:type="dxa"/>
            <w:vAlign w:val="bottom"/>
            <w:gridSpan w:val="2"/>
          </w:tcPr>
          <w:p>
            <w:pPr>
              <w:ind w:left="200"/>
              <w:spacing w:after="0"/>
              <w:rPr>
                <w:sz w:val="20"/>
                <w:szCs w:val="20"/>
                <w:color w:val="auto"/>
              </w:rPr>
            </w:pPr>
            <w:r>
              <w:rPr>
                <w:rFonts w:ascii="Arial" w:cs="Arial" w:eastAsia="Arial" w:hAnsi="Arial"/>
                <w:sz w:val="16"/>
                <w:szCs w:val="16"/>
                <w:color w:val="auto"/>
              </w:rPr>
              <w:t>consisting of SARs and 30% consisting of RSUs, based on grant date value. The amount of each named executive officer’s</w:t>
            </w:r>
          </w:p>
        </w:tc>
      </w:tr>
      <w:tr>
        <w:trPr>
          <w:trHeight w:val="202"/>
        </w:trPr>
        <w:tc>
          <w:tcPr>
            <w:tcW w:w="20" w:type="dxa"/>
            <w:vAlign w:val="bottom"/>
          </w:tcPr>
          <w:p>
            <w:pPr>
              <w:spacing w:after="0"/>
              <w:rPr>
                <w:sz w:val="17"/>
                <w:szCs w:val="17"/>
                <w:color w:val="auto"/>
              </w:rPr>
            </w:pPr>
          </w:p>
        </w:tc>
        <w:tc>
          <w:tcPr>
            <w:tcW w:w="1780" w:type="dxa"/>
            <w:vAlign w:val="bottom"/>
            <w:tcBorders>
              <w:bottom w:val="single" w:sz="8" w:color="003A70"/>
            </w:tcBorders>
          </w:tcPr>
          <w:p>
            <w:pPr>
              <w:spacing w:after="0"/>
              <w:rPr>
                <w:sz w:val="17"/>
                <w:szCs w:val="17"/>
                <w:color w:val="auto"/>
              </w:rPr>
            </w:pPr>
          </w:p>
        </w:tc>
        <w:tc>
          <w:tcPr>
            <w:tcW w:w="5580" w:type="dxa"/>
            <w:vAlign w:val="bottom"/>
            <w:tcBorders>
              <w:bottom w:val="single" w:sz="8" w:color="003A70"/>
            </w:tcBorders>
          </w:tcPr>
          <w:p>
            <w:pPr>
              <w:ind w:left="200"/>
              <w:spacing w:after="0"/>
              <w:rPr>
                <w:sz w:val="20"/>
                <w:szCs w:val="20"/>
                <w:color w:val="auto"/>
              </w:rPr>
            </w:pPr>
            <w:r>
              <w:rPr>
                <w:rFonts w:ascii="Arial" w:cs="Arial" w:eastAsia="Arial" w:hAnsi="Arial"/>
                <w:sz w:val="16"/>
                <w:szCs w:val="16"/>
                <w:color w:val="auto"/>
              </w:rPr>
              <w:t>award was determined by considering market data and internal factors.</w:t>
            </w:r>
          </w:p>
        </w:tc>
        <w:tc>
          <w:tcPr>
            <w:tcW w:w="3600" w:type="dxa"/>
            <w:vAlign w:val="bottom"/>
            <w:tcBorders>
              <w:bottom w:val="single" w:sz="8" w:color="003A70"/>
            </w:tcBorders>
          </w:tcPr>
          <w:p>
            <w:pPr>
              <w:spacing w:after="0"/>
              <w:rPr>
                <w:sz w:val="17"/>
                <w:szCs w:val="17"/>
                <w:color w:val="auto"/>
              </w:rPr>
            </w:pPr>
          </w:p>
        </w:tc>
      </w:tr>
      <w:tr>
        <w:trPr>
          <w:trHeight w:val="263"/>
        </w:trPr>
        <w:tc>
          <w:tcPr>
            <w:tcW w:w="180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26</w:t>
            </w:r>
          </w:p>
        </w:tc>
        <w:tc>
          <w:tcPr>
            <w:tcW w:w="5580" w:type="dxa"/>
            <w:vAlign w:val="bottom"/>
            <w:tcBorders>
              <w:bottom w:val="single" w:sz="8" w:color="003A70"/>
            </w:tcBorders>
          </w:tcPr>
          <w:p>
            <w:pPr>
              <w:ind w:left="2800"/>
              <w:spacing w:after="0"/>
              <w:rPr>
                <w:sz w:val="20"/>
                <w:szCs w:val="20"/>
                <w:color w:val="auto"/>
              </w:rPr>
            </w:pPr>
            <w:r>
              <w:rPr>
                <w:rFonts w:ascii="Arial" w:cs="Arial" w:eastAsia="Arial" w:hAnsi="Arial"/>
                <w:sz w:val="11"/>
                <w:szCs w:val="11"/>
                <w:color w:val="auto"/>
              </w:rPr>
              <w:t>Executive and Director Compensation</w:t>
            </w:r>
          </w:p>
        </w:tc>
        <w:tc>
          <w:tcPr>
            <w:tcW w:w="3600" w:type="dxa"/>
            <w:vAlign w:val="bottom"/>
            <w:tcBorders>
              <w:bottom w:val="single" w:sz="8" w:color="003A70"/>
            </w:tcBorders>
          </w:tcPr>
          <w:p>
            <w:pPr>
              <w:ind w:left="32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r>
    </w:tbl>
    <w:p>
      <w:pPr>
        <w:sectPr>
          <w:pgSz w:w="11900" w:h="16838" w:orient="portrait"/>
          <w:cols w:equalWidth="0" w:num="1">
            <w:col w:w="11120"/>
          </w:cols>
          <w:pgMar w:left="320" w:top="480"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PHILOSOPHY</w:t>
      </w:r>
    </w:p>
    <w:p>
      <w:pPr>
        <w:spacing w:after="0" w:line="111" w:lineRule="exact"/>
        <w:rPr>
          <w:sz w:val="20"/>
          <w:szCs w:val="20"/>
          <w:color w:val="auto"/>
        </w:rPr>
      </w:pPr>
    </w:p>
    <w:p>
      <w:pPr>
        <w:jc w:val="both"/>
        <w:ind w:left="140" w:right="80"/>
        <w:spacing w:after="0" w:line="263" w:lineRule="auto"/>
        <w:rPr>
          <w:sz w:val="20"/>
          <w:szCs w:val="20"/>
          <w:color w:val="auto"/>
        </w:rPr>
      </w:pPr>
      <w:r>
        <w:rPr>
          <w:rFonts w:ascii="Arial" w:cs="Arial" w:eastAsia="Arial" w:hAnsi="Arial"/>
          <w:sz w:val="16"/>
          <w:szCs w:val="16"/>
          <w:color w:val="auto"/>
        </w:rPr>
        <w:t>The CPC has approved, and periodically reviews, compensation principles that form the basis of our compensation philosophy and reflect our belief that strong and consistent leadership is the key to long-term success in our industry. Accordingly, our compensation program is designed around the following three principles:</w:t>
      </w:r>
    </w:p>
    <w:p>
      <w:pPr>
        <w:spacing w:after="0" w:line="1" w:lineRule="exact"/>
        <w:rPr>
          <w:sz w:val="20"/>
          <w:szCs w:val="20"/>
          <w:color w:val="auto"/>
        </w:rPr>
      </w:pPr>
    </w:p>
    <w:p>
      <w:pPr>
        <w:ind w:left="360" w:right="480" w:hanging="225"/>
        <w:spacing w:after="0" w:line="271" w:lineRule="auto"/>
        <w:tabs>
          <w:tab w:leader="none" w:pos="360" w:val="left"/>
        </w:tabs>
        <w:numPr>
          <w:ilvl w:val="0"/>
          <w:numId w:val="43"/>
        </w:numPr>
        <w:rPr>
          <w:rFonts w:ascii="Arial" w:cs="Arial" w:eastAsia="Arial" w:hAnsi="Arial"/>
          <w:sz w:val="16"/>
          <w:szCs w:val="16"/>
          <w:color w:val="003A70"/>
        </w:rPr>
      </w:pPr>
      <w:r>
        <w:rPr>
          <w:rFonts w:ascii="Arial" w:cs="Arial" w:eastAsia="Arial" w:hAnsi="Arial"/>
          <w:sz w:val="16"/>
          <w:szCs w:val="16"/>
          <w:b w:val="1"/>
          <w:bCs w:val="1"/>
          <w:color w:val="auto"/>
        </w:rPr>
        <w:t xml:space="preserve">Drive Stockholder Value: </w:t>
      </w:r>
      <w:r>
        <w:rPr>
          <w:rFonts w:ascii="Arial" w:cs="Arial" w:eastAsia="Arial" w:hAnsi="Arial"/>
          <w:sz w:val="16"/>
          <w:szCs w:val="16"/>
          <w:color w:val="auto"/>
        </w:rPr>
        <w:t>Executive officers should be paid in a manner that is primarily focused on driving stockholder value. Therefore,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and has been a significant component of total pay opportunity for the named executive officers.</w:t>
      </w:r>
    </w:p>
    <w:p>
      <w:pPr>
        <w:spacing w:after="0" w:line="1" w:lineRule="exact"/>
        <w:rPr>
          <w:rFonts w:ascii="Arial" w:cs="Arial" w:eastAsia="Arial" w:hAnsi="Arial"/>
          <w:sz w:val="16"/>
          <w:szCs w:val="16"/>
          <w:color w:val="003A70"/>
        </w:rPr>
      </w:pPr>
    </w:p>
    <w:p>
      <w:pPr>
        <w:ind w:left="360" w:right="200" w:hanging="225"/>
        <w:spacing w:after="0" w:line="263" w:lineRule="auto"/>
        <w:tabs>
          <w:tab w:leader="none" w:pos="360" w:val="left"/>
        </w:tabs>
        <w:numPr>
          <w:ilvl w:val="0"/>
          <w:numId w:val="43"/>
        </w:numPr>
        <w:rPr>
          <w:rFonts w:ascii="Arial" w:cs="Arial" w:eastAsia="Arial" w:hAnsi="Arial"/>
          <w:sz w:val="16"/>
          <w:szCs w:val="16"/>
          <w:color w:val="003A70"/>
        </w:rPr>
      </w:pPr>
      <w:r>
        <w:rPr>
          <w:rFonts w:ascii="Arial" w:cs="Arial" w:eastAsia="Arial" w:hAnsi="Arial"/>
          <w:sz w:val="16"/>
          <w:szCs w:val="16"/>
          <w:b w:val="1"/>
          <w:bCs w:val="1"/>
          <w:color w:val="auto"/>
        </w:rPr>
        <w:t xml:space="preserve">Motivate and Balance Short-term and Long-term Performance: </w:t>
      </w:r>
      <w:r>
        <w:rPr>
          <w:rFonts w:ascii="Arial" w:cs="Arial" w:eastAsia="Arial" w:hAnsi="Arial"/>
          <w:sz w:val="16"/>
          <w:szCs w:val="16"/>
          <w:color w:val="auto"/>
        </w:rPr>
        <w:t>Compensation should be designed to motivate executive officers to perform their</w:t>
      </w:r>
      <w:r>
        <w:rPr>
          <w:rFonts w:ascii="Arial" w:cs="Arial" w:eastAsia="Arial" w:hAnsi="Arial"/>
          <w:sz w:val="16"/>
          <w:szCs w:val="16"/>
          <w:b w:val="1"/>
          <w:bCs w:val="1"/>
          <w:color w:val="auto"/>
        </w:rPr>
        <w:t xml:space="preserve"> </w:t>
      </w:r>
      <w:r>
        <w:rPr>
          <w:rFonts w:ascii="Arial" w:cs="Arial" w:eastAsia="Arial" w:hAnsi="Arial"/>
          <w:sz w:val="16"/>
          <w:szCs w:val="16"/>
          <w:color w:val="auto"/>
        </w:rPr>
        <w:t>duties in ways that would help achieve current year as well as longer-term objectives. This has been achieved by offering a mix of short-term cash-based and long-term equity-based incentives.</w:t>
      </w:r>
    </w:p>
    <w:p>
      <w:pPr>
        <w:ind w:left="360" w:right="60" w:hanging="225"/>
        <w:spacing w:after="0" w:line="258" w:lineRule="auto"/>
        <w:tabs>
          <w:tab w:leader="none" w:pos="360" w:val="left"/>
        </w:tabs>
        <w:numPr>
          <w:ilvl w:val="0"/>
          <w:numId w:val="43"/>
        </w:numPr>
        <w:rPr>
          <w:rFonts w:ascii="Arial" w:cs="Arial" w:eastAsia="Arial" w:hAnsi="Arial"/>
          <w:sz w:val="16"/>
          <w:szCs w:val="16"/>
          <w:color w:val="003A70"/>
        </w:rPr>
      </w:pPr>
      <w:r>
        <w:rPr>
          <w:rFonts w:ascii="Arial" w:cs="Arial" w:eastAsia="Arial" w:hAnsi="Arial"/>
          <w:sz w:val="16"/>
          <w:szCs w:val="16"/>
          <w:b w:val="1"/>
          <w:bCs w:val="1"/>
          <w:color w:val="auto"/>
        </w:rPr>
        <w:t xml:space="preserve">Retain Talent: </w:t>
      </w:r>
      <w:r>
        <w:rPr>
          <w:rFonts w:ascii="Arial" w:cs="Arial" w:eastAsia="Arial" w:hAnsi="Arial"/>
          <w:sz w:val="16"/>
          <w:szCs w:val="16"/>
          <w:color w:val="auto"/>
        </w:rPr>
        <w:t>The compensation program must be competitive in order to attract key talent from within and outside of our industry and retain key</w:t>
      </w:r>
      <w:r>
        <w:rPr>
          <w:rFonts w:ascii="Arial" w:cs="Arial" w:eastAsia="Arial" w:hAnsi="Arial"/>
          <w:sz w:val="16"/>
          <w:szCs w:val="16"/>
          <w:b w:val="1"/>
          <w:bCs w:val="1"/>
          <w:color w:val="auto"/>
        </w:rPr>
        <w:t xml:space="preserve"> </w:t>
      </w:r>
      <w:r>
        <w:rPr>
          <w:rFonts w:ascii="Arial" w:cs="Arial" w:eastAsia="Arial" w:hAnsi="Arial"/>
          <w:sz w:val="16"/>
          <w:szCs w:val="16"/>
          <w:color w:val="auto"/>
        </w:rPr>
        <w:t>talent at costs consistent with market practice. We work to achieve this, in part, through our review of the market data and internal pay equity considerations described below in making compensation decisions. The CPC seeks to establish compensation generally consistent with the median in total direct compensation, while also considering performance and scope of job.</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COMPENSATION PROGRAM PRINCIPLES AND GOVERNANCE</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Pay for Performance is Key Compensation Program Principle</w:t>
      </w:r>
    </w:p>
    <w:p>
      <w:pPr>
        <w:spacing w:after="0" w:line="102" w:lineRule="exact"/>
        <w:rPr>
          <w:sz w:val="20"/>
          <w:szCs w:val="20"/>
          <w:color w:val="auto"/>
        </w:rPr>
      </w:pPr>
    </w:p>
    <w:p>
      <w:pPr>
        <w:ind w:left="140" w:right="100"/>
        <w:spacing w:after="0" w:line="253" w:lineRule="auto"/>
        <w:rPr>
          <w:sz w:val="20"/>
          <w:szCs w:val="20"/>
          <w:color w:val="auto"/>
        </w:rPr>
      </w:pPr>
      <w:r>
        <w:rPr>
          <w:rFonts w:ascii="Arial" w:cs="Arial" w:eastAsia="Arial" w:hAnsi="Arial"/>
          <w:sz w:val="16"/>
          <w:szCs w:val="16"/>
          <w:color w:val="auto"/>
        </w:rPr>
        <w:t>A large portion of the total pay opportunity for our named executive officers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2024 compensation program include annual and long-term incentives that are comprised of Performance Units, SARs and RSUs. The CPC has not established a specific formula for the allocation of performance-based compensation components and instead retains the discretion to modify the allocation from year to year. The chart below reflects the percentage of our CEO’s and the average of each other named executive officer’s total target compensation that was performance-based in 2024:</w:t>
      </w:r>
    </w:p>
    <w:p>
      <w:pPr>
        <w:spacing w:after="0" w:line="73" w:lineRule="exact"/>
        <w:rPr>
          <w:sz w:val="20"/>
          <w:szCs w:val="20"/>
          <w:color w:val="auto"/>
        </w:rPr>
      </w:pPr>
    </w:p>
    <w:p>
      <w:pPr>
        <w:ind w:left="1380"/>
        <w:spacing w:after="0"/>
        <w:tabs>
          <w:tab w:leader="none" w:pos="5920" w:val="left"/>
        </w:tabs>
        <w:rPr>
          <w:sz w:val="20"/>
          <w:szCs w:val="20"/>
          <w:color w:val="auto"/>
        </w:rPr>
      </w:pPr>
      <w:r>
        <w:rPr>
          <w:rFonts w:ascii="Arial" w:cs="Arial" w:eastAsia="Arial" w:hAnsi="Arial"/>
          <w:sz w:val="22"/>
          <w:szCs w:val="22"/>
          <w:b w:val="1"/>
          <w:bCs w:val="1"/>
          <w:color w:val="003A70"/>
        </w:rPr>
        <w:t>2024 TARGET PAY MIX — CEO</w:t>
      </w:r>
      <w:r>
        <w:rPr>
          <w:sz w:val="20"/>
          <w:szCs w:val="20"/>
          <w:color w:val="auto"/>
        </w:rPr>
        <w:tab/>
      </w:r>
      <w:r>
        <w:rPr>
          <w:rFonts w:ascii="Arial" w:cs="Arial" w:eastAsia="Arial" w:hAnsi="Arial"/>
          <w:sz w:val="20"/>
          <w:szCs w:val="20"/>
          <w:b w:val="1"/>
          <w:bCs w:val="1"/>
          <w:color w:val="003A70"/>
        </w:rPr>
        <w:t>2024 TARGET PAY MIX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88265</wp:posOffset>
            </wp:positionV>
            <wp:extent cx="5902960" cy="2665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0296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Additional Principles and Corporate Governance Policies</w:t>
      </w:r>
    </w:p>
    <w:p>
      <w:pPr>
        <w:spacing w:after="0" w:line="102" w:lineRule="exact"/>
        <w:rPr>
          <w:sz w:val="20"/>
          <w:szCs w:val="20"/>
          <w:color w:val="auto"/>
        </w:rPr>
      </w:pPr>
    </w:p>
    <w:p>
      <w:pPr>
        <w:ind w:left="140" w:right="740"/>
        <w:spacing w:after="0" w:line="271" w:lineRule="auto"/>
        <w:rPr>
          <w:sz w:val="20"/>
          <w:szCs w:val="20"/>
          <w:color w:val="auto"/>
        </w:rPr>
      </w:pPr>
      <w:r>
        <w:rPr>
          <w:rFonts w:ascii="Arial" w:cs="Arial" w:eastAsia="Arial" w:hAnsi="Arial"/>
          <w:sz w:val="16"/>
          <w:szCs w:val="16"/>
          <w:color w:val="auto"/>
        </w:rPr>
        <w:t>Our executive compensation programs contain features that are intended to embody our compensation principles and promote strong executive compensation corporate governance.</w:t>
      </w:r>
    </w:p>
    <w:p>
      <w:pPr>
        <w:spacing w:after="0" w:line="2" w:lineRule="exact"/>
        <w:rPr>
          <w:sz w:val="20"/>
          <w:szCs w:val="20"/>
          <w:color w:val="auto"/>
        </w:rPr>
      </w:pPr>
    </w:p>
    <w:p>
      <w:pPr>
        <w:ind w:left="360" w:right="60" w:hanging="225"/>
        <w:spacing w:after="0" w:line="250" w:lineRule="auto"/>
        <w:tabs>
          <w:tab w:leader="none" w:pos="360" w:val="left"/>
        </w:tabs>
        <w:numPr>
          <w:ilvl w:val="0"/>
          <w:numId w:val="44"/>
        </w:numPr>
        <w:rPr>
          <w:rFonts w:ascii="Arial" w:cs="Arial" w:eastAsia="Arial" w:hAnsi="Arial"/>
          <w:sz w:val="16"/>
          <w:szCs w:val="16"/>
          <w:color w:val="003A70"/>
        </w:rPr>
      </w:pPr>
      <w:r>
        <w:rPr>
          <w:rFonts w:ascii="Arial" w:cs="Arial" w:eastAsia="Arial" w:hAnsi="Arial"/>
          <w:sz w:val="16"/>
          <w:szCs w:val="16"/>
          <w:color w:val="auto"/>
        </w:rPr>
        <w:t>We have a clawback policy applicable to incentive compensation paid to our executive officers and directors (the “NYSE Clawback Policy”), which is in addition to the clawback provision that applies to all equity awards (both time-based and performance-based) under the Marriott Vacations Worldwide Corporation 2020 Equity Incentive Plan (the “2020 Equity Plan”) and the Marriott Vacations Worldwide Corporation Stock and Cash Incentive Plan (the “Prior Equity Plan” and, together with the 2020 Equity Plan, the “Equity Plans”) and the corresponding award agreements thereunder. The NYSE Clawback Policy was adopted in May 2023 and complies with the NYSE rules for erroneously awarded compensation. In addition, we maintain an Other Conduct Clawback Policy whereby the Board may recoup any compensation received, including time-based equity awards,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policies are subject to potential recoupment under the policies.</w:t>
      </w:r>
    </w:p>
    <w:p>
      <w:pPr>
        <w:spacing w:after="0" w:line="10" w:lineRule="exact"/>
        <w:rPr>
          <w:rFonts w:ascii="Arial" w:cs="Arial" w:eastAsia="Arial" w:hAnsi="Arial"/>
          <w:sz w:val="16"/>
          <w:szCs w:val="16"/>
          <w:color w:val="003A70"/>
        </w:rPr>
      </w:pPr>
    </w:p>
    <w:p>
      <w:pPr>
        <w:ind w:left="360" w:hanging="225"/>
        <w:spacing w:after="0"/>
        <w:tabs>
          <w:tab w:leader="none" w:pos="360" w:val="left"/>
        </w:tabs>
        <w:numPr>
          <w:ilvl w:val="0"/>
          <w:numId w:val="44"/>
        </w:numPr>
        <w:rPr>
          <w:rFonts w:ascii="Arial" w:cs="Arial" w:eastAsia="Arial" w:hAnsi="Arial"/>
          <w:sz w:val="16"/>
          <w:szCs w:val="16"/>
          <w:color w:val="003A70"/>
        </w:rPr>
      </w:pPr>
      <w:r>
        <w:rPr>
          <w:rFonts w:ascii="Arial" w:cs="Arial" w:eastAsia="Arial" w:hAnsi="Arial"/>
          <w:sz w:val="16"/>
          <w:szCs w:val="16"/>
          <w:color w:val="auto"/>
        </w:rPr>
        <w:t>We do not provide for a gross-up of excise taxes on any “parachute payments” that could become payable in connection with a change in control.</w:t>
      </w:r>
    </w:p>
    <w:p>
      <w:pPr>
        <w:sectPr>
          <w:pgSz w:w="11900" w:h="16838" w:orient="portrait"/>
          <w:cols w:equalWidth="0" w:num="1">
            <w:col w:w="11120"/>
          </w:cols>
          <w:pgMar w:left="320" w:top="480" w:right="459" w:bottom="1440" w:gutter="0" w:footer="0" w:header="0"/>
        </w:sectPr>
      </w:pPr>
    </w:p>
    <w:p>
      <w:pPr>
        <w:spacing w:after="0" w:line="153" w:lineRule="exact"/>
        <w:rPr>
          <w:sz w:val="20"/>
          <w:szCs w:val="20"/>
          <w:color w:val="auto"/>
        </w:rPr>
      </w:pPr>
    </w:p>
    <w:p>
      <w:pPr>
        <w:ind w:left="140"/>
        <w:spacing w:after="0"/>
        <w:tabs>
          <w:tab w:leader="none" w:pos="47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360" w:hanging="225"/>
        <w:spacing w:after="0"/>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Executive officers are provided only limited perquisites and are not provided with tax gross-ups with respect to such perquisites.</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The Equity Plans do not include an “evergreen” provision.</w:t>
      </w:r>
    </w:p>
    <w:p>
      <w:pPr>
        <w:spacing w:after="0" w:line="44" w:lineRule="exact"/>
        <w:rPr>
          <w:rFonts w:ascii="Arial" w:cs="Arial" w:eastAsia="Arial" w:hAnsi="Arial"/>
          <w:sz w:val="16"/>
          <w:szCs w:val="16"/>
          <w:color w:val="003A70"/>
        </w:rPr>
      </w:pPr>
    </w:p>
    <w:p>
      <w:pPr>
        <w:ind w:left="360" w:right="320" w:hanging="225"/>
        <w:spacing w:after="0" w:line="263"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We cannot, without stockholder approval, “reprice” stock options or SARs by reducing the exercise or base price of such stock option or SAR, exchanging such stock option or SAR for a new award with a lower exercise or base price, or exchanging such stock option or SAR for cash (other than in connection with specified corporate transactions).</w:t>
      </w:r>
    </w:p>
    <w:p>
      <w:pPr>
        <w:ind w:left="360" w:right="260" w:hanging="225"/>
        <w:spacing w:after="0" w:line="271"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We do not provide “single trigger” change in control benefits, except with respect to equity awards which are not retained or replaced with substitute awards following a change in control.</w:t>
      </w:r>
    </w:p>
    <w:p>
      <w:pPr>
        <w:spacing w:after="0" w:line="1" w:lineRule="exact"/>
        <w:rPr>
          <w:rFonts w:ascii="Arial" w:cs="Arial" w:eastAsia="Arial" w:hAnsi="Arial"/>
          <w:sz w:val="16"/>
          <w:szCs w:val="16"/>
          <w:color w:val="003A70"/>
        </w:rPr>
      </w:pPr>
    </w:p>
    <w:p>
      <w:pPr>
        <w:ind w:left="360" w:right="20" w:hanging="225"/>
        <w:spacing w:after="0" w:line="263"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We have stock ownership guidelines that require our President and Chief Executive Officer to own shares of our common stock (as determined under the guidelines) with a market value equal to five times base salary and other executive officers to own shares of our common stock with a market value equal to two to three times their annual base salary.</w:t>
      </w:r>
    </w:p>
    <w:p>
      <w:pPr>
        <w:ind w:left="360" w:right="200" w:hanging="225"/>
        <w:spacing w:after="0" w:line="263"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Equity grants are made on a consistent schedule and are not made in anticipation of significant developments that may impact the price of our common shares. Annual grants are typically made during the first quarter, two days after the filing of the Company’s Annual Report on Form 10-K for the prior year, which is intended to prevent making equity grants when we have material, non-public information.</w:t>
      </w:r>
    </w:p>
    <w:p>
      <w:pPr>
        <w:ind w:left="360" w:right="60" w:hanging="225"/>
        <w:spacing w:after="0" w:line="271"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Our associates, officers and directors may not at any time engage in any form of derivative transactions (such as “short” sales or “option puts or calls”) in our securities.</w:t>
      </w:r>
    </w:p>
    <w:p>
      <w:pPr>
        <w:spacing w:after="0" w:line="1" w:lineRule="exact"/>
        <w:rPr>
          <w:rFonts w:ascii="Arial" w:cs="Arial" w:eastAsia="Arial" w:hAnsi="Arial"/>
          <w:sz w:val="16"/>
          <w:szCs w:val="16"/>
          <w:color w:val="003A70"/>
        </w:rPr>
      </w:pPr>
    </w:p>
    <w:p>
      <w:pPr>
        <w:ind w:left="360" w:right="340" w:hanging="225"/>
        <w:spacing w:after="0" w:line="271"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Our associates, officers and directors are prohibited from including our securities in a margin account or pledging such securities as collateral for a loan.</w:t>
      </w:r>
    </w:p>
    <w:p>
      <w:pPr>
        <w:spacing w:after="0" w:line="1" w:lineRule="exact"/>
        <w:rPr>
          <w:rFonts w:ascii="Arial" w:cs="Arial" w:eastAsia="Arial" w:hAnsi="Arial"/>
          <w:sz w:val="16"/>
          <w:szCs w:val="16"/>
          <w:color w:val="003A70"/>
        </w:rPr>
      </w:pPr>
    </w:p>
    <w:p>
      <w:pPr>
        <w:ind w:left="360" w:right="200" w:hanging="225"/>
        <w:spacing w:after="0" w:line="263" w:lineRule="auto"/>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We, as a practice, do not have employment agreements with any of our named executive officers or other executive officers. However, in connection with the acquisition of ILG, we assumed an employment agreement for Jeanette E. Marbert, former President, Exchange and Third-Party Management, who retired from the Company on August 31, 2024.</w:t>
      </w:r>
    </w:p>
    <w:p>
      <w:pPr>
        <w:ind w:left="360" w:hanging="225"/>
        <w:spacing w:after="0"/>
        <w:tabs>
          <w:tab w:leader="none" w:pos="36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None of our named executive officers are entitled to guaranteed annual bonuses.</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COMPENSATION PROCESS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Market Data</w:t>
      </w:r>
    </w:p>
    <w:p>
      <w:pPr>
        <w:spacing w:after="0" w:line="102" w:lineRule="exact"/>
        <w:rPr>
          <w:sz w:val="20"/>
          <w:szCs w:val="20"/>
          <w:color w:val="auto"/>
        </w:rPr>
      </w:pPr>
    </w:p>
    <w:p>
      <w:pPr>
        <w:ind w:left="140" w:right="60"/>
        <w:spacing w:after="0" w:line="258" w:lineRule="auto"/>
        <w:rPr>
          <w:sz w:val="20"/>
          <w:szCs w:val="20"/>
          <w:color w:val="auto"/>
        </w:rPr>
      </w:pPr>
      <w:r>
        <w:rPr>
          <w:rFonts w:ascii="Arial" w:cs="Arial" w:eastAsia="Arial" w:hAnsi="Arial"/>
          <w:sz w:val="16"/>
          <w:szCs w:val="16"/>
          <w:color w:val="auto"/>
        </w:rPr>
        <w:t>To assist in determining the levels of compensation for our named executive officers in 2024, Exequity LLP (“Exequity”), the CPC’s compensation consultant, recommended an appropriate peer group for approval by the CPC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w:t>
      </w:r>
    </w:p>
    <w:p>
      <w:pPr>
        <w:spacing w:after="0" w:line="70" w:lineRule="exact"/>
        <w:rPr>
          <w:sz w:val="20"/>
          <w:szCs w:val="20"/>
          <w:color w:val="auto"/>
        </w:rPr>
      </w:pPr>
    </w:p>
    <w:p>
      <w:pPr>
        <w:ind w:left="140" w:right="40"/>
        <w:spacing w:after="0" w:line="265" w:lineRule="auto"/>
        <w:rPr>
          <w:sz w:val="20"/>
          <w:szCs w:val="20"/>
          <w:color w:val="auto"/>
        </w:rPr>
      </w:pPr>
      <w:r>
        <w:rPr>
          <w:rFonts w:ascii="Arial" w:cs="Arial" w:eastAsia="Arial" w:hAnsi="Arial"/>
          <w:sz w:val="16"/>
          <w:szCs w:val="16"/>
          <w:color w:val="auto"/>
        </w:rPr>
        <w:t>Brookdale Senior Living Inc., which had been a member of our peer group until 2023, was removed from the peer group for 2024 due to market capitalization relative to the Company. In addition, the CPC added Caesars Entertainment, Inc. and Royal Caribbean Cruises Ltd to the peer group due to their size and industry business model similarities relative to the Company.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companies in the peer group used as the basis for 2024 compensation decisions consisted of the following:</w:t>
      </w:r>
    </w:p>
    <w:p>
      <w:pPr>
        <w:spacing w:after="0" w:line="13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6000" w:type="dxa"/>
            <w:vAlign w:val="bottom"/>
          </w:tcPr>
          <w:p>
            <w:pPr>
              <w:ind w:left="700"/>
              <w:spacing w:after="0"/>
              <w:rPr>
                <w:sz w:val="20"/>
                <w:szCs w:val="20"/>
                <w:color w:val="auto"/>
              </w:rPr>
            </w:pPr>
            <w:r>
              <w:rPr>
                <w:rFonts w:ascii="Arial" w:cs="Arial" w:eastAsia="Arial" w:hAnsi="Arial"/>
                <w:sz w:val="14"/>
                <w:szCs w:val="14"/>
                <w:b w:val="1"/>
                <w:bCs w:val="1"/>
                <w:color w:val="003A70"/>
              </w:rPr>
              <w:t>Peer Group Companies</w:t>
            </w:r>
          </w:p>
        </w:tc>
      </w:tr>
      <w:tr>
        <w:trPr>
          <w:trHeight w:val="63"/>
        </w:trPr>
        <w:tc>
          <w:tcPr>
            <w:tcW w:w="3000" w:type="dxa"/>
            <w:vAlign w:val="bottom"/>
            <w:tcBorders>
              <w:bottom w:val="single" w:sz="8" w:color="003A70"/>
            </w:tcBorders>
          </w:tcPr>
          <w:p>
            <w:pPr>
              <w:spacing w:after="0"/>
              <w:rPr>
                <w:sz w:val="5"/>
                <w:szCs w:val="5"/>
                <w:color w:val="auto"/>
              </w:rPr>
            </w:pPr>
          </w:p>
        </w:tc>
        <w:tc>
          <w:tcPr>
            <w:tcW w:w="6000" w:type="dxa"/>
            <w:vAlign w:val="bottom"/>
            <w:tcBorders>
              <w:bottom w:val="single" w:sz="8" w:color="003A70"/>
            </w:tcBorders>
          </w:tcPr>
          <w:p>
            <w:pPr>
              <w:spacing w:after="0"/>
              <w:rPr>
                <w:sz w:val="5"/>
                <w:szCs w:val="5"/>
                <w:color w:val="auto"/>
              </w:rPr>
            </w:pPr>
          </w:p>
        </w:tc>
      </w:tr>
      <w:tr>
        <w:trPr>
          <w:trHeight w:val="174"/>
        </w:trPr>
        <w:tc>
          <w:tcPr>
            <w:tcW w:w="3000" w:type="dxa"/>
            <w:vAlign w:val="bottom"/>
          </w:tcPr>
          <w:p>
            <w:pPr>
              <w:spacing w:after="0" w:line="175" w:lineRule="exact"/>
              <w:rPr>
                <w:sz w:val="20"/>
                <w:szCs w:val="20"/>
                <w:color w:val="auto"/>
              </w:rPr>
            </w:pPr>
            <w:r>
              <w:rPr>
                <w:rFonts w:ascii="Arial" w:cs="Arial" w:eastAsia="Arial" w:hAnsi="Arial"/>
                <w:sz w:val="16"/>
                <w:szCs w:val="16"/>
                <w:color w:val="auto"/>
              </w:rPr>
              <w:t>Bloomin’ Brands, Inc.</w:t>
            </w:r>
          </w:p>
        </w:tc>
        <w:tc>
          <w:tcPr>
            <w:tcW w:w="6000" w:type="dxa"/>
            <w:vAlign w:val="bottom"/>
          </w:tcPr>
          <w:p>
            <w:pPr>
              <w:ind w:left="1780"/>
              <w:spacing w:after="0" w:line="175" w:lineRule="exact"/>
              <w:rPr>
                <w:sz w:val="20"/>
                <w:szCs w:val="20"/>
                <w:color w:val="auto"/>
              </w:rPr>
            </w:pPr>
            <w:r>
              <w:rPr>
                <w:rFonts w:ascii="Arial" w:cs="Arial" w:eastAsia="Arial" w:hAnsi="Arial"/>
                <w:sz w:val="16"/>
                <w:szCs w:val="16"/>
                <w:color w:val="auto"/>
              </w:rPr>
              <w:t>Norwegian Cruise Line Holdings Ltd.</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Boyd Gaming Corporation</w:t>
            </w:r>
          </w:p>
        </w:tc>
        <w:tc>
          <w:tcPr>
            <w:tcW w:w="6000" w:type="dxa"/>
            <w:vAlign w:val="bottom"/>
          </w:tcPr>
          <w:p>
            <w:pPr>
              <w:ind w:left="1780"/>
              <w:spacing w:after="0"/>
              <w:rPr>
                <w:sz w:val="20"/>
                <w:szCs w:val="20"/>
                <w:color w:val="auto"/>
              </w:rPr>
            </w:pPr>
            <w:r>
              <w:rPr>
                <w:rFonts w:ascii="Arial" w:cs="Arial" w:eastAsia="Arial" w:hAnsi="Arial"/>
                <w:sz w:val="16"/>
                <w:szCs w:val="16"/>
                <w:color w:val="auto"/>
              </w:rPr>
              <w:t>Park Hotels &amp; Resorts Inc.</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Caesars Entertainment, Inc.</w:t>
            </w:r>
          </w:p>
        </w:tc>
        <w:tc>
          <w:tcPr>
            <w:tcW w:w="6000" w:type="dxa"/>
            <w:vAlign w:val="bottom"/>
          </w:tcPr>
          <w:p>
            <w:pPr>
              <w:ind w:left="1780"/>
              <w:spacing w:after="0"/>
              <w:rPr>
                <w:sz w:val="20"/>
                <w:szCs w:val="20"/>
                <w:color w:val="auto"/>
              </w:rPr>
            </w:pPr>
            <w:r>
              <w:rPr>
                <w:rFonts w:ascii="Arial" w:cs="Arial" w:eastAsia="Arial" w:hAnsi="Arial"/>
                <w:sz w:val="16"/>
                <w:szCs w:val="16"/>
                <w:color w:val="auto"/>
              </w:rPr>
              <w:t>Penn National Gaming, Inc.</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Choice Hotels International, Inc.</w:t>
            </w:r>
          </w:p>
        </w:tc>
        <w:tc>
          <w:tcPr>
            <w:tcW w:w="6000" w:type="dxa"/>
            <w:vAlign w:val="bottom"/>
          </w:tcPr>
          <w:p>
            <w:pPr>
              <w:ind w:left="1780"/>
              <w:spacing w:after="0"/>
              <w:rPr>
                <w:sz w:val="20"/>
                <w:szCs w:val="20"/>
                <w:color w:val="auto"/>
              </w:rPr>
            </w:pPr>
            <w:r>
              <w:rPr>
                <w:rFonts w:ascii="Arial" w:cs="Arial" w:eastAsia="Arial" w:hAnsi="Arial"/>
                <w:sz w:val="16"/>
                <w:szCs w:val="16"/>
                <w:color w:val="auto"/>
              </w:rPr>
              <w:t>Royal Caribbean Cruises Ltd.</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Darden Restaurants, Inc.</w:t>
            </w:r>
          </w:p>
        </w:tc>
        <w:tc>
          <w:tcPr>
            <w:tcW w:w="6000" w:type="dxa"/>
            <w:vAlign w:val="bottom"/>
          </w:tcPr>
          <w:p>
            <w:pPr>
              <w:ind w:left="1780"/>
              <w:spacing w:after="0"/>
              <w:rPr>
                <w:sz w:val="20"/>
                <w:szCs w:val="20"/>
                <w:color w:val="auto"/>
              </w:rPr>
            </w:pPr>
            <w:r>
              <w:rPr>
                <w:rFonts w:ascii="Arial" w:cs="Arial" w:eastAsia="Arial" w:hAnsi="Arial"/>
                <w:sz w:val="16"/>
                <w:szCs w:val="16"/>
                <w:color w:val="auto"/>
              </w:rPr>
              <w:t>Toll Brothers, Inc.</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Hilton Grand Vacations Inc.</w:t>
            </w:r>
          </w:p>
        </w:tc>
        <w:tc>
          <w:tcPr>
            <w:tcW w:w="6000" w:type="dxa"/>
            <w:vAlign w:val="bottom"/>
          </w:tcPr>
          <w:p>
            <w:pPr>
              <w:ind w:left="1780"/>
              <w:spacing w:after="0"/>
              <w:rPr>
                <w:sz w:val="20"/>
                <w:szCs w:val="20"/>
                <w:color w:val="auto"/>
              </w:rPr>
            </w:pPr>
            <w:r>
              <w:rPr>
                <w:rFonts w:ascii="Arial" w:cs="Arial" w:eastAsia="Arial" w:hAnsi="Arial"/>
                <w:sz w:val="16"/>
                <w:szCs w:val="16"/>
                <w:color w:val="auto"/>
              </w:rPr>
              <w:t>Travel+Leisure Co.</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Host Hotels &amp; Resorts, Inc.</w:t>
            </w:r>
          </w:p>
        </w:tc>
        <w:tc>
          <w:tcPr>
            <w:tcW w:w="6000" w:type="dxa"/>
            <w:vAlign w:val="bottom"/>
          </w:tcPr>
          <w:p>
            <w:pPr>
              <w:ind w:left="1780"/>
              <w:spacing w:after="0"/>
              <w:rPr>
                <w:sz w:val="20"/>
                <w:szCs w:val="20"/>
                <w:color w:val="auto"/>
              </w:rPr>
            </w:pPr>
            <w:r>
              <w:rPr>
                <w:rFonts w:ascii="Arial" w:cs="Arial" w:eastAsia="Arial" w:hAnsi="Arial"/>
                <w:sz w:val="16"/>
                <w:szCs w:val="16"/>
                <w:color w:val="auto"/>
              </w:rPr>
              <w:t>Vail Resorts, Inc.</w:t>
            </w:r>
          </w:p>
        </w:tc>
      </w:tr>
      <w:tr>
        <w:trPr>
          <w:trHeight w:val="188"/>
        </w:trPr>
        <w:tc>
          <w:tcPr>
            <w:tcW w:w="3000" w:type="dxa"/>
            <w:vAlign w:val="bottom"/>
          </w:tcPr>
          <w:p>
            <w:pPr>
              <w:spacing w:after="0"/>
              <w:rPr>
                <w:sz w:val="20"/>
                <w:szCs w:val="20"/>
                <w:color w:val="auto"/>
              </w:rPr>
            </w:pPr>
            <w:r>
              <w:rPr>
                <w:rFonts w:ascii="Arial" w:cs="Arial" w:eastAsia="Arial" w:hAnsi="Arial"/>
                <w:sz w:val="16"/>
                <w:szCs w:val="16"/>
                <w:color w:val="auto"/>
              </w:rPr>
              <w:t>Hyatt Hotels Corporation</w:t>
            </w:r>
          </w:p>
        </w:tc>
        <w:tc>
          <w:tcPr>
            <w:tcW w:w="6000" w:type="dxa"/>
            <w:vAlign w:val="bottom"/>
          </w:tcPr>
          <w:p>
            <w:pPr>
              <w:ind w:left="1780"/>
              <w:spacing w:after="0"/>
              <w:rPr>
                <w:sz w:val="20"/>
                <w:szCs w:val="20"/>
                <w:color w:val="auto"/>
              </w:rPr>
            </w:pPr>
            <w:r>
              <w:rPr>
                <w:rFonts w:ascii="Arial" w:cs="Arial" w:eastAsia="Arial" w:hAnsi="Arial"/>
                <w:sz w:val="16"/>
                <w:szCs w:val="16"/>
                <w:color w:val="auto"/>
              </w:rPr>
              <w:t>Wyndham Hotels &amp; Resorts, Inc.</w:t>
            </w:r>
          </w:p>
        </w:tc>
      </w:tr>
      <w:tr>
        <w:trPr>
          <w:trHeight w:val="215"/>
        </w:trPr>
        <w:tc>
          <w:tcPr>
            <w:tcW w:w="3000" w:type="dxa"/>
            <w:vAlign w:val="bottom"/>
            <w:tcBorders>
              <w:bottom w:val="single" w:sz="8" w:color="003A70"/>
            </w:tcBorders>
          </w:tcPr>
          <w:p>
            <w:pPr>
              <w:spacing w:after="0"/>
              <w:rPr>
                <w:sz w:val="18"/>
                <w:szCs w:val="18"/>
                <w:color w:val="auto"/>
              </w:rPr>
            </w:pPr>
          </w:p>
        </w:tc>
        <w:tc>
          <w:tcPr>
            <w:tcW w:w="6000" w:type="dxa"/>
            <w:vAlign w:val="bottom"/>
            <w:tcBorders>
              <w:bottom w:val="single" w:sz="8" w:color="003A70"/>
            </w:tcBorders>
          </w:tcPr>
          <w:p>
            <w:pPr>
              <w:ind w:left="1780"/>
              <w:spacing w:after="0"/>
              <w:rPr>
                <w:sz w:val="20"/>
                <w:szCs w:val="20"/>
                <w:color w:val="auto"/>
              </w:rPr>
            </w:pPr>
            <w:r>
              <w:rPr>
                <w:rFonts w:ascii="Arial" w:cs="Arial" w:eastAsia="Arial" w:hAnsi="Arial"/>
                <w:sz w:val="16"/>
                <w:szCs w:val="16"/>
                <w:color w:val="auto"/>
              </w:rPr>
              <w:t>Wynn Resorts, Limited</w:t>
            </w:r>
          </w:p>
        </w:tc>
      </w:tr>
    </w:tbl>
    <w:p>
      <w:pPr>
        <w:spacing w:after="0" w:line="94" w:lineRule="exact"/>
        <w:rPr>
          <w:sz w:val="20"/>
          <w:szCs w:val="20"/>
          <w:color w:val="auto"/>
        </w:rPr>
      </w:pPr>
    </w:p>
    <w:p>
      <w:pPr>
        <w:ind w:left="140" w:right="60"/>
        <w:spacing w:after="0" w:line="255" w:lineRule="auto"/>
        <w:rPr>
          <w:sz w:val="20"/>
          <w:szCs w:val="20"/>
          <w:color w:val="auto"/>
        </w:rPr>
      </w:pPr>
      <w:r>
        <w:rPr>
          <w:rFonts w:ascii="Arial" w:cs="Arial" w:eastAsia="Arial" w:hAnsi="Arial"/>
          <w:sz w:val="16"/>
          <w:szCs w:val="16"/>
          <w:color w:val="auto"/>
        </w:rPr>
        <w:t>In addition, in part due to the fact that there are very few public company direct competitors, the CPC determined that it was appropriate to consider the compensation practices of a general industry peer group as an additional reference point for its 2024 executive pay decisions. Accordingly, the CPC considered the compensation practices of a general industry peer group consisting of forty companies in the hospitality, consumer products and retail industry that participated in the Aon Survey Group database (i.e., 20 hospitality, consumer products and retail companies with revenues greater than, and 20 hospitality, consumer products and retail companies with revenues less than, the Company’s revenues).</w:t>
      </w:r>
    </w:p>
    <w:p>
      <w:pPr>
        <w:spacing w:after="0" w:line="113" w:lineRule="exact"/>
        <w:rPr>
          <w:sz w:val="20"/>
          <w:szCs w:val="20"/>
          <w:color w:val="auto"/>
        </w:rPr>
      </w:pPr>
    </w:p>
    <w:p>
      <w:pPr>
        <w:ind w:left="14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28</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companies that met these objective criteria with revenues greater and less than the Company’s revenues consisted of the following:</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44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Revenues Greater than the Company’s Revenues</w:t>
            </w:r>
          </w:p>
        </w:tc>
        <w:tc>
          <w:tcPr>
            <w:tcW w:w="5640" w:type="dxa"/>
            <w:vAlign w:val="bottom"/>
            <w:tcBorders>
              <w:bottom w:val="single" w:sz="8" w:color="003A70"/>
            </w:tcBorders>
          </w:tcPr>
          <w:p>
            <w:pPr>
              <w:ind w:left="1100"/>
              <w:spacing w:after="0"/>
              <w:rPr>
                <w:sz w:val="20"/>
                <w:szCs w:val="20"/>
                <w:color w:val="auto"/>
              </w:rPr>
            </w:pPr>
            <w:r>
              <w:rPr>
                <w:rFonts w:ascii="Arial" w:cs="Arial" w:eastAsia="Arial" w:hAnsi="Arial"/>
                <w:sz w:val="14"/>
                <w:szCs w:val="14"/>
                <w:b w:val="1"/>
                <w:bCs w:val="1"/>
                <w:color w:val="003A70"/>
              </w:rPr>
              <w:t>Revenues Less than the Company’s Revenues</w:t>
            </w:r>
          </w:p>
        </w:tc>
      </w:tr>
      <w:tr>
        <w:trPr>
          <w:trHeight w:val="174"/>
        </w:trPr>
        <w:tc>
          <w:tcPr>
            <w:tcW w:w="4460" w:type="dxa"/>
            <w:vAlign w:val="bottom"/>
          </w:tcPr>
          <w:p>
            <w:pPr>
              <w:spacing w:after="0" w:line="175" w:lineRule="exact"/>
              <w:rPr>
                <w:sz w:val="20"/>
                <w:szCs w:val="20"/>
                <w:color w:val="auto"/>
              </w:rPr>
            </w:pPr>
            <w:r>
              <w:rPr>
                <w:rFonts w:ascii="Arial" w:cs="Arial" w:eastAsia="Arial" w:hAnsi="Arial"/>
                <w:sz w:val="16"/>
                <w:szCs w:val="16"/>
                <w:color w:val="auto"/>
              </w:rPr>
              <w:t>Academy Sports and Outdoors, Inc.</w:t>
            </w:r>
          </w:p>
        </w:tc>
        <w:tc>
          <w:tcPr>
            <w:tcW w:w="5640" w:type="dxa"/>
            <w:vAlign w:val="bottom"/>
          </w:tcPr>
          <w:p>
            <w:pPr>
              <w:ind w:left="1100"/>
              <w:spacing w:after="0" w:line="175" w:lineRule="exact"/>
              <w:rPr>
                <w:sz w:val="20"/>
                <w:szCs w:val="20"/>
                <w:color w:val="auto"/>
              </w:rPr>
            </w:pPr>
            <w:r>
              <w:rPr>
                <w:rFonts w:ascii="Arial" w:cs="Arial" w:eastAsia="Arial" w:hAnsi="Arial"/>
                <w:sz w:val="16"/>
                <w:szCs w:val="16"/>
                <w:color w:val="auto"/>
              </w:rPr>
              <w:t>Abercrombie &amp; Fitch Co.</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ADT Inc.</w:t>
            </w:r>
          </w:p>
        </w:tc>
        <w:tc>
          <w:tcPr>
            <w:tcW w:w="5640" w:type="dxa"/>
            <w:vAlign w:val="bottom"/>
          </w:tcPr>
          <w:p>
            <w:pPr>
              <w:ind w:left="1100"/>
              <w:spacing w:after="0"/>
              <w:rPr>
                <w:sz w:val="20"/>
                <w:szCs w:val="20"/>
                <w:color w:val="auto"/>
              </w:rPr>
            </w:pPr>
            <w:r>
              <w:rPr>
                <w:rFonts w:ascii="Arial" w:cs="Arial" w:eastAsia="Arial" w:hAnsi="Arial"/>
                <w:sz w:val="16"/>
                <w:szCs w:val="16"/>
                <w:color w:val="auto"/>
              </w:rPr>
              <w:t>Brinker International,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American Eagle Outfitters, Inc.</w:t>
            </w:r>
          </w:p>
        </w:tc>
        <w:tc>
          <w:tcPr>
            <w:tcW w:w="5640" w:type="dxa"/>
            <w:vAlign w:val="bottom"/>
          </w:tcPr>
          <w:p>
            <w:pPr>
              <w:ind w:left="1100"/>
              <w:spacing w:after="0"/>
              <w:rPr>
                <w:sz w:val="20"/>
                <w:szCs w:val="20"/>
                <w:color w:val="auto"/>
              </w:rPr>
            </w:pPr>
            <w:r>
              <w:rPr>
                <w:rFonts w:ascii="Arial" w:cs="Arial" w:eastAsia="Arial" w:hAnsi="Arial"/>
                <w:sz w:val="16"/>
                <w:szCs w:val="16"/>
                <w:color w:val="auto"/>
              </w:rPr>
              <w:t>Columbia Sportswear Company</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Bath &amp; Body Works, Inc.</w:t>
            </w:r>
          </w:p>
        </w:tc>
        <w:tc>
          <w:tcPr>
            <w:tcW w:w="5640" w:type="dxa"/>
            <w:vAlign w:val="bottom"/>
          </w:tcPr>
          <w:p>
            <w:pPr>
              <w:ind w:left="1100"/>
              <w:spacing w:after="0"/>
              <w:rPr>
                <w:sz w:val="20"/>
                <w:szCs w:val="20"/>
                <w:color w:val="auto"/>
              </w:rPr>
            </w:pPr>
            <w:r>
              <w:rPr>
                <w:rFonts w:ascii="Arial" w:cs="Arial" w:eastAsia="Arial" w:hAnsi="Arial"/>
                <w:sz w:val="16"/>
                <w:szCs w:val="16"/>
                <w:color w:val="auto"/>
              </w:rPr>
              <w:t>Crocs,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Coca-Cola Consolidated, Inc.</w:t>
            </w:r>
          </w:p>
        </w:tc>
        <w:tc>
          <w:tcPr>
            <w:tcW w:w="5640" w:type="dxa"/>
            <w:vAlign w:val="bottom"/>
          </w:tcPr>
          <w:p>
            <w:pPr>
              <w:ind w:left="1100"/>
              <w:spacing w:after="0"/>
              <w:rPr>
                <w:sz w:val="20"/>
                <w:szCs w:val="20"/>
                <w:color w:val="auto"/>
              </w:rPr>
            </w:pPr>
            <w:r>
              <w:rPr>
                <w:rFonts w:ascii="Arial" w:cs="Arial" w:eastAsia="Arial" w:hAnsi="Arial"/>
                <w:sz w:val="16"/>
                <w:szCs w:val="16"/>
                <w:color w:val="auto"/>
              </w:rPr>
              <w:t>Domino’s Pizza,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Hanesbrands Inc.</w:t>
            </w:r>
          </w:p>
        </w:tc>
        <w:tc>
          <w:tcPr>
            <w:tcW w:w="5640" w:type="dxa"/>
            <w:vAlign w:val="bottom"/>
          </w:tcPr>
          <w:p>
            <w:pPr>
              <w:ind w:left="1100"/>
              <w:spacing w:after="0"/>
              <w:rPr>
                <w:sz w:val="20"/>
                <w:szCs w:val="20"/>
                <w:color w:val="auto"/>
              </w:rPr>
            </w:pPr>
            <w:r>
              <w:rPr>
                <w:rFonts w:ascii="Arial" w:cs="Arial" w:eastAsia="Arial" w:hAnsi="Arial"/>
                <w:sz w:val="16"/>
                <w:szCs w:val="16"/>
                <w:color w:val="auto"/>
              </w:rPr>
              <w:t>Etsy,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Hasbro, Inc.</w:t>
            </w:r>
          </w:p>
        </w:tc>
        <w:tc>
          <w:tcPr>
            <w:tcW w:w="5640" w:type="dxa"/>
            <w:vAlign w:val="bottom"/>
          </w:tcPr>
          <w:p>
            <w:pPr>
              <w:ind w:left="1100"/>
              <w:spacing w:after="0"/>
              <w:rPr>
                <w:sz w:val="20"/>
                <w:szCs w:val="20"/>
                <w:color w:val="auto"/>
              </w:rPr>
            </w:pPr>
            <w:r>
              <w:rPr>
                <w:rFonts w:ascii="Arial" w:cs="Arial" w:eastAsia="Arial" w:hAnsi="Arial"/>
                <w:sz w:val="16"/>
                <w:szCs w:val="16"/>
                <w:color w:val="auto"/>
              </w:rPr>
              <w:t>Five Below,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Herbalife Ltd.</w:t>
            </w:r>
          </w:p>
        </w:tc>
        <w:tc>
          <w:tcPr>
            <w:tcW w:w="5640" w:type="dxa"/>
            <w:vAlign w:val="bottom"/>
          </w:tcPr>
          <w:p>
            <w:pPr>
              <w:ind w:left="1100"/>
              <w:spacing w:after="0"/>
              <w:rPr>
                <w:sz w:val="20"/>
                <w:szCs w:val="20"/>
                <w:color w:val="auto"/>
              </w:rPr>
            </w:pPr>
            <w:r>
              <w:rPr>
                <w:rFonts w:ascii="Arial" w:cs="Arial" w:eastAsia="Arial" w:hAnsi="Arial"/>
                <w:sz w:val="16"/>
                <w:szCs w:val="16"/>
                <w:color w:val="auto"/>
              </w:rPr>
              <w:t>H&amp;R Block,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Hyatt Hotels Corporation</w:t>
            </w:r>
          </w:p>
        </w:tc>
        <w:tc>
          <w:tcPr>
            <w:tcW w:w="5640" w:type="dxa"/>
            <w:vAlign w:val="bottom"/>
          </w:tcPr>
          <w:p>
            <w:pPr>
              <w:ind w:left="1100"/>
              <w:spacing w:after="0"/>
              <w:rPr>
                <w:sz w:val="20"/>
                <w:szCs w:val="20"/>
                <w:color w:val="auto"/>
              </w:rPr>
            </w:pPr>
            <w:r>
              <w:rPr>
                <w:rFonts w:ascii="Arial" w:cs="Arial" w:eastAsia="Arial" w:hAnsi="Arial"/>
                <w:sz w:val="16"/>
                <w:szCs w:val="16"/>
                <w:color w:val="auto"/>
              </w:rPr>
              <w:t>Kontoor Brands,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Lamb Weston Holdings, Inc.</w:t>
            </w:r>
          </w:p>
        </w:tc>
        <w:tc>
          <w:tcPr>
            <w:tcW w:w="5640" w:type="dxa"/>
            <w:vAlign w:val="bottom"/>
          </w:tcPr>
          <w:p>
            <w:pPr>
              <w:ind w:left="1100"/>
              <w:spacing w:after="0"/>
              <w:rPr>
                <w:sz w:val="20"/>
                <w:szCs w:val="20"/>
                <w:color w:val="auto"/>
              </w:rPr>
            </w:pPr>
            <w:r>
              <w:rPr>
                <w:rFonts w:ascii="Arial" w:cs="Arial" w:eastAsia="Arial" w:hAnsi="Arial"/>
                <w:sz w:val="16"/>
                <w:szCs w:val="16"/>
                <w:color w:val="auto"/>
              </w:rPr>
              <w:t>Peloton Interactive,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Leggett &amp; Platt, Incorporated</w:t>
            </w:r>
          </w:p>
        </w:tc>
        <w:tc>
          <w:tcPr>
            <w:tcW w:w="5640" w:type="dxa"/>
            <w:vAlign w:val="bottom"/>
          </w:tcPr>
          <w:p>
            <w:pPr>
              <w:ind w:left="1100"/>
              <w:spacing w:after="0"/>
              <w:rPr>
                <w:sz w:val="20"/>
                <w:szCs w:val="20"/>
                <w:color w:val="auto"/>
              </w:rPr>
            </w:pPr>
            <w:r>
              <w:rPr>
                <w:rFonts w:ascii="Arial" w:cs="Arial" w:eastAsia="Arial" w:hAnsi="Arial"/>
                <w:sz w:val="16"/>
                <w:szCs w:val="16"/>
                <w:color w:val="auto"/>
              </w:rPr>
              <w:t>Sabre Corporation</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Levi Strauss &amp; Co.</w:t>
            </w:r>
          </w:p>
        </w:tc>
        <w:tc>
          <w:tcPr>
            <w:tcW w:w="5640" w:type="dxa"/>
            <w:vAlign w:val="bottom"/>
          </w:tcPr>
          <w:p>
            <w:pPr>
              <w:ind w:left="1100"/>
              <w:spacing w:after="0"/>
              <w:rPr>
                <w:sz w:val="20"/>
                <w:szCs w:val="20"/>
                <w:color w:val="auto"/>
              </w:rPr>
            </w:pPr>
            <w:r>
              <w:rPr>
                <w:rFonts w:ascii="Arial" w:cs="Arial" w:eastAsia="Arial" w:hAnsi="Arial"/>
                <w:sz w:val="16"/>
                <w:szCs w:val="16"/>
                <w:color w:val="auto"/>
              </w:rPr>
              <w:t>Sally Beauty Holdings,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lululemon athletica inc.</w:t>
            </w:r>
          </w:p>
        </w:tc>
        <w:tc>
          <w:tcPr>
            <w:tcW w:w="5640" w:type="dxa"/>
            <w:vAlign w:val="bottom"/>
          </w:tcPr>
          <w:p>
            <w:pPr>
              <w:ind w:left="1100"/>
              <w:spacing w:after="0"/>
              <w:rPr>
                <w:sz w:val="20"/>
                <w:szCs w:val="20"/>
                <w:color w:val="auto"/>
              </w:rPr>
            </w:pPr>
            <w:r>
              <w:rPr>
                <w:rFonts w:ascii="Arial" w:cs="Arial" w:eastAsia="Arial" w:hAnsi="Arial"/>
                <w:sz w:val="16"/>
                <w:szCs w:val="16"/>
                <w:color w:val="auto"/>
              </w:rPr>
              <w:t>Sleep Number Corporation</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Mattel Inc.</w:t>
            </w:r>
          </w:p>
        </w:tc>
        <w:tc>
          <w:tcPr>
            <w:tcW w:w="5640" w:type="dxa"/>
            <w:vAlign w:val="bottom"/>
          </w:tcPr>
          <w:p>
            <w:pPr>
              <w:ind w:left="1100"/>
              <w:spacing w:after="0"/>
              <w:rPr>
                <w:sz w:val="20"/>
                <w:szCs w:val="20"/>
                <w:color w:val="auto"/>
              </w:rPr>
            </w:pPr>
            <w:r>
              <w:rPr>
                <w:rFonts w:ascii="Arial" w:cs="Arial" w:eastAsia="Arial" w:hAnsi="Arial"/>
                <w:sz w:val="16"/>
                <w:szCs w:val="16"/>
                <w:color w:val="auto"/>
              </w:rPr>
              <w:t>The Cheesecake Factory Incorporated</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PENN Entertainment, Inc.</w:t>
            </w:r>
          </w:p>
        </w:tc>
        <w:tc>
          <w:tcPr>
            <w:tcW w:w="5640" w:type="dxa"/>
            <w:vAlign w:val="bottom"/>
          </w:tcPr>
          <w:p>
            <w:pPr>
              <w:ind w:left="1100"/>
              <w:spacing w:after="0"/>
              <w:rPr>
                <w:sz w:val="20"/>
                <w:szCs w:val="20"/>
                <w:color w:val="auto"/>
              </w:rPr>
            </w:pPr>
            <w:r>
              <w:rPr>
                <w:rFonts w:ascii="Arial" w:cs="Arial" w:eastAsia="Arial" w:hAnsi="Arial"/>
                <w:sz w:val="16"/>
                <w:szCs w:val="16"/>
                <w:color w:val="auto"/>
              </w:rPr>
              <w:t>Topgolf Callaway Brands Corp.</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Petco Health and Wellness Company, Inc.</w:t>
            </w:r>
          </w:p>
        </w:tc>
        <w:tc>
          <w:tcPr>
            <w:tcW w:w="5640" w:type="dxa"/>
            <w:vAlign w:val="bottom"/>
          </w:tcPr>
          <w:p>
            <w:pPr>
              <w:ind w:left="1100"/>
              <w:spacing w:after="0"/>
              <w:rPr>
                <w:sz w:val="20"/>
                <w:szCs w:val="20"/>
                <w:color w:val="auto"/>
              </w:rPr>
            </w:pPr>
            <w:r>
              <w:rPr>
                <w:rFonts w:ascii="Arial" w:cs="Arial" w:eastAsia="Arial" w:hAnsi="Arial"/>
                <w:sz w:val="16"/>
                <w:szCs w:val="16"/>
                <w:color w:val="auto"/>
              </w:rPr>
              <w:t>Travel + Leisure Co.</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The Clorox Company</w:t>
            </w:r>
          </w:p>
        </w:tc>
        <w:tc>
          <w:tcPr>
            <w:tcW w:w="5640" w:type="dxa"/>
            <w:vAlign w:val="bottom"/>
          </w:tcPr>
          <w:p>
            <w:pPr>
              <w:ind w:left="1100"/>
              <w:spacing w:after="0"/>
              <w:rPr>
                <w:sz w:val="20"/>
                <w:szCs w:val="20"/>
                <w:color w:val="auto"/>
              </w:rPr>
            </w:pPr>
            <w:r>
              <w:rPr>
                <w:rFonts w:ascii="Arial" w:cs="Arial" w:eastAsia="Arial" w:hAnsi="Arial"/>
                <w:sz w:val="16"/>
                <w:szCs w:val="16"/>
                <w:color w:val="auto"/>
              </w:rPr>
              <w:t>TreeHouse Foods,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UnderArmour, Inc.</w:t>
            </w:r>
          </w:p>
        </w:tc>
        <w:tc>
          <w:tcPr>
            <w:tcW w:w="5640" w:type="dxa"/>
            <w:vAlign w:val="bottom"/>
          </w:tcPr>
          <w:p>
            <w:pPr>
              <w:ind w:left="1100"/>
              <w:spacing w:after="0"/>
              <w:rPr>
                <w:sz w:val="20"/>
                <w:szCs w:val="20"/>
                <w:color w:val="auto"/>
              </w:rPr>
            </w:pPr>
            <w:r>
              <w:rPr>
                <w:rFonts w:ascii="Arial" w:cs="Arial" w:eastAsia="Arial" w:hAnsi="Arial"/>
                <w:sz w:val="16"/>
                <w:szCs w:val="16"/>
                <w:color w:val="auto"/>
              </w:rPr>
              <w:t>Vail Resorts, Inc.</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Victoria’s Secret &amp; Co.</w:t>
            </w:r>
          </w:p>
        </w:tc>
        <w:tc>
          <w:tcPr>
            <w:tcW w:w="5640" w:type="dxa"/>
            <w:vAlign w:val="bottom"/>
          </w:tcPr>
          <w:p>
            <w:pPr>
              <w:ind w:left="1100"/>
              <w:spacing w:after="0"/>
              <w:rPr>
                <w:sz w:val="20"/>
                <w:szCs w:val="20"/>
                <w:color w:val="auto"/>
              </w:rPr>
            </w:pPr>
            <w:r>
              <w:rPr>
                <w:rFonts w:ascii="Arial" w:cs="Arial" w:eastAsia="Arial" w:hAnsi="Arial"/>
                <w:sz w:val="16"/>
                <w:szCs w:val="16"/>
                <w:color w:val="auto"/>
              </w:rPr>
              <w:t>Vista Outdoor Inc.</w:t>
            </w:r>
          </w:p>
        </w:tc>
      </w:tr>
      <w:tr>
        <w:trPr>
          <w:trHeight w:val="215"/>
        </w:trPr>
        <w:tc>
          <w:tcPr>
            <w:tcW w:w="446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Yum! Brands, Inc.</w:t>
            </w:r>
          </w:p>
        </w:tc>
        <w:tc>
          <w:tcPr>
            <w:tcW w:w="5640" w:type="dxa"/>
            <w:vAlign w:val="bottom"/>
            <w:tcBorders>
              <w:bottom w:val="single" w:sz="8" w:color="003A70"/>
            </w:tcBorders>
          </w:tcPr>
          <w:p>
            <w:pPr>
              <w:ind w:left="1100"/>
              <w:spacing w:after="0"/>
              <w:rPr>
                <w:sz w:val="20"/>
                <w:szCs w:val="20"/>
                <w:color w:val="auto"/>
              </w:rPr>
            </w:pPr>
            <w:r>
              <w:rPr>
                <w:rFonts w:ascii="Arial" w:cs="Arial" w:eastAsia="Arial" w:hAnsi="Arial"/>
                <w:sz w:val="16"/>
                <w:szCs w:val="16"/>
                <w:color w:val="auto"/>
              </w:rPr>
              <w:t>Wolverine World Wide, Inc.</w:t>
            </w:r>
          </w:p>
        </w:tc>
      </w:tr>
    </w:tbl>
    <w:p>
      <w:pPr>
        <w:spacing w:after="0" w:line="29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Tally Sheets</w:t>
      </w:r>
    </w:p>
    <w:p>
      <w:pPr>
        <w:spacing w:after="0" w:line="102"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On an annual basis, the CPC reviews “tally sheets” prepared by management for each executive officer. The tally sheet includes, among other things, total annual compensation, the value of unexercised or unvested equity compensation awards, and amounts payable upon termination of employment under various circumstances, including following a change in control. The CPC did not recommend specific changes to the executive compensation program for 2024 in response to a review of tally sheets in 2024, although it used the tally sheet information as one data point when considering executive compensation matters.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Role of the Compensation Policy Committee</w:t>
      </w:r>
    </w:p>
    <w:p>
      <w:pPr>
        <w:spacing w:after="0" w:line="102" w:lineRule="exact"/>
        <w:rPr>
          <w:sz w:val="20"/>
          <w:szCs w:val="20"/>
          <w:color w:val="auto"/>
        </w:rPr>
      </w:pPr>
    </w:p>
    <w:p>
      <w:pPr>
        <w:ind w:left="140" w:right="300"/>
        <w:spacing w:after="0" w:line="255" w:lineRule="auto"/>
        <w:rPr>
          <w:sz w:val="20"/>
          <w:szCs w:val="20"/>
          <w:color w:val="auto"/>
        </w:rPr>
      </w:pPr>
      <w:r>
        <w:rPr>
          <w:rFonts w:ascii="Arial" w:cs="Arial" w:eastAsia="Arial" w:hAnsi="Arial"/>
          <w:sz w:val="16"/>
          <w:szCs w:val="16"/>
          <w:color w:val="auto"/>
        </w:rPr>
        <w:t>Our CPC is responsible for reviewing and approving the Company’s executive compensation policies and plan designs, including compensation of our named executive officers. The CPC considers various factors in determining compensation levels for named executive officers, including the officer’s responsibilities and performance, the effectiveness of our programs in supporting the Company’s short- and long-term strategic objectives, and overall financial performance. Additionally, our CPC Chair, Dianna F. Morgan, with input from our Chairman, William J. Shaw, makes recommendations to the CPC with respect to the compensation of our CEO.</w:t>
      </w:r>
    </w:p>
    <w:p>
      <w:pPr>
        <w:spacing w:after="0" w:line="72" w:lineRule="exact"/>
        <w:rPr>
          <w:sz w:val="20"/>
          <w:szCs w:val="20"/>
          <w:color w:val="auto"/>
        </w:rPr>
      </w:pPr>
    </w:p>
    <w:p>
      <w:pPr>
        <w:ind w:left="140" w:right="40"/>
        <w:spacing w:after="0" w:line="265" w:lineRule="auto"/>
        <w:rPr>
          <w:sz w:val="20"/>
          <w:szCs w:val="20"/>
          <w:color w:val="auto"/>
        </w:rPr>
      </w:pPr>
      <w:r>
        <w:rPr>
          <w:rFonts w:ascii="Arial" w:cs="Arial" w:eastAsia="Arial" w:hAnsi="Arial"/>
          <w:sz w:val="16"/>
          <w:szCs w:val="16"/>
          <w:color w:val="auto"/>
        </w:rPr>
        <w:t>To this end, our CPC conducts an annual review of executive officer pay levels, reviews market data provided by the independent consultant, and approves changes to program designs, based on an assessment of competitive market practice and emerging trends. Additionally, the CPC evaluates the risks associated with the Company’s executive compensation programs.</w:t>
      </w:r>
    </w:p>
    <w:p>
      <w:pPr>
        <w:spacing w:after="0" w:line="63" w:lineRule="exact"/>
        <w:rPr>
          <w:sz w:val="20"/>
          <w:szCs w:val="20"/>
          <w:color w:val="auto"/>
        </w:rPr>
      </w:pPr>
    </w:p>
    <w:p>
      <w:pPr>
        <w:ind w:left="140" w:right="600"/>
        <w:spacing w:after="0" w:line="284" w:lineRule="auto"/>
        <w:rPr>
          <w:sz w:val="20"/>
          <w:szCs w:val="20"/>
          <w:color w:val="auto"/>
        </w:rPr>
      </w:pPr>
      <w:r>
        <w:rPr>
          <w:rFonts w:ascii="Arial" w:cs="Arial" w:eastAsia="Arial" w:hAnsi="Arial"/>
          <w:sz w:val="16"/>
          <w:szCs w:val="16"/>
          <w:color w:val="auto"/>
        </w:rPr>
        <w:t>Our CPC approved the total compensation packages for each of the named executive officers, including base salary, annual bonus targets, actual bonuses earned, and equity awards.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Role of the Compensation Consultant</w:t>
      </w:r>
    </w:p>
    <w:p>
      <w:pPr>
        <w:spacing w:after="0" w:line="102" w:lineRule="exact"/>
        <w:rPr>
          <w:sz w:val="20"/>
          <w:szCs w:val="20"/>
          <w:color w:val="auto"/>
        </w:rPr>
      </w:pPr>
    </w:p>
    <w:p>
      <w:pPr>
        <w:ind w:left="140" w:right="40"/>
        <w:spacing w:after="0" w:line="253" w:lineRule="auto"/>
        <w:rPr>
          <w:sz w:val="20"/>
          <w:szCs w:val="20"/>
          <w:color w:val="auto"/>
        </w:rPr>
      </w:pPr>
      <w:r>
        <w:rPr>
          <w:rFonts w:ascii="Arial" w:cs="Arial" w:eastAsia="Arial" w:hAnsi="Arial"/>
          <w:sz w:val="16"/>
          <w:szCs w:val="16"/>
          <w:color w:val="auto"/>
        </w:rPr>
        <w:t>In 2024, the CPC engaged Exequity to provide executive compensation consulting services. Exequity’s services to the CPC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CPC at the Committee’s request and was available to provide guidance as questions and issues arose. During 2024, Exequity did not perform any services for the Company other than in connection with providing advice and recommendations on executive and director compensation. The CPC determined that Exequity is independent after consideration of the factors set forth in the NYSE Listed Company Manual.</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Role of Management</w:t>
      </w:r>
    </w:p>
    <w:p>
      <w:pPr>
        <w:spacing w:after="0" w:line="102" w:lineRule="exact"/>
        <w:rPr>
          <w:sz w:val="20"/>
          <w:szCs w:val="20"/>
          <w:color w:val="auto"/>
        </w:rPr>
      </w:pPr>
    </w:p>
    <w:p>
      <w:pPr>
        <w:ind w:left="140" w:right="80"/>
        <w:spacing w:after="0" w:line="255" w:lineRule="auto"/>
        <w:rPr>
          <w:sz w:val="20"/>
          <w:szCs w:val="20"/>
          <w:color w:val="auto"/>
        </w:rPr>
      </w:pPr>
      <w:r>
        <w:rPr>
          <w:rFonts w:ascii="Arial" w:cs="Arial" w:eastAsia="Arial" w:hAnsi="Arial"/>
          <w:sz w:val="16"/>
          <w:szCs w:val="16"/>
          <w:color w:val="auto"/>
        </w:rPr>
        <w:t>At the request of the CPC, the CEO presents individual pay recommendations for each of the named executive officers, other than himself. In forming his recommendations, he is advised by human resources management, including our Chief Human Resources Officer and our Global Total Rewards Leader, and the independent compensation consultant with regard to assessment of individual contributions, achievement of performance objectives and other qualitative factors. The CPC considers these recommendations in approving the pay levels of each named executive officer. The CEO does not make recommendations concerning his own compensation.</w:t>
      </w:r>
    </w:p>
    <w:p>
      <w:pPr>
        <w:spacing w:after="0" w:line="113" w:lineRule="exact"/>
        <w:rPr>
          <w:sz w:val="20"/>
          <w:szCs w:val="20"/>
          <w:color w:val="auto"/>
        </w:rPr>
      </w:pPr>
    </w:p>
    <w:p>
      <w:pPr>
        <w:ind w:left="140"/>
        <w:spacing w:after="0"/>
        <w:tabs>
          <w:tab w:leader="none" w:pos="47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200"/>
        <w:spacing w:after="0" w:line="255" w:lineRule="auto"/>
        <w:rPr>
          <w:sz w:val="20"/>
          <w:szCs w:val="20"/>
          <w:color w:val="auto"/>
        </w:rPr>
      </w:pPr>
      <w:r>
        <w:rPr>
          <w:rFonts w:ascii="Arial" w:cs="Arial" w:eastAsia="Arial" w:hAnsi="Arial"/>
          <w:sz w:val="16"/>
          <w:szCs w:val="16"/>
          <w:color w:val="auto"/>
        </w:rPr>
        <w:t>The CEO and members of human resources management regularly attend CPC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 After review of the 2024 market data, and the above considerations, it was determined that each named executive officers total target direct compensation was below market median.</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ANALYSIS OF EACH COMPENSATION ELEMENT</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Base Salary</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February 2024, the CPC approved the following base salaries for the named executive officers, effective December 23, 2023:</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37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160" w:type="dxa"/>
            <w:vAlign w:val="bottom"/>
            <w:tcBorders>
              <w:bottom w:val="single" w:sz="8" w:color="003A70"/>
            </w:tcBorders>
          </w:tcPr>
          <w:p>
            <w:pPr>
              <w:ind w:left="2720"/>
              <w:spacing w:after="0"/>
              <w:rPr>
                <w:sz w:val="20"/>
                <w:szCs w:val="20"/>
                <w:color w:val="auto"/>
              </w:rPr>
            </w:pPr>
            <w:r>
              <w:rPr>
                <w:rFonts w:ascii="Arial" w:cs="Arial" w:eastAsia="Arial" w:hAnsi="Arial"/>
                <w:sz w:val="14"/>
                <w:szCs w:val="14"/>
                <w:b w:val="1"/>
                <w:bCs w:val="1"/>
                <w:color w:val="003A70"/>
              </w:rPr>
              <w:t>2024 Base Salary</w:t>
            </w:r>
          </w:p>
        </w:tc>
        <w:tc>
          <w:tcPr>
            <w:tcW w:w="1700" w:type="dxa"/>
            <w:vAlign w:val="bottom"/>
            <w:tcBorders>
              <w:bottom w:val="single" w:sz="8" w:color="003A70"/>
            </w:tcBorders>
          </w:tcPr>
          <w:p>
            <w:pPr>
              <w:ind w:left="260"/>
              <w:spacing w:after="0"/>
              <w:rPr>
                <w:sz w:val="20"/>
                <w:szCs w:val="20"/>
                <w:color w:val="auto"/>
              </w:rPr>
            </w:pPr>
            <w:r>
              <w:rPr>
                <w:rFonts w:ascii="Arial" w:cs="Arial" w:eastAsia="Arial" w:hAnsi="Arial"/>
                <w:sz w:val="14"/>
                <w:szCs w:val="14"/>
                <w:b w:val="1"/>
                <w:bCs w:val="1"/>
                <w:color w:val="003A70"/>
              </w:rPr>
              <w:t>2023 Base Salary</w:t>
            </w:r>
          </w:p>
        </w:tc>
        <w:tc>
          <w:tcPr>
            <w:tcW w:w="1360" w:type="dxa"/>
            <w:vAlign w:val="bottom"/>
            <w:tcBorders>
              <w:bottom w:val="single" w:sz="8" w:color="003A70"/>
            </w:tcBorders>
          </w:tcPr>
          <w:p>
            <w:pPr>
              <w:ind w:left="260"/>
              <w:spacing w:after="0"/>
              <w:rPr>
                <w:sz w:val="20"/>
                <w:szCs w:val="20"/>
                <w:color w:val="auto"/>
              </w:rPr>
            </w:pPr>
            <w:r>
              <w:rPr>
                <w:rFonts w:ascii="Arial" w:cs="Arial" w:eastAsia="Arial" w:hAnsi="Arial"/>
                <w:sz w:val="14"/>
                <w:szCs w:val="14"/>
                <w:b w:val="1"/>
                <w:bCs w:val="1"/>
                <w:color w:val="003A70"/>
              </w:rPr>
              <w:t>Percent Change</w:t>
            </w:r>
          </w:p>
        </w:tc>
      </w:tr>
      <w:tr>
        <w:trPr>
          <w:trHeight w:val="188"/>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160" w:type="dxa"/>
            <w:vAlign w:val="bottom"/>
            <w:tcBorders>
              <w:bottom w:val="single" w:sz="8" w:color="auto"/>
            </w:tcBorders>
          </w:tcPr>
          <w:p>
            <w:pPr>
              <w:ind w:left="2940"/>
              <w:spacing w:after="0"/>
              <w:rPr>
                <w:sz w:val="20"/>
                <w:szCs w:val="20"/>
                <w:color w:val="auto"/>
              </w:rPr>
            </w:pPr>
            <w:r>
              <w:rPr>
                <w:rFonts w:ascii="Arial" w:cs="Arial" w:eastAsia="Arial" w:hAnsi="Arial"/>
                <w:sz w:val="16"/>
                <w:szCs w:val="16"/>
                <w:color w:val="auto"/>
              </w:rPr>
              <w:t>$950,000 </w:t>
            </w: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$950,000 </w:t>
            </w:r>
          </w:p>
        </w:tc>
        <w:tc>
          <w:tcPr>
            <w:tcW w:w="13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0.00%  </w:t>
            </w:r>
          </w:p>
        </w:tc>
      </w:tr>
      <w:tr>
        <w:trPr>
          <w:trHeight w:val="182"/>
        </w:trPr>
        <w:tc>
          <w:tcPr>
            <w:tcW w:w="37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Marino</w:t>
            </w:r>
          </w:p>
        </w:tc>
        <w:tc>
          <w:tcPr>
            <w:tcW w:w="4160" w:type="dxa"/>
            <w:vAlign w:val="bottom"/>
            <w:tcBorders>
              <w:bottom w:val="single" w:sz="8" w:color="auto"/>
            </w:tcBorders>
          </w:tcPr>
          <w:p>
            <w:pPr>
              <w:ind w:left="2940"/>
              <w:spacing w:after="0" w:line="182" w:lineRule="exact"/>
              <w:rPr>
                <w:sz w:val="20"/>
                <w:szCs w:val="20"/>
                <w:color w:val="auto"/>
              </w:rPr>
            </w:pPr>
            <w:r>
              <w:rPr>
                <w:rFonts w:ascii="Arial" w:cs="Arial" w:eastAsia="Arial" w:hAnsi="Arial"/>
                <w:sz w:val="16"/>
                <w:szCs w:val="16"/>
                <w:color w:val="auto"/>
              </w:rPr>
              <w:t>$500,000</w:t>
            </w:r>
          </w:p>
        </w:tc>
        <w:tc>
          <w:tcPr>
            <w:tcW w:w="170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$475,000</w:t>
            </w:r>
          </w:p>
        </w:tc>
        <w:tc>
          <w:tcPr>
            <w:tcW w:w="1360" w:type="dxa"/>
            <w:vAlign w:val="bottom"/>
            <w:tcBorders>
              <w:bottom w:val="single" w:sz="8" w:color="auto"/>
            </w:tcBorders>
          </w:tcPr>
          <w:p>
            <w:pPr>
              <w:ind w:left="580"/>
              <w:spacing w:after="0" w:line="182" w:lineRule="exact"/>
              <w:rPr>
                <w:sz w:val="20"/>
                <w:szCs w:val="20"/>
                <w:color w:val="auto"/>
              </w:rPr>
            </w:pPr>
            <w:r>
              <w:rPr>
                <w:rFonts w:ascii="Arial" w:cs="Arial" w:eastAsia="Arial" w:hAnsi="Arial"/>
                <w:sz w:val="16"/>
                <w:szCs w:val="16"/>
                <w:color w:val="auto"/>
              </w:rPr>
              <w:t>5.26%</w:t>
            </w:r>
          </w:p>
        </w:tc>
      </w:tr>
      <w:tr>
        <w:trPr>
          <w:trHeight w:val="182"/>
        </w:trPr>
        <w:tc>
          <w:tcPr>
            <w:tcW w:w="37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Miller</w:t>
            </w:r>
          </w:p>
        </w:tc>
        <w:tc>
          <w:tcPr>
            <w:tcW w:w="4160" w:type="dxa"/>
            <w:vAlign w:val="bottom"/>
            <w:tcBorders>
              <w:bottom w:val="single" w:sz="8" w:color="auto"/>
            </w:tcBorders>
          </w:tcPr>
          <w:p>
            <w:pPr>
              <w:ind w:left="2940"/>
              <w:spacing w:after="0" w:line="182" w:lineRule="exact"/>
              <w:rPr>
                <w:sz w:val="20"/>
                <w:szCs w:val="20"/>
                <w:color w:val="auto"/>
              </w:rPr>
            </w:pPr>
            <w:r>
              <w:rPr>
                <w:rFonts w:ascii="Arial" w:cs="Arial" w:eastAsia="Arial" w:hAnsi="Arial"/>
                <w:sz w:val="16"/>
                <w:szCs w:val="16"/>
                <w:color w:val="auto"/>
              </w:rPr>
              <w:t>$817,000</w:t>
            </w:r>
          </w:p>
        </w:tc>
        <w:tc>
          <w:tcPr>
            <w:tcW w:w="170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$817,000</w:t>
            </w:r>
          </w:p>
        </w:tc>
        <w:tc>
          <w:tcPr>
            <w:tcW w:w="1360" w:type="dxa"/>
            <w:vAlign w:val="bottom"/>
            <w:tcBorders>
              <w:bottom w:val="single" w:sz="8" w:color="auto"/>
            </w:tcBorders>
          </w:tcPr>
          <w:p>
            <w:pPr>
              <w:ind w:left="580"/>
              <w:spacing w:after="0" w:line="182" w:lineRule="exact"/>
              <w:rPr>
                <w:sz w:val="20"/>
                <w:szCs w:val="20"/>
                <w:color w:val="auto"/>
              </w:rPr>
            </w:pPr>
            <w:r>
              <w:rPr>
                <w:rFonts w:ascii="Arial" w:cs="Arial" w:eastAsia="Arial" w:hAnsi="Arial"/>
                <w:sz w:val="16"/>
                <w:szCs w:val="16"/>
                <w:color w:val="auto"/>
              </w:rPr>
              <w:t>0.00%</w:t>
            </w:r>
          </w:p>
        </w:tc>
      </w:tr>
      <w:tr>
        <w:trPr>
          <w:trHeight w:val="182"/>
        </w:trPr>
        <w:tc>
          <w:tcPr>
            <w:tcW w:w="37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Hunter</w:t>
            </w:r>
          </w:p>
        </w:tc>
        <w:tc>
          <w:tcPr>
            <w:tcW w:w="4160" w:type="dxa"/>
            <w:vAlign w:val="bottom"/>
            <w:tcBorders>
              <w:bottom w:val="single" w:sz="8" w:color="auto"/>
            </w:tcBorders>
          </w:tcPr>
          <w:p>
            <w:pPr>
              <w:ind w:left="2940"/>
              <w:spacing w:after="0" w:line="182" w:lineRule="exact"/>
              <w:rPr>
                <w:sz w:val="20"/>
                <w:szCs w:val="20"/>
                <w:color w:val="auto"/>
              </w:rPr>
            </w:pPr>
            <w:r>
              <w:rPr>
                <w:rFonts w:ascii="Arial" w:cs="Arial" w:eastAsia="Arial" w:hAnsi="Arial"/>
                <w:sz w:val="16"/>
                <w:szCs w:val="16"/>
                <w:color w:val="auto"/>
              </w:rPr>
              <w:t>$485,600</w:t>
            </w:r>
          </w:p>
        </w:tc>
        <w:tc>
          <w:tcPr>
            <w:tcW w:w="170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$485,600</w:t>
            </w:r>
          </w:p>
        </w:tc>
        <w:tc>
          <w:tcPr>
            <w:tcW w:w="1360" w:type="dxa"/>
            <w:vAlign w:val="bottom"/>
            <w:tcBorders>
              <w:bottom w:val="single" w:sz="8" w:color="auto"/>
            </w:tcBorders>
          </w:tcPr>
          <w:p>
            <w:pPr>
              <w:ind w:left="580"/>
              <w:spacing w:after="0" w:line="182" w:lineRule="exact"/>
              <w:rPr>
                <w:sz w:val="20"/>
                <w:szCs w:val="20"/>
                <w:color w:val="auto"/>
              </w:rPr>
            </w:pPr>
            <w:r>
              <w:rPr>
                <w:rFonts w:ascii="Arial" w:cs="Arial" w:eastAsia="Arial" w:hAnsi="Arial"/>
                <w:sz w:val="16"/>
                <w:szCs w:val="16"/>
                <w:color w:val="auto"/>
              </w:rPr>
              <w:t>0.00%</w:t>
            </w:r>
          </w:p>
        </w:tc>
      </w:tr>
      <w:tr>
        <w:trPr>
          <w:trHeight w:val="182"/>
        </w:trPr>
        <w:tc>
          <w:tcPr>
            <w:tcW w:w="3760" w:type="dxa"/>
            <w:vAlign w:val="bottom"/>
            <w:tcBorders>
              <w:bottom w:val="single" w:sz="8" w:color="auto"/>
            </w:tcBorders>
          </w:tcPr>
          <w:p>
            <w:pPr>
              <w:spacing w:after="0" w:line="182" w:lineRule="exact"/>
              <w:rPr>
                <w:sz w:val="20"/>
                <w:szCs w:val="20"/>
                <w:color w:val="auto"/>
              </w:rPr>
            </w:pPr>
            <w:r>
              <w:rPr>
                <w:rFonts w:ascii="Arial" w:cs="Arial" w:eastAsia="Arial" w:hAnsi="Arial"/>
                <w:sz w:val="14"/>
                <w:szCs w:val="14"/>
                <w:color w:val="auto"/>
              </w:rPr>
              <w:t>Ms. Marbert</w:t>
            </w:r>
            <w:r>
              <w:rPr>
                <w:rFonts w:ascii="Arial" w:cs="Arial" w:eastAsia="Arial" w:hAnsi="Arial"/>
                <w:sz w:val="21"/>
                <w:szCs w:val="21"/>
                <w:color w:val="auto"/>
                <w:vertAlign w:val="superscript"/>
              </w:rPr>
              <w:t>1</w:t>
            </w:r>
          </w:p>
        </w:tc>
        <w:tc>
          <w:tcPr>
            <w:tcW w:w="4160" w:type="dxa"/>
            <w:vAlign w:val="bottom"/>
            <w:tcBorders>
              <w:bottom w:val="single" w:sz="8" w:color="auto"/>
            </w:tcBorders>
          </w:tcPr>
          <w:p>
            <w:pPr>
              <w:ind w:left="2940"/>
              <w:spacing w:after="0" w:line="182" w:lineRule="exact"/>
              <w:rPr>
                <w:sz w:val="20"/>
                <w:szCs w:val="20"/>
                <w:color w:val="auto"/>
              </w:rPr>
            </w:pPr>
            <w:r>
              <w:rPr>
                <w:rFonts w:ascii="Arial" w:cs="Arial" w:eastAsia="Arial" w:hAnsi="Arial"/>
                <w:sz w:val="16"/>
                <w:szCs w:val="16"/>
                <w:color w:val="auto"/>
              </w:rPr>
              <w:t>$557,000</w:t>
            </w:r>
          </w:p>
        </w:tc>
        <w:tc>
          <w:tcPr>
            <w:tcW w:w="1700" w:type="dxa"/>
            <w:vAlign w:val="bottom"/>
            <w:tcBorders>
              <w:bottom w:val="single" w:sz="8" w:color="auto"/>
            </w:tcBorders>
          </w:tcPr>
          <w:p>
            <w:pPr>
              <w:ind w:left="480"/>
              <w:spacing w:after="0" w:line="182" w:lineRule="exact"/>
              <w:rPr>
                <w:sz w:val="20"/>
                <w:szCs w:val="20"/>
                <w:color w:val="auto"/>
              </w:rPr>
            </w:pPr>
            <w:r>
              <w:rPr>
                <w:rFonts w:ascii="Arial" w:cs="Arial" w:eastAsia="Arial" w:hAnsi="Arial"/>
                <w:sz w:val="16"/>
                <w:szCs w:val="16"/>
                <w:color w:val="auto"/>
              </w:rPr>
              <w:t>$557,000</w:t>
            </w:r>
          </w:p>
        </w:tc>
        <w:tc>
          <w:tcPr>
            <w:tcW w:w="1360" w:type="dxa"/>
            <w:vAlign w:val="bottom"/>
            <w:tcBorders>
              <w:bottom w:val="single" w:sz="8" w:color="auto"/>
            </w:tcBorders>
          </w:tcPr>
          <w:p>
            <w:pPr>
              <w:ind w:left="580"/>
              <w:spacing w:after="0" w:line="182" w:lineRule="exact"/>
              <w:rPr>
                <w:sz w:val="20"/>
                <w:szCs w:val="20"/>
                <w:color w:val="auto"/>
              </w:rPr>
            </w:pPr>
            <w:r>
              <w:rPr>
                <w:rFonts w:ascii="Arial" w:cs="Arial" w:eastAsia="Arial" w:hAnsi="Arial"/>
                <w:sz w:val="16"/>
                <w:szCs w:val="16"/>
                <w:color w:val="auto"/>
              </w:rPr>
              <w:t>0.00%</w:t>
            </w:r>
          </w:p>
        </w:tc>
      </w:tr>
      <w:tr>
        <w:trPr>
          <w:trHeight w:val="182"/>
        </w:trPr>
        <w:tc>
          <w:tcPr>
            <w:tcW w:w="376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Ms. Gustafson</w:t>
            </w:r>
          </w:p>
        </w:tc>
        <w:tc>
          <w:tcPr>
            <w:tcW w:w="4160" w:type="dxa"/>
            <w:vAlign w:val="bottom"/>
            <w:tcBorders>
              <w:bottom w:val="single" w:sz="8" w:color="003A70"/>
            </w:tcBorders>
          </w:tcPr>
          <w:p>
            <w:pPr>
              <w:ind w:left="2940"/>
              <w:spacing w:after="0" w:line="182" w:lineRule="exact"/>
              <w:rPr>
                <w:sz w:val="20"/>
                <w:szCs w:val="20"/>
                <w:color w:val="auto"/>
              </w:rPr>
            </w:pPr>
            <w:r>
              <w:rPr>
                <w:rFonts w:ascii="Arial" w:cs="Arial" w:eastAsia="Arial" w:hAnsi="Arial"/>
                <w:sz w:val="16"/>
                <w:szCs w:val="16"/>
                <w:color w:val="auto"/>
              </w:rPr>
              <w:t>$440,500</w:t>
            </w:r>
          </w:p>
        </w:tc>
        <w:tc>
          <w:tcPr>
            <w:tcW w:w="1700" w:type="dxa"/>
            <w:vAlign w:val="bottom"/>
            <w:tcBorders>
              <w:bottom w:val="single" w:sz="8" w:color="003A70"/>
            </w:tcBorders>
          </w:tcPr>
          <w:p>
            <w:pPr>
              <w:ind w:left="480"/>
              <w:spacing w:after="0" w:line="182" w:lineRule="exact"/>
              <w:rPr>
                <w:sz w:val="20"/>
                <w:szCs w:val="20"/>
                <w:color w:val="auto"/>
              </w:rPr>
            </w:pPr>
            <w:r>
              <w:rPr>
                <w:rFonts w:ascii="Arial" w:cs="Arial" w:eastAsia="Arial" w:hAnsi="Arial"/>
                <w:sz w:val="16"/>
                <w:szCs w:val="16"/>
                <w:color w:val="auto"/>
              </w:rPr>
              <w:t>$408,000</w:t>
            </w:r>
          </w:p>
        </w:tc>
        <w:tc>
          <w:tcPr>
            <w:tcW w:w="1360" w:type="dxa"/>
            <w:vAlign w:val="bottom"/>
            <w:tcBorders>
              <w:bottom w:val="single" w:sz="8" w:color="003A70"/>
            </w:tcBorders>
          </w:tcPr>
          <w:p>
            <w:pPr>
              <w:ind w:left="580"/>
              <w:spacing w:after="0" w:line="182" w:lineRule="exact"/>
              <w:rPr>
                <w:sz w:val="20"/>
                <w:szCs w:val="20"/>
                <w:color w:val="auto"/>
              </w:rPr>
            </w:pPr>
            <w:r>
              <w:rPr>
                <w:rFonts w:ascii="Arial" w:cs="Arial" w:eastAsia="Arial" w:hAnsi="Arial"/>
                <w:sz w:val="16"/>
                <w:szCs w:val="16"/>
                <w:color w:val="auto"/>
              </w:rPr>
              <w:t>7.97%</w:t>
            </w:r>
          </w:p>
        </w:tc>
      </w:tr>
    </w:tbl>
    <w:p>
      <w:pPr>
        <w:spacing w:after="0" w:line="71" w:lineRule="exact"/>
        <w:rPr>
          <w:sz w:val="20"/>
          <w:szCs w:val="20"/>
          <w:color w:val="auto"/>
        </w:rPr>
      </w:pPr>
    </w:p>
    <w:p>
      <w:pPr>
        <w:ind w:left="460" w:right="740" w:hanging="325"/>
        <w:spacing w:after="0" w:line="203"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Ms. Marbert retired from the Company effective August 31, 2024. Ms. Marbert’s salary was decreased to $417,750 effective July 2024 based on her reduced responsibilities approaching her retirement date.</w:t>
      </w:r>
    </w:p>
    <w:p>
      <w:pPr>
        <w:spacing w:after="0" w:line="75" w:lineRule="exact"/>
        <w:rPr>
          <w:sz w:val="20"/>
          <w:szCs w:val="20"/>
          <w:color w:val="auto"/>
        </w:rPr>
      </w:pPr>
    </w:p>
    <w:p>
      <w:pPr>
        <w:ind w:left="140" w:right="140"/>
        <w:spacing w:after="0" w:line="284" w:lineRule="auto"/>
        <w:rPr>
          <w:sz w:val="20"/>
          <w:szCs w:val="20"/>
          <w:color w:val="auto"/>
        </w:rPr>
      </w:pPr>
      <w:r>
        <w:rPr>
          <w:rFonts w:ascii="Arial" w:cs="Arial" w:eastAsia="Arial" w:hAnsi="Arial"/>
          <w:sz w:val="16"/>
          <w:szCs w:val="16"/>
          <w:color w:val="auto"/>
        </w:rPr>
        <w:t>Mr. Marino and Ms. Gustafson received base salary increases due to increased responsibility and the CPC’s desire to bring their compensation closer to market median. Other executive officers’ compensation moved closer to market median via short-term and long-term incentives.</w:t>
      </w:r>
    </w:p>
    <w:p>
      <w:pPr>
        <w:spacing w:after="0" w:line="49" w:lineRule="exact"/>
        <w:rPr>
          <w:sz w:val="20"/>
          <w:szCs w:val="20"/>
          <w:color w:val="auto"/>
        </w:rPr>
      </w:pPr>
    </w:p>
    <w:p>
      <w:pPr>
        <w:ind w:left="140" w:right="260"/>
        <w:spacing w:after="0" w:line="258" w:lineRule="auto"/>
        <w:rPr>
          <w:sz w:val="20"/>
          <w:szCs w:val="20"/>
          <w:color w:val="auto"/>
        </w:rPr>
      </w:pPr>
      <w:r>
        <w:rPr>
          <w:rFonts w:ascii="Arial" w:cs="Arial" w:eastAsia="Arial" w:hAnsi="Arial"/>
          <w:sz w:val="16"/>
          <w:szCs w:val="16"/>
          <w:color w:val="auto"/>
        </w:rPr>
        <w:t>In determining whether to make adjustments to base salaries, the CPC considered market data, as well as internal factors, experience, time in position and internal pay equity, and subjective factors such as individual performance and future potential. No specific weightings were assigned to the factors considered. The CPC expects to review base salaries for the named executive officers annually to determine whether base salary levels are commensurate with the officers’ responsibilities and the competitive market.</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Bonuses and Incentives</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Annual Bonuses</w:t>
      </w:r>
    </w:p>
    <w:p>
      <w:pPr>
        <w:spacing w:after="0" w:line="100" w:lineRule="exact"/>
        <w:rPr>
          <w:sz w:val="20"/>
          <w:szCs w:val="20"/>
          <w:color w:val="auto"/>
        </w:rPr>
      </w:pPr>
    </w:p>
    <w:p>
      <w:pPr>
        <w:ind w:left="140" w:right="360"/>
        <w:spacing w:after="0" w:line="265" w:lineRule="auto"/>
        <w:rPr>
          <w:sz w:val="20"/>
          <w:szCs w:val="20"/>
          <w:color w:val="auto"/>
        </w:rPr>
      </w:pPr>
      <w:r>
        <w:rPr>
          <w:rFonts w:ascii="Arial" w:cs="Arial" w:eastAsia="Arial" w:hAnsi="Arial"/>
          <w:sz w:val="16"/>
          <w:szCs w:val="16"/>
          <w:color w:val="auto"/>
        </w:rPr>
        <w:t>For 2024, the named executive officers were eligible to participate in the Bonus Plan, which was intended to reward executives for achievement of pre-established financial and corporate responsibility objectives tied to 2024 performance. The potential and actual awards under the Bonus Plan are reported in the Grants of Plan-Based Awards for Fiscal Year 2024 table and Summary Compensation Table, respectively.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CPC approved the following target awards as a percentage of base salary for the named executive officers:</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42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240" w:type="dxa"/>
            <w:vAlign w:val="bottom"/>
            <w:tcBorders>
              <w:bottom w:val="single" w:sz="8" w:color="003A70"/>
            </w:tcBorders>
          </w:tcPr>
          <w:p>
            <w:pPr>
              <w:jc w:val="center"/>
              <w:ind w:left="2981"/>
              <w:spacing w:after="0"/>
              <w:rPr>
                <w:sz w:val="20"/>
                <w:szCs w:val="20"/>
                <w:color w:val="auto"/>
              </w:rPr>
            </w:pPr>
            <w:r>
              <w:rPr>
                <w:rFonts w:ascii="Arial" w:cs="Arial" w:eastAsia="Arial" w:hAnsi="Arial"/>
                <w:sz w:val="14"/>
                <w:szCs w:val="14"/>
                <w:b w:val="1"/>
                <w:bCs w:val="1"/>
                <w:color w:val="003A70"/>
              </w:rPr>
              <w:t>2024 Target</w:t>
            </w:r>
          </w:p>
        </w:tc>
        <w:tc>
          <w:tcPr>
            <w:tcW w:w="1160" w:type="dxa"/>
            <w:vAlign w:val="bottom"/>
            <w:tcBorders>
              <w:bottom w:val="single" w:sz="8" w:color="003A70"/>
            </w:tcBorders>
          </w:tcPr>
          <w:p>
            <w:pPr>
              <w:ind w:left="180"/>
              <w:spacing w:after="0"/>
              <w:rPr>
                <w:sz w:val="20"/>
                <w:szCs w:val="20"/>
                <w:color w:val="auto"/>
              </w:rPr>
            </w:pPr>
            <w:r>
              <w:rPr>
                <w:rFonts w:ascii="Arial" w:cs="Arial" w:eastAsia="Arial" w:hAnsi="Arial"/>
                <w:sz w:val="14"/>
                <w:szCs w:val="14"/>
                <w:b w:val="1"/>
                <w:bCs w:val="1"/>
                <w:color w:val="003A70"/>
              </w:rPr>
              <w:t>2023 Target</w:t>
            </w:r>
          </w:p>
        </w:tc>
        <w:tc>
          <w:tcPr>
            <w:tcW w:w="130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Percent Change</w:t>
            </w:r>
          </w:p>
        </w:tc>
      </w:tr>
      <w:tr>
        <w:trPr>
          <w:trHeight w:val="188"/>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240" w:type="dxa"/>
            <w:vAlign w:val="bottom"/>
            <w:tcBorders>
              <w:bottom w:val="single" w:sz="8" w:color="auto"/>
            </w:tcBorders>
          </w:tcPr>
          <w:p>
            <w:pPr>
              <w:jc w:val="center"/>
              <w:ind w:left="2981"/>
              <w:spacing w:after="0"/>
              <w:rPr>
                <w:sz w:val="20"/>
                <w:szCs w:val="20"/>
                <w:color w:val="auto"/>
              </w:rPr>
            </w:pPr>
            <w:r>
              <w:rPr>
                <w:rFonts w:ascii="Arial" w:cs="Arial" w:eastAsia="Arial" w:hAnsi="Arial"/>
                <w:sz w:val="16"/>
                <w:szCs w:val="16"/>
                <w:color w:val="auto"/>
              </w:rPr>
              <w:t>150%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150%</w:t>
            </w:r>
          </w:p>
        </w:tc>
        <w:tc>
          <w:tcPr>
            <w:tcW w:w="130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87"/>
              </w:rPr>
              <w:t>  0%</w:t>
            </w:r>
          </w:p>
        </w:tc>
      </w:tr>
      <w:tr>
        <w:trPr>
          <w:trHeight w:val="182"/>
        </w:trPr>
        <w:tc>
          <w:tcPr>
            <w:tcW w:w="42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Marino</w:t>
            </w:r>
          </w:p>
        </w:tc>
        <w:tc>
          <w:tcPr>
            <w:tcW w:w="4240" w:type="dxa"/>
            <w:vAlign w:val="bottom"/>
            <w:tcBorders>
              <w:bottom w:val="single" w:sz="8" w:color="auto"/>
            </w:tcBorders>
          </w:tcPr>
          <w:p>
            <w:pPr>
              <w:jc w:val="center"/>
              <w:ind w:left="2981"/>
              <w:spacing w:after="0" w:line="182" w:lineRule="exact"/>
              <w:rPr>
                <w:sz w:val="20"/>
                <w:szCs w:val="20"/>
                <w:color w:val="auto"/>
              </w:rPr>
            </w:pPr>
            <w:r>
              <w:rPr>
                <w:rFonts w:ascii="Arial" w:cs="Arial" w:eastAsia="Arial" w:hAnsi="Arial"/>
                <w:sz w:val="16"/>
                <w:szCs w:val="16"/>
                <w:color w:val="auto"/>
              </w:rPr>
              <w:t>100%</w:t>
            </w:r>
          </w:p>
        </w:tc>
        <w:tc>
          <w:tcPr>
            <w:tcW w:w="11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center"/>
              <w:ind w:left="101"/>
              <w:spacing w:after="0" w:line="182" w:lineRule="exact"/>
              <w:rPr>
                <w:sz w:val="20"/>
                <w:szCs w:val="20"/>
                <w:color w:val="auto"/>
              </w:rPr>
            </w:pPr>
            <w:r>
              <w:rPr>
                <w:rFonts w:ascii="Arial" w:cs="Arial" w:eastAsia="Arial" w:hAnsi="Arial"/>
                <w:sz w:val="16"/>
                <w:szCs w:val="16"/>
                <w:color w:val="auto"/>
                <w:w w:val="87"/>
              </w:rPr>
              <w:t>  0%</w:t>
            </w:r>
          </w:p>
        </w:tc>
      </w:tr>
      <w:tr>
        <w:trPr>
          <w:trHeight w:val="182"/>
        </w:trPr>
        <w:tc>
          <w:tcPr>
            <w:tcW w:w="42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Miller</w:t>
            </w:r>
          </w:p>
        </w:tc>
        <w:tc>
          <w:tcPr>
            <w:tcW w:w="4240" w:type="dxa"/>
            <w:vAlign w:val="bottom"/>
            <w:tcBorders>
              <w:bottom w:val="single" w:sz="8" w:color="auto"/>
            </w:tcBorders>
          </w:tcPr>
          <w:p>
            <w:pPr>
              <w:jc w:val="center"/>
              <w:ind w:left="2981"/>
              <w:spacing w:after="0" w:line="182" w:lineRule="exact"/>
              <w:rPr>
                <w:sz w:val="20"/>
                <w:szCs w:val="20"/>
                <w:color w:val="auto"/>
              </w:rPr>
            </w:pPr>
            <w:r>
              <w:rPr>
                <w:rFonts w:ascii="Arial" w:cs="Arial" w:eastAsia="Arial" w:hAnsi="Arial"/>
                <w:sz w:val="16"/>
                <w:szCs w:val="16"/>
                <w:color w:val="auto"/>
              </w:rPr>
              <w:t>100%</w:t>
            </w:r>
          </w:p>
        </w:tc>
        <w:tc>
          <w:tcPr>
            <w:tcW w:w="11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center"/>
              <w:ind w:left="101"/>
              <w:spacing w:after="0" w:line="182" w:lineRule="exact"/>
              <w:rPr>
                <w:sz w:val="20"/>
                <w:szCs w:val="20"/>
                <w:color w:val="auto"/>
              </w:rPr>
            </w:pPr>
            <w:r>
              <w:rPr>
                <w:rFonts w:ascii="Arial" w:cs="Arial" w:eastAsia="Arial" w:hAnsi="Arial"/>
                <w:sz w:val="16"/>
                <w:szCs w:val="16"/>
                <w:color w:val="auto"/>
                <w:w w:val="87"/>
              </w:rPr>
              <w:t>  0%</w:t>
            </w:r>
          </w:p>
        </w:tc>
      </w:tr>
      <w:tr>
        <w:trPr>
          <w:trHeight w:val="182"/>
        </w:trPr>
        <w:tc>
          <w:tcPr>
            <w:tcW w:w="42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Hunter</w:t>
            </w:r>
          </w:p>
        </w:tc>
        <w:tc>
          <w:tcPr>
            <w:tcW w:w="4240" w:type="dxa"/>
            <w:vAlign w:val="bottom"/>
            <w:tcBorders>
              <w:bottom w:val="single" w:sz="8" w:color="auto"/>
            </w:tcBorders>
          </w:tcPr>
          <w:p>
            <w:pPr>
              <w:jc w:val="center"/>
              <w:ind w:left="2981"/>
              <w:spacing w:after="0" w:line="182" w:lineRule="exact"/>
              <w:rPr>
                <w:sz w:val="20"/>
                <w:szCs w:val="20"/>
                <w:color w:val="auto"/>
              </w:rPr>
            </w:pPr>
            <w:r>
              <w:rPr>
                <w:rFonts w:ascii="Arial" w:cs="Arial" w:eastAsia="Arial" w:hAnsi="Arial"/>
                <w:sz w:val="16"/>
                <w:szCs w:val="16"/>
                <w:color w:val="auto"/>
              </w:rPr>
              <w:t>100%</w:t>
            </w:r>
          </w:p>
        </w:tc>
        <w:tc>
          <w:tcPr>
            <w:tcW w:w="11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99"/>
              </w:rPr>
              <w:t>90%</w:t>
            </w:r>
          </w:p>
        </w:tc>
        <w:tc>
          <w:tcPr>
            <w:tcW w:w="1300" w:type="dxa"/>
            <w:vAlign w:val="bottom"/>
            <w:tcBorders>
              <w:bottom w:val="single" w:sz="8" w:color="auto"/>
            </w:tcBorders>
          </w:tcPr>
          <w:p>
            <w:pPr>
              <w:jc w:val="center"/>
              <w:ind w:left="101"/>
              <w:spacing w:after="0" w:line="182" w:lineRule="exact"/>
              <w:rPr>
                <w:sz w:val="20"/>
                <w:szCs w:val="20"/>
                <w:color w:val="auto"/>
              </w:rPr>
            </w:pPr>
            <w:r>
              <w:rPr>
                <w:rFonts w:ascii="Arial" w:cs="Arial" w:eastAsia="Arial" w:hAnsi="Arial"/>
                <w:sz w:val="16"/>
                <w:szCs w:val="16"/>
                <w:color w:val="auto"/>
                <w:w w:val="99"/>
              </w:rPr>
              <w:t>11%</w:t>
            </w:r>
          </w:p>
        </w:tc>
      </w:tr>
      <w:tr>
        <w:trPr>
          <w:trHeight w:val="182"/>
        </w:trPr>
        <w:tc>
          <w:tcPr>
            <w:tcW w:w="42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Ms. Marbert</w:t>
            </w:r>
          </w:p>
        </w:tc>
        <w:tc>
          <w:tcPr>
            <w:tcW w:w="4240" w:type="dxa"/>
            <w:vAlign w:val="bottom"/>
            <w:tcBorders>
              <w:bottom w:val="single" w:sz="8" w:color="auto"/>
            </w:tcBorders>
          </w:tcPr>
          <w:p>
            <w:pPr>
              <w:jc w:val="center"/>
              <w:ind w:left="2981"/>
              <w:spacing w:after="0" w:line="182" w:lineRule="exact"/>
              <w:rPr>
                <w:sz w:val="20"/>
                <w:szCs w:val="20"/>
                <w:color w:val="auto"/>
              </w:rPr>
            </w:pPr>
            <w:r>
              <w:rPr>
                <w:rFonts w:ascii="Arial" w:cs="Arial" w:eastAsia="Arial" w:hAnsi="Arial"/>
                <w:sz w:val="16"/>
                <w:szCs w:val="16"/>
                <w:color w:val="auto"/>
              </w:rPr>
              <w:t>100%</w:t>
            </w:r>
          </w:p>
        </w:tc>
        <w:tc>
          <w:tcPr>
            <w:tcW w:w="11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center"/>
              <w:ind w:left="101"/>
              <w:spacing w:after="0" w:line="182" w:lineRule="exact"/>
              <w:rPr>
                <w:sz w:val="20"/>
                <w:szCs w:val="20"/>
                <w:color w:val="auto"/>
              </w:rPr>
            </w:pPr>
            <w:r>
              <w:rPr>
                <w:rFonts w:ascii="Arial" w:cs="Arial" w:eastAsia="Arial" w:hAnsi="Arial"/>
                <w:sz w:val="16"/>
                <w:szCs w:val="16"/>
                <w:color w:val="auto"/>
                <w:w w:val="87"/>
              </w:rPr>
              <w:t>  0%</w:t>
            </w:r>
          </w:p>
        </w:tc>
      </w:tr>
      <w:tr>
        <w:trPr>
          <w:trHeight w:val="182"/>
        </w:trPr>
        <w:tc>
          <w:tcPr>
            <w:tcW w:w="428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Ms. Gustafson</w:t>
            </w:r>
          </w:p>
        </w:tc>
        <w:tc>
          <w:tcPr>
            <w:tcW w:w="4240" w:type="dxa"/>
            <w:vAlign w:val="bottom"/>
            <w:tcBorders>
              <w:bottom w:val="single" w:sz="8" w:color="003A70"/>
            </w:tcBorders>
          </w:tcPr>
          <w:p>
            <w:pPr>
              <w:jc w:val="center"/>
              <w:ind w:left="2981"/>
              <w:spacing w:after="0" w:line="182" w:lineRule="exact"/>
              <w:rPr>
                <w:sz w:val="20"/>
                <w:szCs w:val="20"/>
                <w:color w:val="auto"/>
              </w:rPr>
            </w:pPr>
            <w:r>
              <w:rPr>
                <w:rFonts w:ascii="Arial" w:cs="Arial" w:eastAsia="Arial" w:hAnsi="Arial"/>
                <w:sz w:val="16"/>
                <w:szCs w:val="16"/>
                <w:color w:val="auto"/>
                <w:w w:val="92"/>
              </w:rPr>
              <w:t>  90%</w:t>
            </w:r>
          </w:p>
        </w:tc>
        <w:tc>
          <w:tcPr>
            <w:tcW w:w="1160" w:type="dxa"/>
            <w:vAlign w:val="bottom"/>
            <w:tcBorders>
              <w:bottom w:val="single" w:sz="8" w:color="003A70"/>
            </w:tcBorders>
          </w:tcPr>
          <w:p>
            <w:pPr>
              <w:jc w:val="center"/>
              <w:spacing w:after="0" w:line="182" w:lineRule="exact"/>
              <w:rPr>
                <w:sz w:val="20"/>
                <w:szCs w:val="20"/>
                <w:color w:val="auto"/>
              </w:rPr>
            </w:pPr>
            <w:r>
              <w:rPr>
                <w:rFonts w:ascii="Arial" w:cs="Arial" w:eastAsia="Arial" w:hAnsi="Arial"/>
                <w:sz w:val="16"/>
                <w:szCs w:val="16"/>
                <w:color w:val="auto"/>
                <w:w w:val="92"/>
              </w:rPr>
              <w:t>  75%</w:t>
            </w:r>
          </w:p>
        </w:tc>
        <w:tc>
          <w:tcPr>
            <w:tcW w:w="1300" w:type="dxa"/>
            <w:vAlign w:val="bottom"/>
            <w:tcBorders>
              <w:bottom w:val="single" w:sz="8" w:color="003A70"/>
            </w:tcBorders>
          </w:tcPr>
          <w:p>
            <w:pPr>
              <w:jc w:val="center"/>
              <w:ind w:left="101"/>
              <w:spacing w:after="0" w:line="182" w:lineRule="exact"/>
              <w:rPr>
                <w:sz w:val="20"/>
                <w:szCs w:val="20"/>
                <w:color w:val="auto"/>
              </w:rPr>
            </w:pPr>
            <w:r>
              <w:rPr>
                <w:rFonts w:ascii="Arial" w:cs="Arial" w:eastAsia="Arial" w:hAnsi="Arial"/>
                <w:sz w:val="16"/>
                <w:szCs w:val="16"/>
                <w:color w:val="auto"/>
                <w:w w:val="88"/>
              </w:rPr>
              <w:t>  20%</w:t>
            </w:r>
          </w:p>
        </w:tc>
      </w:tr>
    </w:tbl>
    <w:p>
      <w:pPr>
        <w:spacing w:after="0" w:line="94" w:lineRule="exact"/>
        <w:rPr>
          <w:sz w:val="20"/>
          <w:szCs w:val="20"/>
          <w:color w:val="auto"/>
        </w:rPr>
      </w:pPr>
    </w:p>
    <w:p>
      <w:pPr>
        <w:ind w:left="140" w:right="160"/>
        <w:spacing w:after="0" w:line="284" w:lineRule="auto"/>
        <w:rPr>
          <w:sz w:val="20"/>
          <w:szCs w:val="20"/>
          <w:color w:val="auto"/>
        </w:rPr>
      </w:pPr>
      <w:r>
        <w:rPr>
          <w:rFonts w:ascii="Arial" w:cs="Arial" w:eastAsia="Arial" w:hAnsi="Arial"/>
          <w:sz w:val="16"/>
          <w:szCs w:val="16"/>
          <w:color w:val="auto"/>
        </w:rPr>
        <w:t>Mr. Hunter and Ms. Gustafson received increases to their bonus target to bring the tenured Mr. Hunter to market median and recognize Ms. Gustafson’s increased responsibilities.</w:t>
      </w:r>
    </w:p>
    <w:p>
      <w:pPr>
        <w:spacing w:after="0" w:line="49" w:lineRule="exact"/>
        <w:rPr>
          <w:sz w:val="20"/>
          <w:szCs w:val="20"/>
          <w:color w:val="auto"/>
        </w:rPr>
      </w:pPr>
    </w:p>
    <w:p>
      <w:pPr>
        <w:ind w:left="140" w:right="260"/>
        <w:spacing w:after="0" w:line="258" w:lineRule="auto"/>
        <w:rPr>
          <w:sz w:val="20"/>
          <w:szCs w:val="20"/>
          <w:color w:val="auto"/>
        </w:rPr>
      </w:pPr>
      <w:r>
        <w:rPr>
          <w:rFonts w:ascii="Arial" w:cs="Arial" w:eastAsia="Arial" w:hAnsi="Arial"/>
          <w:sz w:val="16"/>
          <w:szCs w:val="16"/>
          <w:color w:val="auto"/>
        </w:rPr>
        <w:t>In determining the target award percentage for each named executive officer, as well as in determining the differences in the target award percentages among the named executive officers, the CPC considered market data and internal factors, including pay equity with other officers, differences in responsibilities, and future potential. Threshold performance was required in order to pay 25% of such named executive officer’s target award and the maximum award for each named executive officer was 200% of such named executive officer’s target award.</w:t>
      </w:r>
    </w:p>
    <w:p>
      <w:pPr>
        <w:spacing w:after="0" w:line="70"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color w:val="auto"/>
        </w:rPr>
        <w:t>There were two financial objectives tied to the Bonus Plan for 2024: Adjusted EBITDA and Total Revenue. These financial objectives were tied to 80% of the executive officer’s total bonus opportunity, and were weighted at 60% and 20%, respectively. These financial performance measures were selected because they are important indicators of the Company’s profitability and sustainability. Mr. Geller and Mr. Marino developed the specific performance level percentages for these objectives, which were reviewed and approved by the CPC.</w:t>
      </w:r>
    </w:p>
    <w:p>
      <w:pPr>
        <w:spacing w:after="0" w:line="70" w:lineRule="exact"/>
        <w:rPr>
          <w:sz w:val="20"/>
          <w:szCs w:val="20"/>
          <w:color w:val="auto"/>
        </w:rPr>
      </w:pPr>
    </w:p>
    <w:p>
      <w:pPr>
        <w:ind w:left="140" w:right="200"/>
        <w:spacing w:after="0" w:line="258" w:lineRule="auto"/>
        <w:rPr>
          <w:sz w:val="20"/>
          <w:szCs w:val="20"/>
          <w:color w:val="auto"/>
        </w:rPr>
      </w:pPr>
      <w:r>
        <w:rPr>
          <w:rFonts w:ascii="Arial" w:cs="Arial" w:eastAsia="Arial" w:hAnsi="Arial"/>
          <w:sz w:val="16"/>
          <w:szCs w:val="16"/>
          <w:color w:val="auto"/>
        </w:rPr>
        <w:t>For all named executive officers, Adjusted EBITDA was the most heavily weighted performance criteria because it is reflective of the Company’s operating performance for 2024. For purposes of the Bonus Plan, “Adjusted EBITDA” means EBITDA for 2024 (as reported in the Annual Report), excluding the impact of share-based compensation expense, impairments, transaction and integration costs, gains and losses on the disposal of assets or businesses, gains and</w:t>
      </w:r>
    </w:p>
    <w:p>
      <w:pPr>
        <w:spacing w:after="0" w:line="111" w:lineRule="exact"/>
        <w:rPr>
          <w:sz w:val="20"/>
          <w:szCs w:val="20"/>
          <w:color w:val="auto"/>
        </w:rPr>
      </w:pPr>
    </w:p>
    <w:p>
      <w:pPr>
        <w:ind w:left="14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30</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20"/>
        <w:spacing w:after="0" w:line="265" w:lineRule="auto"/>
        <w:rPr>
          <w:sz w:val="20"/>
          <w:szCs w:val="20"/>
          <w:color w:val="auto"/>
        </w:rPr>
      </w:pPr>
      <w:r>
        <w:rPr>
          <w:rFonts w:ascii="Arial" w:cs="Arial" w:eastAsia="Arial" w:hAnsi="Arial"/>
          <w:sz w:val="16"/>
          <w:szCs w:val="16"/>
          <w:color w:val="auto"/>
        </w:rPr>
        <w:t>losses on foreign currency exchange related activity, litigation charges and activity not associated with the Company’s on-going core operations, and including any incremental EBITDA from new product development initiatives. Adjusted EBITDA is a financial measure that is not prescribed by GAAP. The Adjusted EBITDA target was set at $815 million, a level we believed to be achievable but not certain to be met.</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880" w:type="dxa"/>
            <w:vAlign w:val="bottom"/>
          </w:tcPr>
          <w:p>
            <w:pPr>
              <w:jc w:val="right"/>
              <w:spacing w:after="0"/>
              <w:rPr>
                <w:sz w:val="20"/>
                <w:szCs w:val="20"/>
                <w:color w:val="auto"/>
              </w:rPr>
            </w:pPr>
            <w:r>
              <w:rPr>
                <w:rFonts w:ascii="Arial" w:cs="Arial" w:eastAsia="Arial" w:hAnsi="Arial"/>
                <w:sz w:val="14"/>
                <w:szCs w:val="14"/>
                <w:b w:val="1"/>
                <w:bCs w:val="1"/>
                <w:color w:val="003A70"/>
              </w:rPr>
              <w:t>Payout as a Percent</w:t>
            </w:r>
          </w:p>
        </w:tc>
      </w:tr>
      <w:tr>
        <w:trPr>
          <w:trHeight w:val="178"/>
        </w:trPr>
        <w:tc>
          <w:tcPr>
            <w:tcW w:w="61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Adjusted EBITDA Achievement Target</w:t>
            </w:r>
          </w:p>
        </w:tc>
        <w:tc>
          <w:tcPr>
            <w:tcW w:w="4880" w:type="dxa"/>
            <w:vAlign w:val="bottom"/>
            <w:tcBorders>
              <w:bottom w:val="single" w:sz="8" w:color="003A70"/>
            </w:tcBorders>
          </w:tcPr>
          <w:p>
            <w:pPr>
              <w:jc w:val="right"/>
              <w:ind w:right="322"/>
              <w:spacing w:after="0"/>
              <w:rPr>
                <w:sz w:val="20"/>
                <w:szCs w:val="20"/>
                <w:color w:val="auto"/>
              </w:rPr>
            </w:pPr>
            <w:r>
              <w:rPr>
                <w:rFonts w:ascii="Arial" w:cs="Arial" w:eastAsia="Arial" w:hAnsi="Arial"/>
                <w:sz w:val="14"/>
                <w:szCs w:val="14"/>
                <w:b w:val="1"/>
                <w:bCs w:val="1"/>
                <w:color w:val="003A70"/>
              </w:rPr>
              <w:t>of Target</w:t>
            </w:r>
          </w:p>
        </w:tc>
      </w:tr>
      <w:tr>
        <w:trPr>
          <w:trHeight w:val="188"/>
        </w:trPr>
        <w:tc>
          <w:tcPr>
            <w:tcW w:w="610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Less than $758 million</w:t>
            </w:r>
          </w:p>
        </w:tc>
        <w:tc>
          <w:tcPr>
            <w:tcW w:w="4880" w:type="dxa"/>
            <w:vAlign w:val="bottom"/>
            <w:tcBorders>
              <w:bottom w:val="single" w:sz="8" w:color="003A70"/>
            </w:tcBorders>
          </w:tcPr>
          <w:p>
            <w:pPr>
              <w:jc w:val="right"/>
              <w:ind w:right="282"/>
              <w:spacing w:after="0"/>
              <w:rPr>
                <w:sz w:val="20"/>
                <w:szCs w:val="20"/>
                <w:color w:val="auto"/>
              </w:rPr>
            </w:pPr>
            <w:r>
              <w:rPr>
                <w:rFonts w:ascii="Arial" w:cs="Arial" w:eastAsia="Arial" w:hAnsi="Arial"/>
                <w:sz w:val="16"/>
                <w:szCs w:val="16"/>
                <w:color w:val="auto"/>
              </w:rPr>
              <w:t>0%</w:t>
            </w:r>
          </w:p>
        </w:tc>
      </w:tr>
      <w:tr>
        <w:trPr>
          <w:trHeight w:val="182"/>
        </w:trPr>
        <w:tc>
          <w:tcPr>
            <w:tcW w:w="61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$758 million</w:t>
            </w:r>
          </w:p>
        </w:tc>
        <w:tc>
          <w:tcPr>
            <w:tcW w:w="4880" w:type="dxa"/>
            <w:vAlign w:val="bottom"/>
            <w:tcBorders>
              <w:bottom w:val="single" w:sz="8" w:color="003A70"/>
            </w:tcBorders>
          </w:tcPr>
          <w:p>
            <w:pPr>
              <w:jc w:val="right"/>
              <w:ind w:right="282"/>
              <w:spacing w:after="0" w:line="182" w:lineRule="exact"/>
              <w:rPr>
                <w:sz w:val="20"/>
                <w:szCs w:val="20"/>
                <w:color w:val="auto"/>
              </w:rPr>
            </w:pPr>
            <w:r>
              <w:rPr>
                <w:rFonts w:ascii="Arial" w:cs="Arial" w:eastAsia="Arial" w:hAnsi="Arial"/>
                <w:sz w:val="16"/>
                <w:szCs w:val="16"/>
                <w:color w:val="auto"/>
              </w:rPr>
              <w:t>25%</w:t>
            </w:r>
          </w:p>
        </w:tc>
      </w:tr>
      <w:tr>
        <w:trPr>
          <w:trHeight w:val="182"/>
        </w:trPr>
        <w:tc>
          <w:tcPr>
            <w:tcW w:w="61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$815 million</w:t>
            </w:r>
          </w:p>
        </w:tc>
        <w:tc>
          <w:tcPr>
            <w:tcW w:w="4880" w:type="dxa"/>
            <w:vAlign w:val="bottom"/>
            <w:tcBorders>
              <w:bottom w:val="single" w:sz="8" w:color="003A70"/>
            </w:tcBorders>
          </w:tcPr>
          <w:p>
            <w:pPr>
              <w:jc w:val="right"/>
              <w:ind w:right="282"/>
              <w:spacing w:after="0" w:line="182" w:lineRule="exact"/>
              <w:rPr>
                <w:sz w:val="20"/>
                <w:szCs w:val="20"/>
                <w:color w:val="auto"/>
              </w:rPr>
            </w:pPr>
            <w:r>
              <w:rPr>
                <w:rFonts w:ascii="Arial" w:cs="Arial" w:eastAsia="Arial" w:hAnsi="Arial"/>
                <w:sz w:val="16"/>
                <w:szCs w:val="16"/>
                <w:color w:val="auto"/>
              </w:rPr>
              <w:t>100%</w:t>
            </w:r>
          </w:p>
        </w:tc>
      </w:tr>
      <w:tr>
        <w:trPr>
          <w:trHeight w:val="182"/>
        </w:trPr>
        <w:tc>
          <w:tcPr>
            <w:tcW w:w="61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$872 million or more</w:t>
            </w:r>
          </w:p>
        </w:tc>
        <w:tc>
          <w:tcPr>
            <w:tcW w:w="4880" w:type="dxa"/>
            <w:vAlign w:val="bottom"/>
            <w:tcBorders>
              <w:bottom w:val="single" w:sz="8" w:color="003A70"/>
            </w:tcBorders>
          </w:tcPr>
          <w:p>
            <w:pPr>
              <w:jc w:val="right"/>
              <w:ind w:right="282"/>
              <w:spacing w:after="0" w:line="182" w:lineRule="exact"/>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color w:val="auto"/>
        </w:rPr>
        <w:t>For purposes of the Bonus Plan, “Total Revenue” means total revenue for the 2024 fiscal year, excluding cost reimbursement revenues (as reported in the 2024 Annual Report) and including incremental revenue from new product development initiatives. The Total Revenue target was set at $3,630 million, a level we believed to be achievable but not certain to be met. For 2024, the named executive officers were eligible to receive the portion of the bonus attributable to Total Revenue based on the following achievement levels:</w:t>
      </w:r>
    </w:p>
    <w:p>
      <w:pPr>
        <w:spacing w:after="0" w:line="8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0" w:type="dxa"/>
            <w:vAlign w:val="bottom"/>
          </w:tcPr>
          <w:p>
            <w:pPr>
              <w:jc w:val="right"/>
              <w:spacing w:after="0"/>
              <w:rPr>
                <w:sz w:val="20"/>
                <w:szCs w:val="20"/>
                <w:color w:val="auto"/>
              </w:rPr>
            </w:pPr>
            <w:r>
              <w:rPr>
                <w:rFonts w:ascii="Arial" w:cs="Arial" w:eastAsia="Arial" w:hAnsi="Arial"/>
                <w:sz w:val="14"/>
                <w:szCs w:val="14"/>
                <w:b w:val="1"/>
                <w:bCs w:val="1"/>
                <w:color w:val="003A70"/>
              </w:rPr>
              <w:t>Payout as a Percent</w:t>
            </w:r>
          </w:p>
        </w:tc>
      </w:tr>
      <w:tr>
        <w:trPr>
          <w:trHeight w:val="178"/>
        </w:trPr>
        <w:tc>
          <w:tcPr>
            <w:tcW w:w="59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Total Revenue Achievement Target</w:t>
            </w:r>
          </w:p>
        </w:tc>
        <w:tc>
          <w:tcPr>
            <w:tcW w:w="5000" w:type="dxa"/>
            <w:vAlign w:val="bottom"/>
            <w:tcBorders>
              <w:bottom w:val="single" w:sz="8" w:color="003A70"/>
            </w:tcBorders>
          </w:tcPr>
          <w:p>
            <w:pPr>
              <w:jc w:val="right"/>
              <w:ind w:right="322"/>
              <w:spacing w:after="0"/>
              <w:rPr>
                <w:sz w:val="20"/>
                <w:szCs w:val="20"/>
                <w:color w:val="auto"/>
              </w:rPr>
            </w:pPr>
            <w:r>
              <w:rPr>
                <w:rFonts w:ascii="Arial" w:cs="Arial" w:eastAsia="Arial" w:hAnsi="Arial"/>
                <w:sz w:val="14"/>
                <w:szCs w:val="14"/>
                <w:b w:val="1"/>
                <w:bCs w:val="1"/>
                <w:color w:val="003A70"/>
              </w:rPr>
              <w:t>of Target</w:t>
            </w:r>
          </w:p>
        </w:tc>
      </w:tr>
      <w:tr>
        <w:trPr>
          <w:trHeight w:val="188"/>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than $3,485 million</w:t>
            </w:r>
          </w:p>
        </w:tc>
        <w:tc>
          <w:tcPr>
            <w:tcW w:w="50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0%</w:t>
            </w:r>
          </w:p>
        </w:tc>
      </w:tr>
      <w:tr>
        <w:trPr>
          <w:trHeight w:val="182"/>
        </w:trPr>
        <w:tc>
          <w:tcPr>
            <w:tcW w:w="59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$3,485 million</w:t>
            </w:r>
          </w:p>
        </w:tc>
        <w:tc>
          <w:tcPr>
            <w:tcW w:w="5000" w:type="dxa"/>
            <w:vAlign w:val="bottom"/>
            <w:tcBorders>
              <w:bottom w:val="single" w:sz="8" w:color="auto"/>
            </w:tcBorders>
          </w:tcPr>
          <w:p>
            <w:pPr>
              <w:jc w:val="right"/>
              <w:ind w:right="282"/>
              <w:spacing w:after="0" w:line="182" w:lineRule="exact"/>
              <w:rPr>
                <w:sz w:val="20"/>
                <w:szCs w:val="20"/>
                <w:color w:val="auto"/>
              </w:rPr>
            </w:pPr>
            <w:r>
              <w:rPr>
                <w:rFonts w:ascii="Arial" w:cs="Arial" w:eastAsia="Arial" w:hAnsi="Arial"/>
                <w:sz w:val="16"/>
                <w:szCs w:val="16"/>
                <w:color w:val="auto"/>
              </w:rPr>
              <w:t>25%</w:t>
            </w:r>
          </w:p>
        </w:tc>
      </w:tr>
      <w:tr>
        <w:trPr>
          <w:trHeight w:val="182"/>
        </w:trPr>
        <w:tc>
          <w:tcPr>
            <w:tcW w:w="59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$3,630 million</w:t>
            </w:r>
          </w:p>
        </w:tc>
        <w:tc>
          <w:tcPr>
            <w:tcW w:w="5000" w:type="dxa"/>
            <w:vAlign w:val="bottom"/>
            <w:tcBorders>
              <w:bottom w:val="single" w:sz="8" w:color="auto"/>
            </w:tcBorders>
          </w:tcPr>
          <w:p>
            <w:pPr>
              <w:jc w:val="right"/>
              <w:ind w:right="282"/>
              <w:spacing w:after="0" w:line="182" w:lineRule="exact"/>
              <w:rPr>
                <w:sz w:val="20"/>
                <w:szCs w:val="20"/>
                <w:color w:val="auto"/>
              </w:rPr>
            </w:pPr>
            <w:r>
              <w:rPr>
                <w:rFonts w:ascii="Arial" w:cs="Arial" w:eastAsia="Arial" w:hAnsi="Arial"/>
                <w:sz w:val="16"/>
                <w:szCs w:val="16"/>
                <w:color w:val="auto"/>
              </w:rPr>
              <w:t>100%</w:t>
            </w:r>
          </w:p>
        </w:tc>
      </w:tr>
      <w:tr>
        <w:trPr>
          <w:trHeight w:val="182"/>
        </w:trPr>
        <w:tc>
          <w:tcPr>
            <w:tcW w:w="598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$3,775 million or more</w:t>
            </w:r>
          </w:p>
        </w:tc>
        <w:tc>
          <w:tcPr>
            <w:tcW w:w="5000" w:type="dxa"/>
            <w:vAlign w:val="bottom"/>
            <w:tcBorders>
              <w:bottom w:val="single" w:sz="8" w:color="003A70"/>
            </w:tcBorders>
          </w:tcPr>
          <w:p>
            <w:pPr>
              <w:jc w:val="right"/>
              <w:ind w:right="282"/>
              <w:spacing w:after="0" w:line="182" w:lineRule="exact"/>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40" w:right="120"/>
        <w:spacing w:after="0" w:line="265" w:lineRule="auto"/>
        <w:rPr>
          <w:sz w:val="20"/>
          <w:szCs w:val="20"/>
          <w:color w:val="auto"/>
        </w:rPr>
      </w:pPr>
      <w:r>
        <w:rPr>
          <w:rFonts w:ascii="Arial" w:cs="Arial" w:eastAsia="Arial" w:hAnsi="Arial"/>
          <w:sz w:val="16"/>
          <w:szCs w:val="16"/>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63"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In addition to the financial performance measures, the Bonus Plan for the named executive officers included performance measures based on corporate responsibility, measuring associate engagement, inclusion and diversity and customer satisfaction with a combined weighting of 20% of the total bonus opportunity. The corporate responsibility measures were approved by the CPC and subsequently evaluated objectively, and, like Adjusted EBITDA and Total Revenue targets, are intended to establish high standards, consistent with our quality goals, which we believed were achievable but not certain to be met. “Associate Engagement” and “Inclusion and Diversity” are represented by the assessment of our overall associate engagement index and the inclusion and diversity index for the entire Company, both measured by an independent third party based upon the Company’s associates’ responses to a broad multi-employer survey. Additionally, customer satisfaction was based on the results of customer and guest satisfaction surveys we developed. Different surveys are used for different aspects of our business, such as Guest Satisfaction, Sales and Marketing Satisfaction and Owner Services Satisfaction. These surveys address topics such as overall satisfaction, quality of service, and cleanliness of properties. We believe that these performance measures are important contributors to achieving success within our industry. Payout under this performance measure can be zero or at threshold, target or maximum award levels or, in most cases, interpolated between award levels. However, there is no interpolation between zero and threshold.</w:t>
      </w:r>
    </w:p>
    <w:p>
      <w:pPr>
        <w:spacing w:after="0" w:line="77" w:lineRule="exact"/>
        <w:rPr>
          <w:sz w:val="20"/>
          <w:szCs w:val="20"/>
          <w:color w:val="auto"/>
        </w:rPr>
      </w:pPr>
    </w:p>
    <w:p>
      <w:pPr>
        <w:ind w:left="140" w:right="180"/>
        <w:spacing w:after="0" w:line="255" w:lineRule="auto"/>
        <w:rPr>
          <w:sz w:val="20"/>
          <w:szCs w:val="20"/>
          <w:color w:val="auto"/>
        </w:rPr>
      </w:pPr>
      <w:r>
        <w:rPr>
          <w:rFonts w:ascii="Arial" w:cs="Arial" w:eastAsia="Arial" w:hAnsi="Arial"/>
          <w:sz w:val="16"/>
          <w:szCs w:val="16"/>
          <w:color w:val="auto"/>
        </w:rPr>
        <w:t>Adjusted EBITDA was adjusted by the CPC for short-term incentive purposes (i.e., annual management bonus purposes). The CPC reviewed certain items that impacted Adjusted EBITDA in 2024, as defined previously, that were not considered when setting the performance targets. For purposes of 2024, the CPC modified the achievement level of the Adjusted EBITDA goal favorably for forecasted profit related to the impact of Hurricane Milton and additional outside legal fees involved in unwinding an IT outsourcing contract. This adjustment increased the achievement level of the Adjusted EBITDA goal by approximately $9.7 million.</w:t>
      </w:r>
    </w:p>
    <w:p>
      <w:pPr>
        <w:spacing w:after="0" w:line="72" w:lineRule="exact"/>
        <w:rPr>
          <w:sz w:val="20"/>
          <w:szCs w:val="20"/>
          <w:color w:val="auto"/>
        </w:rPr>
      </w:pPr>
    </w:p>
    <w:p>
      <w:pPr>
        <w:ind w:left="140" w:right="160"/>
        <w:spacing w:after="0" w:line="265" w:lineRule="auto"/>
        <w:rPr>
          <w:sz w:val="20"/>
          <w:szCs w:val="20"/>
          <w:color w:val="auto"/>
        </w:rPr>
      </w:pPr>
      <w:r>
        <w:rPr>
          <w:rFonts w:ascii="Arial" w:cs="Arial" w:eastAsia="Arial" w:hAnsi="Arial"/>
          <w:sz w:val="16"/>
          <w:szCs w:val="16"/>
          <w:color w:val="auto"/>
        </w:rPr>
        <w:t>Total Revenue was adjusted by the CPC for short-term incentive purposes (i.e., annual management bonus purposes). The CPC reviewed certain items that impacted Total Revenue in 2024, as defined previously, that were not considered when setting the performance targets. For purposes of 2024, the CPC modified the achievement level of the Total Revenue goal favorably by $6.8 million for the impact of Hurricane Milton.</w:t>
      </w:r>
    </w:p>
    <w:p>
      <w:pPr>
        <w:spacing w:after="0" w:line="63" w:lineRule="exact"/>
        <w:rPr>
          <w:sz w:val="20"/>
          <w:szCs w:val="20"/>
          <w:color w:val="auto"/>
        </w:rPr>
      </w:pPr>
    </w:p>
    <w:p>
      <w:pPr>
        <w:ind w:left="140" w:right="80"/>
        <w:spacing w:after="0" w:line="265" w:lineRule="auto"/>
        <w:rPr>
          <w:sz w:val="20"/>
          <w:szCs w:val="20"/>
          <w:color w:val="auto"/>
        </w:rPr>
      </w:pPr>
      <w:r>
        <w:rPr>
          <w:rFonts w:ascii="Arial" w:cs="Arial" w:eastAsia="Arial" w:hAnsi="Arial"/>
          <w:sz w:val="16"/>
          <w:szCs w:val="16"/>
          <w:color w:val="auto"/>
        </w:rPr>
        <w:t>Reflecting the bonus adjustments for the 2024 short-term incentive payout, Adjusted EBITDA was $736.63 million, Total Revenue was $3,389.0 million, and the corporate responsibility component achieved 142.5% of target, resulting in a payout of 28.5% of the target bonus for the period, which resulted in the following payments for our named executive officers:</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39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060" w:type="dxa"/>
            <w:vAlign w:val="bottom"/>
            <w:tcBorders>
              <w:bottom w:val="single" w:sz="8" w:color="003A70"/>
            </w:tcBorders>
          </w:tcPr>
          <w:p>
            <w:pPr>
              <w:spacing w:after="0"/>
              <w:rPr>
                <w:sz w:val="15"/>
                <w:szCs w:val="15"/>
                <w:color w:val="auto"/>
              </w:rPr>
            </w:pPr>
          </w:p>
        </w:tc>
        <w:tc>
          <w:tcPr>
            <w:tcW w:w="2980" w:type="dxa"/>
            <w:vAlign w:val="bottom"/>
            <w:tcBorders>
              <w:bottom w:val="single" w:sz="8" w:color="003A70"/>
            </w:tcBorders>
          </w:tcPr>
          <w:p>
            <w:pPr>
              <w:jc w:val="center"/>
              <w:ind w:left="1464"/>
              <w:spacing w:after="0"/>
              <w:rPr>
                <w:sz w:val="20"/>
                <w:szCs w:val="20"/>
                <w:color w:val="auto"/>
              </w:rPr>
            </w:pPr>
            <w:r>
              <w:rPr>
                <w:rFonts w:ascii="Arial" w:cs="Arial" w:eastAsia="Arial" w:hAnsi="Arial"/>
                <w:sz w:val="14"/>
                <w:szCs w:val="14"/>
                <w:b w:val="1"/>
                <w:bCs w:val="1"/>
                <w:color w:val="003A70"/>
              </w:rPr>
              <w:t>2024 Bonus Payout</w:t>
            </w:r>
          </w:p>
        </w:tc>
      </w:tr>
      <w:tr>
        <w:trPr>
          <w:trHeight w:val="188"/>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0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left="1444"/>
              <w:spacing w:after="0"/>
              <w:rPr>
                <w:sz w:val="20"/>
                <w:szCs w:val="20"/>
                <w:color w:val="auto"/>
              </w:rPr>
            </w:pPr>
            <w:r>
              <w:rPr>
                <w:rFonts w:ascii="Arial" w:cs="Arial" w:eastAsia="Arial" w:hAnsi="Arial"/>
                <w:sz w:val="16"/>
                <w:szCs w:val="16"/>
                <w:color w:val="auto"/>
              </w:rPr>
              <w:t>$406,125</w:t>
            </w:r>
          </w:p>
        </w:tc>
      </w:tr>
      <w:tr>
        <w:trPr>
          <w:trHeight w:val="182"/>
        </w:trPr>
        <w:tc>
          <w:tcPr>
            <w:tcW w:w="39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Marino</w:t>
            </w:r>
          </w:p>
        </w:tc>
        <w:tc>
          <w:tcPr>
            <w:tcW w:w="40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left="1444"/>
              <w:spacing w:after="0" w:line="182" w:lineRule="exact"/>
              <w:rPr>
                <w:sz w:val="20"/>
                <w:szCs w:val="20"/>
                <w:color w:val="auto"/>
              </w:rPr>
            </w:pPr>
            <w:r>
              <w:rPr>
                <w:rFonts w:ascii="Arial" w:cs="Arial" w:eastAsia="Arial" w:hAnsi="Arial"/>
                <w:sz w:val="16"/>
                <w:szCs w:val="16"/>
                <w:color w:val="auto"/>
              </w:rPr>
              <w:t>$142,500</w:t>
            </w:r>
          </w:p>
        </w:tc>
      </w:tr>
      <w:tr>
        <w:trPr>
          <w:trHeight w:val="182"/>
        </w:trPr>
        <w:tc>
          <w:tcPr>
            <w:tcW w:w="39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Miller</w:t>
            </w:r>
          </w:p>
        </w:tc>
        <w:tc>
          <w:tcPr>
            <w:tcW w:w="40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left="1444"/>
              <w:spacing w:after="0" w:line="182" w:lineRule="exact"/>
              <w:rPr>
                <w:sz w:val="20"/>
                <w:szCs w:val="20"/>
                <w:color w:val="auto"/>
              </w:rPr>
            </w:pPr>
            <w:r>
              <w:rPr>
                <w:rFonts w:ascii="Arial" w:cs="Arial" w:eastAsia="Arial" w:hAnsi="Arial"/>
                <w:sz w:val="16"/>
                <w:szCs w:val="16"/>
                <w:color w:val="auto"/>
              </w:rPr>
              <w:t>$232,845</w:t>
            </w:r>
          </w:p>
        </w:tc>
      </w:tr>
      <w:tr>
        <w:trPr>
          <w:trHeight w:val="182"/>
        </w:trPr>
        <w:tc>
          <w:tcPr>
            <w:tcW w:w="39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Hunter</w:t>
            </w:r>
          </w:p>
        </w:tc>
        <w:tc>
          <w:tcPr>
            <w:tcW w:w="40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left="1444"/>
              <w:spacing w:after="0" w:line="182" w:lineRule="exact"/>
              <w:rPr>
                <w:sz w:val="20"/>
                <w:szCs w:val="20"/>
                <w:color w:val="auto"/>
              </w:rPr>
            </w:pPr>
            <w:r>
              <w:rPr>
                <w:rFonts w:ascii="Arial" w:cs="Arial" w:eastAsia="Arial" w:hAnsi="Arial"/>
                <w:sz w:val="16"/>
                <w:szCs w:val="16"/>
                <w:color w:val="auto"/>
              </w:rPr>
              <w:t>$138,396</w:t>
            </w:r>
          </w:p>
        </w:tc>
      </w:tr>
      <w:tr>
        <w:trPr>
          <w:trHeight w:val="182"/>
        </w:trPr>
        <w:tc>
          <w:tcPr>
            <w:tcW w:w="394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Ms. Marbert</w:t>
            </w:r>
          </w:p>
        </w:tc>
        <w:tc>
          <w:tcPr>
            <w:tcW w:w="40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center"/>
              <w:ind w:left="1444"/>
              <w:spacing w:after="0" w:line="182" w:lineRule="exact"/>
              <w:rPr>
                <w:sz w:val="20"/>
                <w:szCs w:val="20"/>
                <w:color w:val="auto"/>
              </w:rPr>
            </w:pPr>
            <w:r>
              <w:rPr>
                <w:rFonts w:ascii="Arial" w:cs="Arial" w:eastAsia="Arial" w:hAnsi="Arial"/>
                <w:sz w:val="16"/>
                <w:szCs w:val="16"/>
                <w:color w:val="auto"/>
              </w:rPr>
              <w:t>$364,192</w:t>
            </w:r>
          </w:p>
        </w:tc>
      </w:tr>
      <w:tr>
        <w:trPr>
          <w:trHeight w:val="182"/>
        </w:trPr>
        <w:tc>
          <w:tcPr>
            <w:tcW w:w="394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Ms. Gustafson</w:t>
            </w:r>
          </w:p>
        </w:tc>
        <w:tc>
          <w:tcPr>
            <w:tcW w:w="4060" w:type="dxa"/>
            <w:vAlign w:val="bottom"/>
            <w:tcBorders>
              <w:bottom w:val="single" w:sz="8" w:color="003A70"/>
            </w:tcBorders>
          </w:tcPr>
          <w:p>
            <w:pPr>
              <w:spacing w:after="0"/>
              <w:rPr>
                <w:sz w:val="15"/>
                <w:szCs w:val="15"/>
                <w:color w:val="auto"/>
              </w:rPr>
            </w:pPr>
          </w:p>
        </w:tc>
        <w:tc>
          <w:tcPr>
            <w:tcW w:w="2980" w:type="dxa"/>
            <w:vAlign w:val="bottom"/>
            <w:tcBorders>
              <w:bottom w:val="single" w:sz="8" w:color="003A70"/>
            </w:tcBorders>
          </w:tcPr>
          <w:p>
            <w:pPr>
              <w:jc w:val="center"/>
              <w:ind w:left="1444"/>
              <w:spacing w:after="0" w:line="182" w:lineRule="exact"/>
              <w:rPr>
                <w:sz w:val="20"/>
                <w:szCs w:val="20"/>
                <w:color w:val="auto"/>
              </w:rPr>
            </w:pPr>
            <w:r>
              <w:rPr>
                <w:rFonts w:ascii="Arial" w:cs="Arial" w:eastAsia="Arial" w:hAnsi="Arial"/>
                <w:sz w:val="16"/>
                <w:szCs w:val="16"/>
                <w:color w:val="auto"/>
                <w:w w:val="98"/>
              </w:rPr>
              <w:t>$ 112,988</w:t>
            </w:r>
          </w:p>
        </w:tc>
      </w:tr>
      <w:tr>
        <w:trPr>
          <w:trHeight w:val="263"/>
        </w:trPr>
        <w:tc>
          <w:tcPr>
            <w:tcW w:w="394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p>
        </w:tc>
        <w:tc>
          <w:tcPr>
            <w:tcW w:w="4060" w:type="dxa"/>
            <w:vAlign w:val="bottom"/>
            <w:tcBorders>
              <w:bottom w:val="single" w:sz="8" w:color="003A70"/>
            </w:tcBorders>
          </w:tcPr>
          <w:p>
            <w:pPr>
              <w:ind w:left="660"/>
              <w:spacing w:after="0"/>
              <w:rPr>
                <w:sz w:val="20"/>
                <w:szCs w:val="20"/>
                <w:color w:val="auto"/>
              </w:rPr>
            </w:pPr>
            <w:r>
              <w:rPr>
                <w:rFonts w:ascii="Arial" w:cs="Arial" w:eastAsia="Arial" w:hAnsi="Arial"/>
                <w:sz w:val="11"/>
                <w:szCs w:val="11"/>
                <w:color w:val="auto"/>
              </w:rPr>
              <w:t>Executive and Director Compensation</w:t>
            </w:r>
          </w:p>
        </w:tc>
        <w:tc>
          <w:tcPr>
            <w:tcW w:w="298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31</w:t>
            </w:r>
          </w:p>
        </w:tc>
      </w:tr>
    </w:tbl>
    <w:p>
      <w:pPr>
        <w:sectPr>
          <w:pgSz w:w="11900" w:h="16838" w:orient="portrait"/>
          <w:cols w:equalWidth="0" w:num="1">
            <w:col w:w="11120"/>
          </w:cols>
          <w:pgMar w:left="320" w:top="480"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Stock Awards</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Stock Awards Granted in 2024</w:t>
      </w:r>
    </w:p>
    <w:p>
      <w:pPr>
        <w:spacing w:after="0" w:line="100" w:lineRule="exact"/>
        <w:rPr>
          <w:sz w:val="20"/>
          <w:szCs w:val="20"/>
          <w:color w:val="auto"/>
        </w:rPr>
      </w:pPr>
    </w:p>
    <w:p>
      <w:pPr>
        <w:ind w:left="140" w:right="60"/>
        <w:spacing w:after="0" w:line="258" w:lineRule="auto"/>
        <w:rPr>
          <w:sz w:val="20"/>
          <w:szCs w:val="20"/>
          <w:color w:val="auto"/>
        </w:rPr>
      </w:pPr>
      <w:r>
        <w:rPr>
          <w:rFonts w:ascii="Arial" w:cs="Arial" w:eastAsia="Arial" w:hAnsi="Arial"/>
          <w:sz w:val="16"/>
          <w:szCs w:val="16"/>
          <w:color w:val="auto"/>
        </w:rPr>
        <w:t>Equity compensation awards are typically granted to the named executive officers on an annual basis under the 2020 Equity Plan. With multi-year and, in some cases, performance-based vesting conditions, and the opportunity for long-term capital appreciation, the annual stock awards help us achieve our objectives of attracting and retaining key executive talent, linking named executive officer pay to long-term Company performance and aligning the interests of named executive officers with those of stockholders.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CPC approved the following annual equity awards for 2024 for our named executive officers:</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37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200" w:type="dxa"/>
            <w:vAlign w:val="bottom"/>
            <w:tcBorders>
              <w:bottom w:val="single" w:sz="8" w:color="003A70"/>
            </w:tcBorders>
          </w:tcPr>
          <w:p>
            <w:pPr>
              <w:ind w:left="2760"/>
              <w:spacing w:after="0"/>
              <w:rPr>
                <w:sz w:val="20"/>
                <w:szCs w:val="20"/>
                <w:color w:val="auto"/>
              </w:rPr>
            </w:pPr>
            <w:r>
              <w:rPr>
                <w:rFonts w:ascii="Arial" w:cs="Arial" w:eastAsia="Arial" w:hAnsi="Arial"/>
                <w:sz w:val="14"/>
                <w:szCs w:val="14"/>
                <w:b w:val="1"/>
                <w:bCs w:val="1"/>
                <w:color w:val="003A70"/>
              </w:rPr>
              <w:t>2024 Award Value</w:t>
            </w:r>
          </w:p>
        </w:tc>
        <w:tc>
          <w:tcPr>
            <w:tcW w:w="1660" w:type="dxa"/>
            <w:vAlign w:val="bottom"/>
            <w:tcBorders>
              <w:bottom w:val="single" w:sz="8" w:color="003A70"/>
            </w:tcBorders>
          </w:tcPr>
          <w:p>
            <w:pPr>
              <w:ind w:left="220"/>
              <w:spacing w:after="0"/>
              <w:rPr>
                <w:sz w:val="20"/>
                <w:szCs w:val="20"/>
                <w:color w:val="auto"/>
              </w:rPr>
            </w:pPr>
            <w:r>
              <w:rPr>
                <w:rFonts w:ascii="Arial" w:cs="Arial" w:eastAsia="Arial" w:hAnsi="Arial"/>
                <w:sz w:val="14"/>
                <w:szCs w:val="14"/>
                <w:b w:val="1"/>
                <w:bCs w:val="1"/>
                <w:color w:val="003A70"/>
              </w:rPr>
              <w:t>2023 Award Value</w:t>
            </w:r>
          </w:p>
        </w:tc>
        <w:tc>
          <w:tcPr>
            <w:tcW w:w="1340" w:type="dxa"/>
            <w:vAlign w:val="bottom"/>
            <w:tcBorders>
              <w:bottom w:val="single" w:sz="8" w:color="003A70"/>
            </w:tcBorders>
          </w:tcPr>
          <w:p>
            <w:pPr>
              <w:jc w:val="center"/>
              <w:ind w:left="141"/>
              <w:spacing w:after="0"/>
              <w:rPr>
                <w:sz w:val="20"/>
                <w:szCs w:val="20"/>
                <w:color w:val="auto"/>
              </w:rPr>
            </w:pPr>
            <w:r>
              <w:rPr>
                <w:rFonts w:ascii="Arial" w:cs="Arial" w:eastAsia="Arial" w:hAnsi="Arial"/>
                <w:sz w:val="14"/>
                <w:szCs w:val="14"/>
                <w:b w:val="1"/>
                <w:bCs w:val="1"/>
                <w:color w:val="003A70"/>
              </w:rPr>
              <w:t>Percent Change</w:t>
            </w:r>
          </w:p>
        </w:tc>
      </w:tr>
      <w:tr>
        <w:trPr>
          <w:trHeight w:val="188"/>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200" w:type="dxa"/>
            <w:vAlign w:val="bottom"/>
            <w:tcBorders>
              <w:bottom w:val="single" w:sz="8" w:color="auto"/>
            </w:tcBorders>
          </w:tcPr>
          <w:p>
            <w:pPr>
              <w:jc w:val="center"/>
              <w:ind w:left="2441"/>
              <w:spacing w:after="0"/>
              <w:rPr>
                <w:sz w:val="20"/>
                <w:szCs w:val="20"/>
                <w:color w:val="auto"/>
              </w:rPr>
            </w:pPr>
            <w:r>
              <w:rPr>
                <w:rFonts w:ascii="Arial" w:cs="Arial" w:eastAsia="Arial" w:hAnsi="Arial"/>
                <w:sz w:val="16"/>
                <w:szCs w:val="16"/>
                <w:color w:val="auto"/>
                <w:w w:val="99"/>
              </w:rPr>
              <w:t>$6,000,000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$4,000,000</w:t>
            </w:r>
          </w:p>
        </w:tc>
        <w:tc>
          <w:tcPr>
            <w:tcW w:w="134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color w:val="auto"/>
                <w:w w:val="88"/>
              </w:rPr>
              <w:t>  50%</w:t>
            </w:r>
          </w:p>
        </w:tc>
      </w:tr>
      <w:tr>
        <w:trPr>
          <w:trHeight w:val="182"/>
        </w:trPr>
        <w:tc>
          <w:tcPr>
            <w:tcW w:w="37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Marino</w:t>
            </w:r>
          </w:p>
        </w:tc>
        <w:tc>
          <w:tcPr>
            <w:tcW w:w="4200" w:type="dxa"/>
            <w:vAlign w:val="bottom"/>
            <w:tcBorders>
              <w:bottom w:val="single" w:sz="8" w:color="auto"/>
            </w:tcBorders>
          </w:tcPr>
          <w:p>
            <w:pPr>
              <w:jc w:val="center"/>
              <w:ind w:left="2441"/>
              <w:spacing w:after="0" w:line="182" w:lineRule="exact"/>
              <w:rPr>
                <w:sz w:val="20"/>
                <w:szCs w:val="20"/>
                <w:color w:val="auto"/>
              </w:rPr>
            </w:pPr>
            <w:r>
              <w:rPr>
                <w:rFonts w:ascii="Arial" w:cs="Arial" w:eastAsia="Arial" w:hAnsi="Arial"/>
                <w:sz w:val="16"/>
                <w:szCs w:val="16"/>
                <w:color w:val="auto"/>
                <w:w w:val="99"/>
              </w:rPr>
              <w:t>$1,600,000</w:t>
            </w:r>
          </w:p>
        </w:tc>
        <w:tc>
          <w:tcPr>
            <w:tcW w:w="16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99"/>
              </w:rPr>
              <w:t>$   500,000</w:t>
            </w:r>
          </w:p>
        </w:tc>
        <w:tc>
          <w:tcPr>
            <w:tcW w:w="134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color w:val="auto"/>
                <w:w w:val="97"/>
              </w:rPr>
              <w:t>220%</w:t>
            </w:r>
          </w:p>
        </w:tc>
      </w:tr>
      <w:tr>
        <w:trPr>
          <w:trHeight w:val="182"/>
        </w:trPr>
        <w:tc>
          <w:tcPr>
            <w:tcW w:w="37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Miller</w:t>
            </w:r>
          </w:p>
        </w:tc>
        <w:tc>
          <w:tcPr>
            <w:tcW w:w="4200" w:type="dxa"/>
            <w:vAlign w:val="bottom"/>
            <w:tcBorders>
              <w:bottom w:val="single" w:sz="8" w:color="auto"/>
            </w:tcBorders>
          </w:tcPr>
          <w:p>
            <w:pPr>
              <w:jc w:val="center"/>
              <w:ind w:left="2441"/>
              <w:spacing w:after="0" w:line="182" w:lineRule="exact"/>
              <w:rPr>
                <w:sz w:val="20"/>
                <w:szCs w:val="20"/>
                <w:color w:val="auto"/>
              </w:rPr>
            </w:pPr>
            <w:r>
              <w:rPr>
                <w:rFonts w:ascii="Arial" w:cs="Arial" w:eastAsia="Arial" w:hAnsi="Arial"/>
                <w:sz w:val="16"/>
                <w:szCs w:val="16"/>
                <w:color w:val="auto"/>
                <w:w w:val="99"/>
              </w:rPr>
              <w:t>$1,750,000</w:t>
            </w:r>
          </w:p>
        </w:tc>
        <w:tc>
          <w:tcPr>
            <w:tcW w:w="16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$1,500,000</w:t>
            </w:r>
          </w:p>
        </w:tc>
        <w:tc>
          <w:tcPr>
            <w:tcW w:w="134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color w:val="auto"/>
                <w:w w:val="88"/>
              </w:rPr>
              <w:t>  17%</w:t>
            </w:r>
          </w:p>
        </w:tc>
      </w:tr>
      <w:tr>
        <w:trPr>
          <w:trHeight w:val="182"/>
        </w:trPr>
        <w:tc>
          <w:tcPr>
            <w:tcW w:w="37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Mr. Hunter</w:t>
            </w:r>
          </w:p>
        </w:tc>
        <w:tc>
          <w:tcPr>
            <w:tcW w:w="4200" w:type="dxa"/>
            <w:vAlign w:val="bottom"/>
            <w:tcBorders>
              <w:bottom w:val="single" w:sz="8" w:color="auto"/>
            </w:tcBorders>
          </w:tcPr>
          <w:p>
            <w:pPr>
              <w:jc w:val="center"/>
              <w:ind w:left="2441"/>
              <w:spacing w:after="0" w:line="182" w:lineRule="exact"/>
              <w:rPr>
                <w:sz w:val="20"/>
                <w:szCs w:val="20"/>
                <w:color w:val="auto"/>
              </w:rPr>
            </w:pPr>
            <w:r>
              <w:rPr>
                <w:rFonts w:ascii="Arial" w:cs="Arial" w:eastAsia="Arial" w:hAnsi="Arial"/>
                <w:sz w:val="16"/>
                <w:szCs w:val="16"/>
                <w:color w:val="auto"/>
                <w:w w:val="99"/>
              </w:rPr>
              <w:t>$1,250,000</w:t>
            </w:r>
          </w:p>
        </w:tc>
        <w:tc>
          <w:tcPr>
            <w:tcW w:w="16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$1,000,000</w:t>
            </w:r>
          </w:p>
        </w:tc>
        <w:tc>
          <w:tcPr>
            <w:tcW w:w="134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color w:val="auto"/>
                <w:w w:val="88"/>
              </w:rPr>
              <w:t>  25%</w:t>
            </w:r>
          </w:p>
        </w:tc>
      </w:tr>
      <w:tr>
        <w:trPr>
          <w:trHeight w:val="182"/>
        </w:trPr>
        <w:tc>
          <w:tcPr>
            <w:tcW w:w="37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Ms. Marbert</w:t>
            </w:r>
          </w:p>
        </w:tc>
        <w:tc>
          <w:tcPr>
            <w:tcW w:w="4200" w:type="dxa"/>
            <w:vAlign w:val="bottom"/>
            <w:tcBorders>
              <w:bottom w:val="single" w:sz="8" w:color="auto"/>
            </w:tcBorders>
          </w:tcPr>
          <w:p>
            <w:pPr>
              <w:jc w:val="center"/>
              <w:ind w:left="2441"/>
              <w:spacing w:after="0" w:line="182" w:lineRule="exact"/>
              <w:rPr>
                <w:sz w:val="20"/>
                <w:szCs w:val="20"/>
                <w:color w:val="auto"/>
              </w:rPr>
            </w:pPr>
            <w:r>
              <w:rPr>
                <w:rFonts w:ascii="Arial" w:cs="Arial" w:eastAsia="Arial" w:hAnsi="Arial"/>
                <w:sz w:val="16"/>
                <w:szCs w:val="16"/>
                <w:color w:val="auto"/>
                <w:w w:val="99"/>
              </w:rPr>
              <w:t>$1,100,000</w:t>
            </w:r>
          </w:p>
        </w:tc>
        <w:tc>
          <w:tcPr>
            <w:tcW w:w="16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rPr>
              <w:t>$1,100,000</w:t>
            </w:r>
          </w:p>
        </w:tc>
        <w:tc>
          <w:tcPr>
            <w:tcW w:w="1340" w:type="dxa"/>
            <w:vAlign w:val="bottom"/>
            <w:tcBorders>
              <w:bottom w:val="single" w:sz="8" w:color="auto"/>
            </w:tcBorders>
          </w:tcPr>
          <w:p>
            <w:pPr>
              <w:jc w:val="center"/>
              <w:ind w:left="141"/>
              <w:spacing w:after="0" w:line="182" w:lineRule="exact"/>
              <w:rPr>
                <w:sz w:val="20"/>
                <w:szCs w:val="20"/>
                <w:color w:val="auto"/>
              </w:rPr>
            </w:pPr>
            <w:r>
              <w:rPr>
                <w:rFonts w:ascii="Arial" w:cs="Arial" w:eastAsia="Arial" w:hAnsi="Arial"/>
                <w:sz w:val="16"/>
                <w:szCs w:val="16"/>
                <w:color w:val="auto"/>
                <w:w w:val="88"/>
              </w:rPr>
              <w:t>    0%</w:t>
            </w:r>
          </w:p>
        </w:tc>
      </w:tr>
      <w:tr>
        <w:trPr>
          <w:trHeight w:val="182"/>
        </w:trPr>
        <w:tc>
          <w:tcPr>
            <w:tcW w:w="378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Ms. Gustafson</w:t>
            </w:r>
          </w:p>
        </w:tc>
        <w:tc>
          <w:tcPr>
            <w:tcW w:w="4200" w:type="dxa"/>
            <w:vAlign w:val="bottom"/>
            <w:tcBorders>
              <w:bottom w:val="single" w:sz="8" w:color="003A70"/>
            </w:tcBorders>
          </w:tcPr>
          <w:p>
            <w:pPr>
              <w:jc w:val="center"/>
              <w:ind w:left="2441"/>
              <w:spacing w:after="0" w:line="182" w:lineRule="exact"/>
              <w:rPr>
                <w:sz w:val="20"/>
                <w:szCs w:val="20"/>
                <w:color w:val="auto"/>
              </w:rPr>
            </w:pPr>
            <w:r>
              <w:rPr>
                <w:rFonts w:ascii="Arial" w:cs="Arial" w:eastAsia="Arial" w:hAnsi="Arial"/>
                <w:sz w:val="16"/>
                <w:szCs w:val="16"/>
                <w:color w:val="auto"/>
              </w:rPr>
              <w:t>$   850,000</w:t>
            </w:r>
          </w:p>
        </w:tc>
        <w:tc>
          <w:tcPr>
            <w:tcW w:w="1660" w:type="dxa"/>
            <w:vAlign w:val="bottom"/>
            <w:tcBorders>
              <w:bottom w:val="single" w:sz="8" w:color="003A70"/>
            </w:tcBorders>
          </w:tcPr>
          <w:p>
            <w:pPr>
              <w:jc w:val="center"/>
              <w:spacing w:after="0" w:line="182" w:lineRule="exact"/>
              <w:rPr>
                <w:sz w:val="20"/>
                <w:szCs w:val="20"/>
                <w:color w:val="auto"/>
              </w:rPr>
            </w:pPr>
            <w:r>
              <w:rPr>
                <w:rFonts w:ascii="Arial" w:cs="Arial" w:eastAsia="Arial" w:hAnsi="Arial"/>
                <w:sz w:val="16"/>
                <w:szCs w:val="16"/>
                <w:color w:val="auto"/>
                <w:w w:val="99"/>
              </w:rPr>
              <w:t>$   550,000</w:t>
            </w:r>
          </w:p>
        </w:tc>
        <w:tc>
          <w:tcPr>
            <w:tcW w:w="1340" w:type="dxa"/>
            <w:vAlign w:val="bottom"/>
            <w:tcBorders>
              <w:bottom w:val="single" w:sz="8" w:color="003A70"/>
            </w:tcBorders>
          </w:tcPr>
          <w:p>
            <w:pPr>
              <w:jc w:val="center"/>
              <w:ind w:left="141"/>
              <w:spacing w:after="0" w:line="182" w:lineRule="exact"/>
              <w:rPr>
                <w:sz w:val="20"/>
                <w:szCs w:val="20"/>
                <w:color w:val="auto"/>
              </w:rPr>
            </w:pPr>
            <w:r>
              <w:rPr>
                <w:rFonts w:ascii="Arial" w:cs="Arial" w:eastAsia="Arial" w:hAnsi="Arial"/>
                <w:sz w:val="16"/>
                <w:szCs w:val="16"/>
                <w:color w:val="auto"/>
                <w:w w:val="88"/>
              </w:rPr>
              <w:t>  55%</w:t>
            </w:r>
          </w:p>
        </w:tc>
      </w:tr>
    </w:tbl>
    <w:p>
      <w:pPr>
        <w:spacing w:after="0" w:line="94" w:lineRule="exact"/>
        <w:rPr>
          <w:sz w:val="20"/>
          <w:szCs w:val="20"/>
          <w:color w:val="auto"/>
        </w:rPr>
      </w:pPr>
    </w:p>
    <w:p>
      <w:pPr>
        <w:ind w:left="140" w:right="200"/>
        <w:spacing w:after="0" w:line="249" w:lineRule="auto"/>
        <w:rPr>
          <w:sz w:val="20"/>
          <w:szCs w:val="20"/>
          <w:color w:val="auto"/>
        </w:rPr>
      </w:pPr>
      <w:r>
        <w:rPr>
          <w:rFonts w:ascii="Arial" w:cs="Arial" w:eastAsia="Arial" w:hAnsi="Arial"/>
          <w:sz w:val="16"/>
          <w:szCs w:val="16"/>
          <w:color w:val="auto"/>
        </w:rPr>
        <w:t>The amount of each named executive officer’s award, as well as the differences in the award amounts among the named executive officers, were determined by considering market data (as described above) and internal factors, including pay equity with other officers, differences in responsibilities, job performance, and future potential. The CPC’s consideration of the external market pay practices of various companies discussed above under “Market Data” resulted in the determination to increase the value of the awards for each of the named executive officers. Based on the review of market data, all of our named executive officers’ equity grants were increased due to their low position relative to market median. The CPC recognized</w:t>
      </w:r>
    </w:p>
    <w:p>
      <w:pPr>
        <w:spacing w:after="0" w:line="3" w:lineRule="exact"/>
        <w:rPr>
          <w:sz w:val="20"/>
          <w:szCs w:val="20"/>
          <w:color w:val="auto"/>
        </w:rPr>
      </w:pPr>
    </w:p>
    <w:p>
      <w:pPr>
        <w:ind w:left="140" w:right="20"/>
        <w:spacing w:after="0" w:line="251" w:lineRule="auto"/>
        <w:rPr>
          <w:sz w:val="20"/>
          <w:szCs w:val="20"/>
          <w:color w:val="auto"/>
        </w:rPr>
      </w:pPr>
      <w:r>
        <w:rPr>
          <w:rFonts w:ascii="Arial" w:cs="Arial" w:eastAsia="Arial" w:hAnsi="Arial"/>
          <w:sz w:val="16"/>
          <w:szCs w:val="16"/>
          <w:color w:val="auto"/>
        </w:rPr>
        <w:t>Mr. Geller’s second full year as CEO and increased his target equity award value closer to market median. Additionally, Mr. Marino’s equity adjustment recognizes his promotion to Executive Vice President and Chief Financial Officer in September 2023 and the CPC’s desire to bring his long-term incentive target closer to market median. The awards are reflected in the Summary Compensation Table for 2024 and the Grants of Plan-Based Awards for Fiscal Year 2024 table. The value of the awards was allocated among Performance Units, SARs and RSUs as follows:</w:t>
      </w:r>
    </w:p>
    <w:p>
      <w:pPr>
        <w:spacing w:after="0" w:line="9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820" w:type="dxa"/>
            <w:vAlign w:val="bottom"/>
          </w:tcPr>
          <w:p>
            <w:pPr>
              <w:jc w:val="center"/>
              <w:ind w:left="3223"/>
              <w:spacing w:after="0"/>
              <w:rPr>
                <w:sz w:val="20"/>
                <w:szCs w:val="20"/>
                <w:color w:val="auto"/>
              </w:rPr>
            </w:pPr>
            <w:r>
              <w:rPr>
                <w:rFonts w:ascii="Arial" w:cs="Arial" w:eastAsia="Arial" w:hAnsi="Arial"/>
                <w:sz w:val="14"/>
                <w:szCs w:val="14"/>
                <w:b w:val="1"/>
                <w:bCs w:val="1"/>
                <w:color w:val="003A70"/>
              </w:rPr>
              <w:t>Percentage of</w:t>
            </w:r>
          </w:p>
        </w:tc>
        <w:tc>
          <w:tcPr>
            <w:tcW w:w="1260" w:type="dxa"/>
            <w:vAlign w:val="bottom"/>
          </w:tcPr>
          <w:p>
            <w:pPr>
              <w:jc w:val="center"/>
              <w:ind w:left="203"/>
              <w:spacing w:after="0"/>
              <w:rPr>
                <w:sz w:val="20"/>
                <w:szCs w:val="20"/>
                <w:color w:val="auto"/>
              </w:rPr>
            </w:pPr>
            <w:r>
              <w:rPr>
                <w:rFonts w:ascii="Arial" w:cs="Arial" w:eastAsia="Arial" w:hAnsi="Arial"/>
                <w:sz w:val="14"/>
                <w:szCs w:val="14"/>
                <w:b w:val="1"/>
                <w:bCs w:val="1"/>
                <w:color w:val="003A70"/>
              </w:rPr>
              <w:t>Percentage of</w:t>
            </w:r>
          </w:p>
        </w:tc>
      </w:tr>
      <w:tr>
        <w:trPr>
          <w:trHeight w:val="178"/>
        </w:trPr>
        <w:tc>
          <w:tcPr>
            <w:tcW w:w="49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Type of Award</w:t>
            </w:r>
          </w:p>
        </w:tc>
        <w:tc>
          <w:tcPr>
            <w:tcW w:w="4820" w:type="dxa"/>
            <w:vAlign w:val="bottom"/>
            <w:tcBorders>
              <w:bottom w:val="single" w:sz="8" w:color="003A70"/>
            </w:tcBorders>
          </w:tcPr>
          <w:p>
            <w:pPr>
              <w:jc w:val="center"/>
              <w:ind w:left="3223"/>
              <w:spacing w:after="0"/>
              <w:rPr>
                <w:sz w:val="20"/>
                <w:szCs w:val="20"/>
                <w:color w:val="auto"/>
              </w:rPr>
            </w:pPr>
            <w:r>
              <w:rPr>
                <w:rFonts w:ascii="Arial" w:cs="Arial" w:eastAsia="Arial" w:hAnsi="Arial"/>
                <w:sz w:val="14"/>
                <w:szCs w:val="14"/>
                <w:b w:val="1"/>
                <w:bCs w:val="1"/>
                <w:color w:val="003A70"/>
              </w:rPr>
              <w:t>2024 Award</w:t>
            </w:r>
          </w:p>
        </w:tc>
        <w:tc>
          <w:tcPr>
            <w:tcW w:w="1260" w:type="dxa"/>
            <w:vAlign w:val="bottom"/>
            <w:tcBorders>
              <w:bottom w:val="single" w:sz="8" w:color="003A70"/>
            </w:tcBorders>
          </w:tcPr>
          <w:p>
            <w:pPr>
              <w:jc w:val="center"/>
              <w:ind w:left="223"/>
              <w:spacing w:after="0"/>
              <w:rPr>
                <w:sz w:val="20"/>
                <w:szCs w:val="20"/>
                <w:color w:val="auto"/>
              </w:rPr>
            </w:pPr>
            <w:r>
              <w:rPr>
                <w:rFonts w:ascii="Arial" w:cs="Arial" w:eastAsia="Arial" w:hAnsi="Arial"/>
                <w:sz w:val="14"/>
                <w:szCs w:val="14"/>
                <w:b w:val="1"/>
                <w:bCs w:val="1"/>
                <w:color w:val="003A70"/>
              </w:rPr>
              <w:t>2023 Award</w:t>
            </w:r>
          </w:p>
        </w:tc>
      </w:tr>
      <w:tr>
        <w:trPr>
          <w:trHeight w:val="188"/>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Units</w:t>
            </w:r>
          </w:p>
        </w:tc>
        <w:tc>
          <w:tcPr>
            <w:tcW w:w="4820" w:type="dxa"/>
            <w:vAlign w:val="bottom"/>
            <w:tcBorders>
              <w:bottom w:val="single" w:sz="8" w:color="auto"/>
            </w:tcBorders>
          </w:tcPr>
          <w:p>
            <w:pPr>
              <w:jc w:val="center"/>
              <w:ind w:left="3223"/>
              <w:spacing w:after="0"/>
              <w:rPr>
                <w:sz w:val="20"/>
                <w:szCs w:val="20"/>
                <w:color w:val="auto"/>
              </w:rPr>
            </w:pPr>
            <w:r>
              <w:rPr>
                <w:rFonts w:ascii="Arial" w:cs="Arial" w:eastAsia="Arial" w:hAnsi="Arial"/>
                <w:sz w:val="16"/>
                <w:szCs w:val="16"/>
                <w:color w:val="auto"/>
                <w:w w:val="99"/>
              </w:rPr>
              <w:t>50%</w:t>
            </w:r>
          </w:p>
        </w:tc>
        <w:tc>
          <w:tcPr>
            <w:tcW w:w="1260" w:type="dxa"/>
            <w:vAlign w:val="bottom"/>
            <w:tcBorders>
              <w:bottom w:val="single" w:sz="8" w:color="auto"/>
            </w:tcBorders>
          </w:tcPr>
          <w:p>
            <w:pPr>
              <w:jc w:val="center"/>
              <w:ind w:left="223"/>
              <w:spacing w:after="0"/>
              <w:rPr>
                <w:sz w:val="20"/>
                <w:szCs w:val="20"/>
                <w:color w:val="auto"/>
              </w:rPr>
            </w:pPr>
            <w:r>
              <w:rPr>
                <w:rFonts w:ascii="Arial" w:cs="Arial" w:eastAsia="Arial" w:hAnsi="Arial"/>
                <w:sz w:val="16"/>
                <w:szCs w:val="16"/>
                <w:color w:val="auto"/>
                <w:w w:val="99"/>
              </w:rPr>
              <w:t>50%</w:t>
            </w:r>
          </w:p>
        </w:tc>
      </w:tr>
      <w:tr>
        <w:trPr>
          <w:trHeight w:val="182"/>
        </w:trPr>
        <w:tc>
          <w:tcPr>
            <w:tcW w:w="490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SARs</w:t>
            </w:r>
          </w:p>
        </w:tc>
        <w:tc>
          <w:tcPr>
            <w:tcW w:w="4820" w:type="dxa"/>
            <w:vAlign w:val="bottom"/>
            <w:tcBorders>
              <w:bottom w:val="single" w:sz="8" w:color="auto"/>
            </w:tcBorders>
          </w:tcPr>
          <w:p>
            <w:pPr>
              <w:jc w:val="center"/>
              <w:ind w:left="3223"/>
              <w:spacing w:after="0" w:line="182" w:lineRule="exact"/>
              <w:rPr>
                <w:sz w:val="20"/>
                <w:szCs w:val="20"/>
                <w:color w:val="auto"/>
              </w:rPr>
            </w:pPr>
            <w:r>
              <w:rPr>
                <w:rFonts w:ascii="Arial" w:cs="Arial" w:eastAsia="Arial" w:hAnsi="Arial"/>
                <w:sz w:val="16"/>
                <w:szCs w:val="16"/>
                <w:color w:val="auto"/>
                <w:w w:val="99"/>
              </w:rPr>
              <w:t>20%</w:t>
            </w:r>
          </w:p>
        </w:tc>
        <w:tc>
          <w:tcPr>
            <w:tcW w:w="1260" w:type="dxa"/>
            <w:vAlign w:val="bottom"/>
            <w:tcBorders>
              <w:bottom w:val="single" w:sz="8" w:color="auto"/>
            </w:tcBorders>
          </w:tcPr>
          <w:p>
            <w:pPr>
              <w:jc w:val="center"/>
              <w:ind w:left="223"/>
              <w:spacing w:after="0" w:line="182" w:lineRule="exact"/>
              <w:rPr>
                <w:sz w:val="20"/>
                <w:szCs w:val="20"/>
                <w:color w:val="auto"/>
              </w:rPr>
            </w:pPr>
            <w:r>
              <w:rPr>
                <w:rFonts w:ascii="Arial" w:cs="Arial" w:eastAsia="Arial" w:hAnsi="Arial"/>
                <w:sz w:val="16"/>
                <w:szCs w:val="16"/>
                <w:color w:val="auto"/>
                <w:w w:val="99"/>
              </w:rPr>
              <w:t>20%</w:t>
            </w:r>
          </w:p>
        </w:tc>
      </w:tr>
      <w:tr>
        <w:trPr>
          <w:trHeight w:val="182"/>
        </w:trPr>
        <w:tc>
          <w:tcPr>
            <w:tcW w:w="49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RSUs</w:t>
            </w:r>
          </w:p>
        </w:tc>
        <w:tc>
          <w:tcPr>
            <w:tcW w:w="4820" w:type="dxa"/>
            <w:vAlign w:val="bottom"/>
            <w:tcBorders>
              <w:bottom w:val="single" w:sz="8" w:color="003A70"/>
            </w:tcBorders>
          </w:tcPr>
          <w:p>
            <w:pPr>
              <w:jc w:val="center"/>
              <w:ind w:left="3223"/>
              <w:spacing w:after="0" w:line="182" w:lineRule="exact"/>
              <w:rPr>
                <w:sz w:val="20"/>
                <w:szCs w:val="20"/>
                <w:color w:val="auto"/>
              </w:rPr>
            </w:pPr>
            <w:r>
              <w:rPr>
                <w:rFonts w:ascii="Arial" w:cs="Arial" w:eastAsia="Arial" w:hAnsi="Arial"/>
                <w:sz w:val="16"/>
                <w:szCs w:val="16"/>
                <w:color w:val="auto"/>
                <w:w w:val="99"/>
              </w:rPr>
              <w:t>30%</w:t>
            </w:r>
          </w:p>
        </w:tc>
        <w:tc>
          <w:tcPr>
            <w:tcW w:w="1260" w:type="dxa"/>
            <w:vAlign w:val="bottom"/>
            <w:tcBorders>
              <w:bottom w:val="single" w:sz="8" w:color="003A70"/>
            </w:tcBorders>
          </w:tcPr>
          <w:p>
            <w:pPr>
              <w:jc w:val="center"/>
              <w:ind w:left="223"/>
              <w:spacing w:after="0" w:line="182" w:lineRule="exact"/>
              <w:rPr>
                <w:sz w:val="20"/>
                <w:szCs w:val="20"/>
                <w:color w:val="auto"/>
              </w:rPr>
            </w:pPr>
            <w:r>
              <w:rPr>
                <w:rFonts w:ascii="Arial" w:cs="Arial" w:eastAsia="Arial" w:hAnsi="Arial"/>
                <w:sz w:val="16"/>
                <w:szCs w:val="16"/>
                <w:color w:val="auto"/>
                <w:w w:val="99"/>
              </w:rPr>
              <w:t>30%</w:t>
            </w:r>
          </w:p>
        </w:tc>
      </w:tr>
    </w:tbl>
    <w:p>
      <w:pPr>
        <w:spacing w:after="0" w:line="94" w:lineRule="exact"/>
        <w:rPr>
          <w:sz w:val="20"/>
          <w:szCs w:val="20"/>
          <w:color w:val="auto"/>
        </w:rPr>
      </w:pPr>
    </w:p>
    <w:p>
      <w:pPr>
        <w:ind w:left="140" w:right="260"/>
        <w:spacing w:after="0" w:line="258" w:lineRule="auto"/>
        <w:rPr>
          <w:sz w:val="20"/>
          <w:szCs w:val="20"/>
          <w:color w:val="auto"/>
        </w:rPr>
      </w:pPr>
      <w:r>
        <w:rPr>
          <w:rFonts w:ascii="Arial" w:cs="Arial" w:eastAsia="Arial" w:hAnsi="Arial"/>
          <w:sz w:val="16"/>
          <w:szCs w:val="16"/>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70" w:lineRule="exact"/>
        <w:rPr>
          <w:sz w:val="20"/>
          <w:szCs w:val="20"/>
          <w:color w:val="auto"/>
        </w:rPr>
      </w:pPr>
    </w:p>
    <w:p>
      <w:pPr>
        <w:ind w:left="140" w:right="300"/>
        <w:spacing w:after="0" w:line="250" w:lineRule="auto"/>
        <w:rPr>
          <w:sz w:val="20"/>
          <w:szCs w:val="20"/>
          <w:color w:val="auto"/>
        </w:rPr>
      </w:pPr>
      <w:r>
        <w:rPr>
          <w:rFonts w:ascii="Arial" w:cs="Arial" w:eastAsia="Arial" w:hAnsi="Arial"/>
          <w:sz w:val="16"/>
          <w:szCs w:val="16"/>
          <w:color w:val="auto"/>
        </w:rPr>
        <w:t>The Performance Units granted in 2024 represent the right to receive shares of our common stock after the end of the performance period beginning January 1, 2024 and ending December 31, 2026, in an amount determined based on the Company’s achievement over the performance period with respect to two performance objectives: Adjusted EBITDA and Adjusted return on invested capital (“Adjusted ROIC”), each weighted equally. “Adjusted ROIC” means Adjusted EBIT, defined as Adjusted EBITDA less Depreciation and Amortization as reported in the Company’s annual reports on Form</w:t>
      </w:r>
    </w:p>
    <w:p>
      <w:pPr>
        <w:spacing w:after="0" w:line="3" w:lineRule="exact"/>
        <w:rPr>
          <w:sz w:val="20"/>
          <w:szCs w:val="20"/>
          <w:color w:val="auto"/>
        </w:rPr>
      </w:pPr>
    </w:p>
    <w:p>
      <w:pPr>
        <w:ind w:left="140" w:right="160"/>
        <w:spacing w:after="0" w:line="254" w:lineRule="auto"/>
        <w:rPr>
          <w:sz w:val="20"/>
          <w:szCs w:val="20"/>
          <w:color w:val="auto"/>
        </w:rPr>
      </w:pPr>
      <w:r>
        <w:rPr>
          <w:rFonts w:ascii="Arial" w:cs="Arial" w:eastAsia="Arial" w:hAnsi="Arial"/>
          <w:sz w:val="16"/>
          <w:szCs w:val="16"/>
          <w:color w:val="auto"/>
        </w:rPr>
        <w:t>10-K over the performance period, as a percentage of Net 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Adjusted EBITDA and Adjusted ROIC targets were set at levels we believed to be achievable but not certain to be met.</w:t>
      </w:r>
    </w:p>
    <w:p>
      <w:pPr>
        <w:spacing w:after="0" w:line="112" w:lineRule="exact"/>
        <w:rPr>
          <w:sz w:val="20"/>
          <w:szCs w:val="20"/>
          <w:color w:val="auto"/>
        </w:rPr>
      </w:pPr>
    </w:p>
    <w:p>
      <w:pPr>
        <w:ind w:left="140" w:right="60"/>
        <w:spacing w:after="0" w:line="255" w:lineRule="auto"/>
        <w:rPr>
          <w:sz w:val="20"/>
          <w:szCs w:val="20"/>
          <w:color w:val="auto"/>
        </w:rPr>
      </w:pPr>
      <w:r>
        <w:rPr>
          <w:rFonts w:ascii="Arial" w:cs="Arial" w:eastAsia="Arial" w:hAnsi="Arial"/>
          <w:sz w:val="16"/>
          <w:szCs w:val="16"/>
          <w:color w:val="auto"/>
        </w:rPr>
        <w:t>We used Adjusted EBITDA as a performance objective for the Bonus Plan and 2024-2026 Performance Units because the CPC believed that utilizing the same metric for both the short- and long-term compensation programs aligned management’s decision making for both short-term and long-term performance. By using the same metric, the CPC intended to promote sustained performance of the Company over both the shorter- and longer-term. As described in more detail below, however, for the 2025-2027 Performance Units, the CPC has replaced Adjusted EBITDA goal in the long-term incentive program with Adjusted EPS.</w:t>
      </w:r>
    </w:p>
    <w:p>
      <w:pPr>
        <w:spacing w:after="0" w:line="72" w:lineRule="exact"/>
        <w:rPr>
          <w:sz w:val="20"/>
          <w:szCs w:val="20"/>
          <w:color w:val="auto"/>
        </w:rPr>
      </w:pPr>
    </w:p>
    <w:p>
      <w:pPr>
        <w:ind w:left="140" w:right="80"/>
        <w:spacing w:after="0" w:line="256" w:lineRule="auto"/>
        <w:rPr>
          <w:sz w:val="20"/>
          <w:szCs w:val="20"/>
          <w:color w:val="auto"/>
        </w:rPr>
      </w:pPr>
      <w:r>
        <w:rPr>
          <w:rFonts w:ascii="Arial" w:cs="Arial" w:eastAsia="Arial" w:hAnsi="Arial"/>
          <w:sz w:val="16"/>
          <w:szCs w:val="16"/>
          <w:color w:val="auto"/>
        </w:rPr>
        <w:t>The number of Performance Units actually earned will be determined following the end of the performance period and will be equal to 50% of the granted number of Performance Units multiplied by a percentage corresponding to the achievement level of the Adjusted EBITDA performance objective plus</w:t>
      </w:r>
    </w:p>
    <w:p>
      <w:pPr>
        <w:ind w:left="140" w:right="20"/>
        <w:spacing w:after="0" w:line="254" w:lineRule="auto"/>
        <w:rPr>
          <w:sz w:val="20"/>
          <w:szCs w:val="20"/>
          <w:color w:val="auto"/>
        </w:rPr>
      </w:pPr>
      <w:r>
        <w:rPr>
          <w:rFonts w:ascii="Arial" w:cs="Arial" w:eastAsia="Arial" w:hAnsi="Arial"/>
          <w:sz w:val="16"/>
          <w:szCs w:val="16"/>
          <w:color w:val="auto"/>
        </w:rPr>
        <w:t>50% of the granted number of Performance Units multiplied by a percentage corresponding to the achievement level of the Adjusted ROIC performance objective. The number of shares that will be received can range from zero to two times the number of Performance Units granted and will be based on the straight average of three stand-alone year achievement levels. Achievement levels listed below were approved by the CPC in February 2024.</w:t>
      </w:r>
    </w:p>
    <w:p>
      <w:pPr>
        <w:spacing w:after="0" w:line="114" w:lineRule="exact"/>
        <w:rPr>
          <w:sz w:val="20"/>
          <w:szCs w:val="20"/>
          <w:color w:val="auto"/>
        </w:rPr>
      </w:pPr>
    </w:p>
    <w:p>
      <w:pPr>
        <w:ind w:left="14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32</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3A70"/>
              </w:rPr>
              <w:t>Performance Units</w:t>
            </w:r>
          </w:p>
        </w:tc>
      </w:tr>
      <w:tr>
        <w:trPr>
          <w:trHeight w:val="171"/>
        </w:trPr>
        <w:tc>
          <w:tcPr>
            <w:tcW w:w="2760" w:type="dxa"/>
            <w:vAlign w:val="bottom"/>
          </w:tcPr>
          <w:p>
            <w:pPr>
              <w:spacing w:after="0"/>
              <w:rPr>
                <w:sz w:val="14"/>
                <w:szCs w:val="14"/>
                <w:color w:val="auto"/>
              </w:rPr>
            </w:pPr>
          </w:p>
        </w:tc>
        <w:tc>
          <w:tcPr>
            <w:tcW w:w="326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003A70"/>
              </w:rPr>
              <w:t>2024</w:t>
            </w:r>
          </w:p>
        </w:tc>
        <w:tc>
          <w:tcPr>
            <w:tcW w:w="168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003A70"/>
              </w:rPr>
              <w:t>2025</w:t>
            </w:r>
          </w:p>
        </w:tc>
        <w:tc>
          <w:tcPr>
            <w:tcW w:w="166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003A70"/>
              </w:rPr>
              <w:t>2026</w:t>
            </w: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3A70"/>
              </w:rPr>
              <w:t>Earned</w:t>
            </w:r>
          </w:p>
        </w:tc>
      </w:tr>
      <w:tr>
        <w:trPr>
          <w:trHeight w:val="146"/>
        </w:trPr>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003A70"/>
            </w:tcBorders>
          </w:tcPr>
          <w:p>
            <w:pPr>
              <w:jc w:val="center"/>
              <w:ind w:right="8"/>
              <w:spacing w:after="0" w:line="146" w:lineRule="exact"/>
              <w:rPr>
                <w:sz w:val="20"/>
                <w:szCs w:val="20"/>
                <w:color w:val="auto"/>
              </w:rPr>
            </w:pPr>
            <w:r>
              <w:rPr>
                <w:rFonts w:ascii="Arial" w:cs="Arial" w:eastAsia="Arial" w:hAnsi="Arial"/>
                <w:sz w:val="14"/>
                <w:szCs w:val="14"/>
                <w:b w:val="1"/>
                <w:bCs w:val="1"/>
                <w:color w:val="003A70"/>
              </w:rPr>
              <w:t>Adjusted</w:t>
            </w:r>
          </w:p>
        </w:tc>
        <w:tc>
          <w:tcPr>
            <w:tcW w:w="720" w:type="dxa"/>
            <w:vAlign w:val="bottom"/>
            <w:tcBorders>
              <w:top w:val="single" w:sz="8" w:color="003A70"/>
            </w:tcBorders>
          </w:tcPr>
          <w:p>
            <w:pPr>
              <w:jc w:val="right"/>
              <w:spacing w:after="0" w:line="146" w:lineRule="exact"/>
              <w:rPr>
                <w:sz w:val="20"/>
                <w:szCs w:val="20"/>
                <w:color w:val="auto"/>
              </w:rPr>
            </w:pPr>
            <w:r>
              <w:rPr>
                <w:rFonts w:ascii="Arial" w:cs="Arial" w:eastAsia="Arial" w:hAnsi="Arial"/>
                <w:sz w:val="14"/>
                <w:szCs w:val="14"/>
                <w:b w:val="1"/>
                <w:bCs w:val="1"/>
                <w:color w:val="003A70"/>
              </w:rPr>
              <w:t>Adjusted</w:t>
            </w:r>
          </w:p>
        </w:tc>
        <w:tc>
          <w:tcPr>
            <w:tcW w:w="260" w:type="dxa"/>
            <w:vAlign w:val="bottom"/>
          </w:tcPr>
          <w:p>
            <w:pPr>
              <w:spacing w:after="0"/>
              <w:rPr>
                <w:sz w:val="12"/>
                <w:szCs w:val="12"/>
                <w:color w:val="auto"/>
              </w:rPr>
            </w:pPr>
          </w:p>
        </w:tc>
        <w:tc>
          <w:tcPr>
            <w:tcW w:w="700" w:type="dxa"/>
            <w:vAlign w:val="bottom"/>
            <w:tcBorders>
              <w:top w:val="single" w:sz="8" w:color="003A70"/>
            </w:tcBorders>
          </w:tcPr>
          <w:p>
            <w:pPr>
              <w:jc w:val="center"/>
              <w:ind w:right="23"/>
              <w:spacing w:after="0" w:line="146" w:lineRule="exact"/>
              <w:rPr>
                <w:sz w:val="20"/>
                <w:szCs w:val="20"/>
                <w:color w:val="auto"/>
              </w:rPr>
            </w:pPr>
            <w:r>
              <w:rPr>
                <w:rFonts w:ascii="Arial" w:cs="Arial" w:eastAsia="Arial" w:hAnsi="Arial"/>
                <w:sz w:val="14"/>
                <w:szCs w:val="14"/>
                <w:b w:val="1"/>
                <w:bCs w:val="1"/>
                <w:color w:val="003A70"/>
              </w:rPr>
              <w:t>Adjusted</w:t>
            </w:r>
          </w:p>
        </w:tc>
        <w:tc>
          <w:tcPr>
            <w:tcW w:w="720" w:type="dxa"/>
            <w:vAlign w:val="bottom"/>
            <w:tcBorders>
              <w:top w:val="single" w:sz="8" w:color="003A70"/>
            </w:tcBorders>
          </w:tcPr>
          <w:p>
            <w:pPr>
              <w:jc w:val="right"/>
              <w:spacing w:after="0" w:line="146" w:lineRule="exact"/>
              <w:rPr>
                <w:sz w:val="20"/>
                <w:szCs w:val="20"/>
                <w:color w:val="auto"/>
              </w:rPr>
            </w:pPr>
            <w:r>
              <w:rPr>
                <w:rFonts w:ascii="Arial" w:cs="Arial" w:eastAsia="Arial" w:hAnsi="Arial"/>
                <w:sz w:val="14"/>
                <w:szCs w:val="14"/>
                <w:b w:val="1"/>
                <w:bCs w:val="1"/>
                <w:color w:val="003A70"/>
              </w:rPr>
              <w:t>Adjusted</w:t>
            </w:r>
          </w:p>
        </w:tc>
        <w:tc>
          <w:tcPr>
            <w:tcW w:w="240" w:type="dxa"/>
            <w:vAlign w:val="bottom"/>
          </w:tcPr>
          <w:p>
            <w:pPr>
              <w:spacing w:after="0"/>
              <w:rPr>
                <w:sz w:val="12"/>
                <w:szCs w:val="12"/>
                <w:color w:val="auto"/>
              </w:rPr>
            </w:pPr>
          </w:p>
        </w:tc>
        <w:tc>
          <w:tcPr>
            <w:tcW w:w="700" w:type="dxa"/>
            <w:vAlign w:val="bottom"/>
            <w:tcBorders>
              <w:top w:val="single" w:sz="8" w:color="003A70"/>
            </w:tcBorders>
          </w:tcPr>
          <w:p>
            <w:pPr>
              <w:jc w:val="center"/>
              <w:ind w:right="23"/>
              <w:spacing w:after="0" w:line="146" w:lineRule="exact"/>
              <w:rPr>
                <w:sz w:val="20"/>
                <w:szCs w:val="20"/>
                <w:color w:val="auto"/>
              </w:rPr>
            </w:pPr>
            <w:r>
              <w:rPr>
                <w:rFonts w:ascii="Arial" w:cs="Arial" w:eastAsia="Arial" w:hAnsi="Arial"/>
                <w:sz w:val="14"/>
                <w:szCs w:val="14"/>
                <w:b w:val="1"/>
                <w:bCs w:val="1"/>
                <w:color w:val="003A70"/>
              </w:rPr>
              <w:t>Adjusted</w:t>
            </w:r>
          </w:p>
        </w:tc>
        <w:tc>
          <w:tcPr>
            <w:tcW w:w="720" w:type="dxa"/>
            <w:vAlign w:val="bottom"/>
            <w:tcBorders>
              <w:top w:val="single" w:sz="8" w:color="003A70"/>
            </w:tcBorders>
          </w:tcPr>
          <w:p>
            <w:pPr>
              <w:jc w:val="right"/>
              <w:spacing w:after="0" w:line="146" w:lineRule="exact"/>
              <w:rPr>
                <w:sz w:val="20"/>
                <w:szCs w:val="20"/>
                <w:color w:val="auto"/>
              </w:rPr>
            </w:pPr>
            <w:r>
              <w:rPr>
                <w:rFonts w:ascii="Arial" w:cs="Arial" w:eastAsia="Arial" w:hAnsi="Arial"/>
                <w:sz w:val="14"/>
                <w:szCs w:val="14"/>
                <w:b w:val="1"/>
                <w:bCs w:val="1"/>
                <w:color w:val="003A70"/>
              </w:rPr>
              <w:t>Adjusted</w:t>
            </w:r>
          </w:p>
        </w:tc>
        <w:tc>
          <w:tcPr>
            <w:tcW w:w="240" w:type="dxa"/>
            <w:vAlign w:val="bottom"/>
          </w:tcPr>
          <w:p>
            <w:pPr>
              <w:spacing w:after="0"/>
              <w:rPr>
                <w:sz w:val="12"/>
                <w:szCs w:val="12"/>
                <w:color w:val="auto"/>
              </w:rPr>
            </w:pPr>
          </w:p>
        </w:tc>
        <w:tc>
          <w:tcPr>
            <w:tcW w:w="1380" w:type="dxa"/>
            <w:vAlign w:val="bottom"/>
            <w:tcBorders>
              <w:top w:val="single" w:sz="8" w:color="003A70"/>
            </w:tcBorders>
          </w:tcPr>
          <w:p>
            <w:pPr>
              <w:jc w:val="center"/>
              <w:spacing w:after="0" w:line="146" w:lineRule="exact"/>
              <w:rPr>
                <w:sz w:val="20"/>
                <w:szCs w:val="20"/>
                <w:color w:val="auto"/>
              </w:rPr>
            </w:pPr>
            <w:r>
              <w:rPr>
                <w:rFonts w:ascii="Arial" w:cs="Arial" w:eastAsia="Arial" w:hAnsi="Arial"/>
                <w:sz w:val="14"/>
                <w:szCs w:val="14"/>
                <w:b w:val="1"/>
                <w:bCs w:val="1"/>
                <w:color w:val="003A70"/>
              </w:rPr>
              <w:t>Payout as a Percent</w:t>
            </w:r>
          </w:p>
        </w:tc>
      </w:tr>
      <w:tr>
        <w:trPr>
          <w:trHeight w:val="178"/>
        </w:trPr>
        <w:tc>
          <w:tcPr>
            <w:tcW w:w="27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 (M)</w:t>
            </w:r>
          </w:p>
        </w:tc>
        <w:tc>
          <w:tcPr>
            <w:tcW w:w="184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jc w:val="center"/>
              <w:ind w:right="8"/>
              <w:spacing w:after="0"/>
              <w:rPr>
                <w:sz w:val="20"/>
                <w:szCs w:val="20"/>
                <w:color w:val="auto"/>
              </w:rPr>
            </w:pPr>
            <w:r>
              <w:rPr>
                <w:rFonts w:ascii="Arial" w:cs="Arial" w:eastAsia="Arial" w:hAnsi="Arial"/>
                <w:sz w:val="14"/>
                <w:szCs w:val="14"/>
                <w:b w:val="1"/>
                <w:bCs w:val="1"/>
                <w:color w:val="003A70"/>
              </w:rPr>
              <w:t>EBITDA</w:t>
            </w:r>
          </w:p>
        </w:tc>
        <w:tc>
          <w:tcPr>
            <w:tcW w:w="720" w:type="dxa"/>
            <w:vAlign w:val="bottom"/>
            <w:tcBorders>
              <w:bottom w:val="single" w:sz="8" w:color="003A70"/>
            </w:tcBorders>
          </w:tcPr>
          <w:p>
            <w:pPr>
              <w:jc w:val="right"/>
              <w:ind w:right="42"/>
              <w:spacing w:after="0"/>
              <w:rPr>
                <w:sz w:val="20"/>
                <w:szCs w:val="20"/>
                <w:color w:val="auto"/>
              </w:rPr>
            </w:pPr>
            <w:r>
              <w:rPr>
                <w:rFonts w:ascii="Arial" w:cs="Arial" w:eastAsia="Arial" w:hAnsi="Arial"/>
                <w:sz w:val="14"/>
                <w:szCs w:val="14"/>
                <w:b w:val="1"/>
                <w:bCs w:val="1"/>
                <w:color w:val="003A70"/>
              </w:rPr>
              <w:t>ROIC</w:t>
            </w:r>
          </w:p>
        </w:tc>
        <w:tc>
          <w:tcPr>
            <w:tcW w:w="26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jc w:val="center"/>
              <w:ind w:right="43"/>
              <w:spacing w:after="0"/>
              <w:rPr>
                <w:sz w:val="20"/>
                <w:szCs w:val="20"/>
                <w:color w:val="auto"/>
              </w:rPr>
            </w:pPr>
            <w:r>
              <w:rPr>
                <w:rFonts w:ascii="Arial" w:cs="Arial" w:eastAsia="Arial" w:hAnsi="Arial"/>
                <w:sz w:val="14"/>
                <w:szCs w:val="14"/>
                <w:b w:val="1"/>
                <w:bCs w:val="1"/>
                <w:color w:val="003A70"/>
              </w:rPr>
              <w:t>EBITDA</w:t>
            </w:r>
          </w:p>
        </w:tc>
        <w:tc>
          <w:tcPr>
            <w:tcW w:w="720" w:type="dxa"/>
            <w:vAlign w:val="bottom"/>
            <w:tcBorders>
              <w:bottom w:val="single" w:sz="8" w:color="003A70"/>
            </w:tcBorders>
          </w:tcPr>
          <w:p>
            <w:pPr>
              <w:jc w:val="right"/>
              <w:ind w:right="62"/>
              <w:spacing w:after="0"/>
              <w:rPr>
                <w:sz w:val="20"/>
                <w:szCs w:val="20"/>
                <w:color w:val="auto"/>
              </w:rPr>
            </w:pPr>
            <w:r>
              <w:rPr>
                <w:rFonts w:ascii="Arial" w:cs="Arial" w:eastAsia="Arial" w:hAnsi="Arial"/>
                <w:sz w:val="14"/>
                <w:szCs w:val="14"/>
                <w:b w:val="1"/>
                <w:bCs w:val="1"/>
                <w:color w:val="003A70"/>
              </w:rPr>
              <w:t>ROIC</w:t>
            </w:r>
          </w:p>
        </w:tc>
        <w:tc>
          <w:tcPr>
            <w:tcW w:w="24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jc w:val="center"/>
              <w:ind w:right="23"/>
              <w:spacing w:after="0"/>
              <w:rPr>
                <w:sz w:val="20"/>
                <w:szCs w:val="20"/>
                <w:color w:val="auto"/>
              </w:rPr>
            </w:pPr>
            <w:r>
              <w:rPr>
                <w:rFonts w:ascii="Arial" w:cs="Arial" w:eastAsia="Arial" w:hAnsi="Arial"/>
                <w:sz w:val="14"/>
                <w:szCs w:val="14"/>
                <w:b w:val="1"/>
                <w:bCs w:val="1"/>
                <w:color w:val="003A70"/>
                <w:w w:val="99"/>
              </w:rPr>
              <w:t>EBITDA</w:t>
            </w:r>
          </w:p>
        </w:tc>
        <w:tc>
          <w:tcPr>
            <w:tcW w:w="720" w:type="dxa"/>
            <w:vAlign w:val="bottom"/>
            <w:tcBorders>
              <w:bottom w:val="single" w:sz="8" w:color="003A70"/>
            </w:tcBorders>
          </w:tcPr>
          <w:p>
            <w:pPr>
              <w:jc w:val="right"/>
              <w:ind w:right="62"/>
              <w:spacing w:after="0"/>
              <w:rPr>
                <w:sz w:val="20"/>
                <w:szCs w:val="20"/>
                <w:color w:val="auto"/>
              </w:rPr>
            </w:pPr>
            <w:r>
              <w:rPr>
                <w:rFonts w:ascii="Arial" w:cs="Arial" w:eastAsia="Arial" w:hAnsi="Arial"/>
                <w:sz w:val="14"/>
                <w:szCs w:val="14"/>
                <w:b w:val="1"/>
                <w:bCs w:val="1"/>
                <w:color w:val="003A70"/>
              </w:rPr>
              <w:t>ROIC</w:t>
            </w:r>
          </w:p>
        </w:tc>
        <w:tc>
          <w:tcPr>
            <w:tcW w:w="240" w:type="dxa"/>
            <w:vAlign w:val="bottom"/>
            <w:tcBorders>
              <w:bottom w:val="single" w:sz="8" w:color="003A70"/>
            </w:tcBorders>
          </w:tcPr>
          <w:p>
            <w:pPr>
              <w:spacing w:after="0"/>
              <w:rPr>
                <w:sz w:val="15"/>
                <w:szCs w:val="15"/>
                <w:color w:val="auto"/>
              </w:rPr>
            </w:pPr>
          </w:p>
        </w:tc>
        <w:tc>
          <w:tcPr>
            <w:tcW w:w="13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of Target</w:t>
            </w:r>
          </w:p>
        </w:tc>
      </w:tr>
      <w:tr>
        <w:trPr>
          <w:trHeight w:val="188"/>
        </w:trPr>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Maximum</w:t>
            </w:r>
          </w:p>
        </w:tc>
        <w:tc>
          <w:tcPr>
            <w:tcW w:w="2540" w:type="dxa"/>
            <w:vAlign w:val="bottom"/>
            <w:tcBorders>
              <w:bottom w:val="single" w:sz="8" w:color="auto"/>
            </w:tcBorders>
            <w:gridSpan w:val="2"/>
          </w:tcPr>
          <w:p>
            <w:pPr>
              <w:jc w:val="center"/>
              <w:ind w:left="1661"/>
              <w:spacing w:after="0"/>
              <w:rPr>
                <w:sz w:val="20"/>
                <w:szCs w:val="20"/>
                <w:color w:val="auto"/>
              </w:rPr>
            </w:pPr>
            <w:r>
              <w:rPr>
                <w:rFonts w:ascii="Arial" w:cs="Arial" w:eastAsia="Arial" w:hAnsi="Arial"/>
                <w:sz w:val="16"/>
                <w:szCs w:val="16"/>
                <w:color w:val="auto"/>
              </w:rPr>
              <w:t>$937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96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6"/>
                <w:szCs w:val="16"/>
                <w:color w:val="auto"/>
              </w:rPr>
              <w:t>$1,048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94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6"/>
                <w:szCs w:val="16"/>
                <w:color w:val="auto"/>
                <w:w w:val="98"/>
              </w:rPr>
              <w:t>$1,127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color w:val="auto"/>
              </w:rPr>
              <w:t>200%    </w:t>
            </w:r>
          </w:p>
        </w:tc>
      </w:tr>
      <w:tr>
        <w:trPr>
          <w:trHeight w:val="182"/>
        </w:trPr>
        <w:tc>
          <w:tcPr>
            <w:tcW w:w="27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Target</w:t>
            </w:r>
          </w:p>
        </w:tc>
        <w:tc>
          <w:tcPr>
            <w:tcW w:w="2540" w:type="dxa"/>
            <w:vAlign w:val="bottom"/>
            <w:tcBorders>
              <w:bottom w:val="single" w:sz="8" w:color="auto"/>
            </w:tcBorders>
            <w:gridSpan w:val="2"/>
          </w:tcPr>
          <w:p>
            <w:pPr>
              <w:jc w:val="center"/>
              <w:ind w:left="1661"/>
              <w:spacing w:after="0" w:line="182" w:lineRule="exact"/>
              <w:rPr>
                <w:sz w:val="20"/>
                <w:szCs w:val="20"/>
                <w:color w:val="auto"/>
              </w:rPr>
            </w:pPr>
            <w:r>
              <w:rPr>
                <w:rFonts w:ascii="Arial" w:cs="Arial" w:eastAsia="Arial" w:hAnsi="Arial"/>
                <w:sz w:val="16"/>
                <w:szCs w:val="16"/>
                <w:color w:val="auto"/>
              </w:rPr>
              <w:t>$815</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11.4%</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line="182" w:lineRule="exact"/>
              <w:rPr>
                <w:sz w:val="20"/>
                <w:szCs w:val="20"/>
                <w:color w:val="auto"/>
              </w:rPr>
            </w:pPr>
            <w:r>
              <w:rPr>
                <w:rFonts w:ascii="Arial" w:cs="Arial" w:eastAsia="Arial" w:hAnsi="Arial"/>
                <w:sz w:val="16"/>
                <w:szCs w:val="16"/>
                <w:color w:val="auto"/>
                <w:w w:val="97"/>
              </w:rPr>
              <w:t>$   911</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12.7%</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3"/>
              <w:spacing w:after="0" w:line="182" w:lineRule="exact"/>
              <w:rPr>
                <w:sz w:val="20"/>
                <w:szCs w:val="20"/>
                <w:color w:val="auto"/>
              </w:rPr>
            </w:pPr>
            <w:r>
              <w:rPr>
                <w:rFonts w:ascii="Arial" w:cs="Arial" w:eastAsia="Arial" w:hAnsi="Arial"/>
                <w:sz w:val="16"/>
                <w:szCs w:val="16"/>
                <w:color w:val="auto"/>
                <w:w w:val="92"/>
              </w:rPr>
              <w:t>$   980</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13.6%</w:t>
            </w:r>
          </w:p>
        </w:tc>
        <w:tc>
          <w:tcPr>
            <w:tcW w:w="1620" w:type="dxa"/>
            <w:vAlign w:val="bottom"/>
            <w:tcBorders>
              <w:bottom w:val="single" w:sz="8" w:color="auto"/>
            </w:tcBorders>
            <w:gridSpan w:val="2"/>
          </w:tcPr>
          <w:p>
            <w:pPr>
              <w:jc w:val="right"/>
              <w:ind w:right="345"/>
              <w:spacing w:after="0" w:line="182" w:lineRule="exact"/>
              <w:rPr>
                <w:sz w:val="20"/>
                <w:szCs w:val="20"/>
                <w:color w:val="auto"/>
              </w:rPr>
            </w:pPr>
            <w:r>
              <w:rPr>
                <w:rFonts w:ascii="Arial" w:cs="Arial" w:eastAsia="Arial" w:hAnsi="Arial"/>
                <w:sz w:val="16"/>
                <w:szCs w:val="16"/>
                <w:color w:val="auto"/>
              </w:rPr>
              <w:t>100%</w:t>
            </w:r>
          </w:p>
        </w:tc>
      </w:tr>
      <w:tr>
        <w:trPr>
          <w:trHeight w:val="182"/>
        </w:trPr>
        <w:tc>
          <w:tcPr>
            <w:tcW w:w="27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Below Target</w:t>
            </w:r>
          </w:p>
        </w:tc>
        <w:tc>
          <w:tcPr>
            <w:tcW w:w="2540" w:type="dxa"/>
            <w:vAlign w:val="bottom"/>
            <w:tcBorders>
              <w:bottom w:val="single" w:sz="8" w:color="auto"/>
            </w:tcBorders>
            <w:gridSpan w:val="2"/>
          </w:tcPr>
          <w:p>
            <w:pPr>
              <w:jc w:val="center"/>
              <w:ind w:left="1661"/>
              <w:spacing w:after="0" w:line="182" w:lineRule="exact"/>
              <w:rPr>
                <w:sz w:val="20"/>
                <w:szCs w:val="20"/>
                <w:color w:val="auto"/>
              </w:rPr>
            </w:pPr>
            <w:r>
              <w:rPr>
                <w:rFonts w:ascii="Arial" w:cs="Arial" w:eastAsia="Arial" w:hAnsi="Arial"/>
                <w:sz w:val="16"/>
                <w:szCs w:val="16"/>
                <w:color w:val="auto"/>
              </w:rPr>
              <w:t>$693</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9.7%</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3"/>
              <w:spacing w:after="0" w:line="182" w:lineRule="exact"/>
              <w:rPr>
                <w:sz w:val="20"/>
                <w:szCs w:val="20"/>
                <w:color w:val="auto"/>
              </w:rPr>
            </w:pPr>
            <w:r>
              <w:rPr>
                <w:rFonts w:ascii="Arial" w:cs="Arial" w:eastAsia="Arial" w:hAnsi="Arial"/>
                <w:sz w:val="16"/>
                <w:szCs w:val="16"/>
                <w:color w:val="auto"/>
              </w:rPr>
              <w:t>$   774</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3"/>
              <w:spacing w:after="0" w:line="182" w:lineRule="exact"/>
              <w:rPr>
                <w:sz w:val="20"/>
                <w:szCs w:val="20"/>
                <w:color w:val="auto"/>
              </w:rPr>
            </w:pPr>
            <w:r>
              <w:rPr>
                <w:rFonts w:ascii="Arial" w:cs="Arial" w:eastAsia="Arial" w:hAnsi="Arial"/>
                <w:sz w:val="16"/>
                <w:szCs w:val="16"/>
                <w:color w:val="auto"/>
              </w:rPr>
              <w:t>$   833</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11.6%</w:t>
            </w:r>
          </w:p>
        </w:tc>
        <w:tc>
          <w:tcPr>
            <w:tcW w:w="1620" w:type="dxa"/>
            <w:vAlign w:val="bottom"/>
            <w:tcBorders>
              <w:bottom w:val="single" w:sz="8" w:color="auto"/>
            </w:tcBorders>
            <w:gridSpan w:val="2"/>
          </w:tcPr>
          <w:p>
            <w:pPr>
              <w:jc w:val="right"/>
              <w:ind w:right="345"/>
              <w:spacing w:after="0" w:line="182" w:lineRule="exact"/>
              <w:rPr>
                <w:sz w:val="20"/>
                <w:szCs w:val="20"/>
                <w:color w:val="auto"/>
              </w:rPr>
            </w:pPr>
            <w:r>
              <w:rPr>
                <w:rFonts w:ascii="Arial" w:cs="Arial" w:eastAsia="Arial" w:hAnsi="Arial"/>
                <w:sz w:val="16"/>
                <w:szCs w:val="16"/>
                <w:color w:val="auto"/>
              </w:rPr>
              <w:t>50%</w:t>
            </w:r>
          </w:p>
        </w:tc>
      </w:tr>
      <w:tr>
        <w:trPr>
          <w:trHeight w:val="182"/>
        </w:trPr>
        <w:tc>
          <w:tcPr>
            <w:tcW w:w="276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Threshold</w:t>
            </w:r>
          </w:p>
        </w:tc>
        <w:tc>
          <w:tcPr>
            <w:tcW w:w="2540" w:type="dxa"/>
            <w:vAlign w:val="bottom"/>
            <w:tcBorders>
              <w:bottom w:val="single" w:sz="8" w:color="003A70"/>
            </w:tcBorders>
            <w:gridSpan w:val="2"/>
          </w:tcPr>
          <w:p>
            <w:pPr>
              <w:jc w:val="center"/>
              <w:ind w:left="1661"/>
              <w:spacing w:after="0" w:line="182" w:lineRule="exact"/>
              <w:rPr>
                <w:sz w:val="20"/>
                <w:szCs w:val="20"/>
                <w:color w:val="auto"/>
              </w:rPr>
            </w:pPr>
            <w:r>
              <w:rPr>
                <w:rFonts w:ascii="Arial" w:cs="Arial" w:eastAsia="Arial" w:hAnsi="Arial"/>
                <w:sz w:val="16"/>
                <w:szCs w:val="16"/>
                <w:color w:val="auto"/>
              </w:rPr>
              <w:t>$652</w:t>
            </w:r>
          </w:p>
        </w:tc>
        <w:tc>
          <w:tcPr>
            <w:tcW w:w="72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9.1%</w:t>
            </w:r>
          </w:p>
        </w:tc>
        <w:tc>
          <w:tcPr>
            <w:tcW w:w="26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jc w:val="center"/>
              <w:ind w:right="43"/>
              <w:spacing w:after="0" w:line="182" w:lineRule="exact"/>
              <w:rPr>
                <w:sz w:val="20"/>
                <w:szCs w:val="20"/>
                <w:color w:val="auto"/>
              </w:rPr>
            </w:pPr>
            <w:r>
              <w:rPr>
                <w:rFonts w:ascii="Arial" w:cs="Arial" w:eastAsia="Arial" w:hAnsi="Arial"/>
                <w:sz w:val="16"/>
                <w:szCs w:val="16"/>
                <w:color w:val="auto"/>
              </w:rPr>
              <w:t>$   729</w:t>
            </w:r>
          </w:p>
        </w:tc>
        <w:tc>
          <w:tcPr>
            <w:tcW w:w="72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10.2%</w:t>
            </w:r>
          </w:p>
        </w:tc>
        <w:tc>
          <w:tcPr>
            <w:tcW w:w="24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jc w:val="center"/>
              <w:ind w:right="23"/>
              <w:spacing w:after="0" w:line="182" w:lineRule="exact"/>
              <w:rPr>
                <w:sz w:val="20"/>
                <w:szCs w:val="20"/>
                <w:color w:val="auto"/>
              </w:rPr>
            </w:pPr>
            <w:r>
              <w:rPr>
                <w:rFonts w:ascii="Arial" w:cs="Arial" w:eastAsia="Arial" w:hAnsi="Arial"/>
                <w:sz w:val="16"/>
                <w:szCs w:val="16"/>
                <w:color w:val="auto"/>
              </w:rPr>
              <w:t>$   784</w:t>
            </w:r>
          </w:p>
        </w:tc>
        <w:tc>
          <w:tcPr>
            <w:tcW w:w="72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10.9%</w:t>
            </w:r>
          </w:p>
        </w:tc>
        <w:tc>
          <w:tcPr>
            <w:tcW w:w="240" w:type="dxa"/>
            <w:vAlign w:val="bottom"/>
            <w:tcBorders>
              <w:bottom w:val="single" w:sz="8" w:color="003A70"/>
            </w:tcBorders>
          </w:tcPr>
          <w:p>
            <w:pPr>
              <w:spacing w:after="0"/>
              <w:rPr>
                <w:sz w:val="15"/>
                <w:szCs w:val="15"/>
                <w:color w:val="auto"/>
              </w:rPr>
            </w:pPr>
          </w:p>
        </w:tc>
        <w:tc>
          <w:tcPr>
            <w:tcW w:w="1380" w:type="dxa"/>
            <w:vAlign w:val="bottom"/>
            <w:tcBorders>
              <w:bottom w:val="single" w:sz="8" w:color="003A70"/>
            </w:tcBorders>
          </w:tcPr>
          <w:p>
            <w:pPr>
              <w:jc w:val="right"/>
              <w:ind w:right="345"/>
              <w:spacing w:after="0" w:line="182" w:lineRule="exact"/>
              <w:rPr>
                <w:sz w:val="20"/>
                <w:szCs w:val="20"/>
                <w:color w:val="auto"/>
              </w:rPr>
            </w:pPr>
            <w:r>
              <w:rPr>
                <w:rFonts w:ascii="Arial" w:cs="Arial" w:eastAsia="Arial" w:hAnsi="Arial"/>
                <w:sz w:val="16"/>
                <w:szCs w:val="16"/>
                <w:color w:val="auto"/>
              </w:rPr>
              <w:t>—%</w:t>
            </w:r>
          </w:p>
        </w:tc>
      </w:tr>
    </w:tbl>
    <w:p>
      <w:pPr>
        <w:spacing w:after="0" w:line="94" w:lineRule="exact"/>
        <w:rPr>
          <w:sz w:val="20"/>
          <w:szCs w:val="20"/>
          <w:color w:val="auto"/>
        </w:rPr>
      </w:pPr>
    </w:p>
    <w:p>
      <w:pPr>
        <w:jc w:val="both"/>
        <w:ind w:left="140" w:right="60"/>
        <w:spacing w:after="0" w:line="265" w:lineRule="auto"/>
        <w:rPr>
          <w:sz w:val="20"/>
          <w:szCs w:val="20"/>
          <w:color w:val="auto"/>
        </w:rPr>
      </w:pPr>
      <w:r>
        <w:rPr>
          <w:rFonts w:ascii="Arial" w:cs="Arial" w:eastAsia="Arial" w:hAnsi="Arial"/>
          <w:sz w:val="16"/>
          <w:szCs w:val="16"/>
          <w:color w:val="auto"/>
        </w:rPr>
        <w:t>If performance falls between levels, the vesting percentage will be determined by the CPC based on straight-line interpolation; provided, however, that no payout will be made with respect to either the Adjusted EBITDA performance objective or the Adjusted ROIC performance objective for achievement less than threshold.</w:t>
      </w:r>
    </w:p>
    <w:p>
      <w:pPr>
        <w:spacing w:after="0" w:line="63" w:lineRule="exact"/>
        <w:rPr>
          <w:sz w:val="20"/>
          <w:szCs w:val="20"/>
          <w:color w:val="auto"/>
        </w:rPr>
      </w:pPr>
    </w:p>
    <w:p>
      <w:pPr>
        <w:ind w:left="140" w:right="140"/>
        <w:spacing w:after="0" w:line="251" w:lineRule="auto"/>
        <w:rPr>
          <w:sz w:val="20"/>
          <w:szCs w:val="20"/>
          <w:color w:val="auto"/>
        </w:rPr>
      </w:pPr>
      <w:r>
        <w:rPr>
          <w:rFonts w:ascii="Arial" w:cs="Arial" w:eastAsia="Arial" w:hAnsi="Arial"/>
          <w:sz w:val="16"/>
          <w:szCs w:val="16"/>
          <w:color w:val="auto"/>
        </w:rPr>
        <w:t>Performance Units will not vest if the named executive officer does not continue to be an active employee of the Company during the entire period from the grant date through the performance period (unless the named executive officer retires as an approved retiree or dies or is disabled during such period) or engages in competition or acts that are or potentially are injurious to the Company’s operations, financial condition or business reputation during that period; the named executive officers are also prohibited from soliciting any of our employees to leave our employment during the period from the grant date until the first anniversary of the termination of the officer’s employment for any reason. If a named executive officer retires as an approved retiree during the performance period, a pro rata portion of the Performance Units will continue to vest on the same terms. If a named executive officer dies or is disabled during the performance period, a pro-rata portion of the Performance Units will vest assuming achievement at the target level of performance.</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Performance Units Vested in 2024</w:t>
      </w:r>
    </w:p>
    <w:p>
      <w:pPr>
        <w:spacing w:after="0" w:line="100" w:lineRule="exact"/>
        <w:rPr>
          <w:sz w:val="20"/>
          <w:szCs w:val="20"/>
          <w:color w:val="auto"/>
        </w:rPr>
      </w:pPr>
    </w:p>
    <w:p>
      <w:pPr>
        <w:ind w:left="140" w:right="100"/>
        <w:spacing w:after="0" w:line="255" w:lineRule="auto"/>
        <w:rPr>
          <w:sz w:val="20"/>
          <w:szCs w:val="20"/>
          <w:color w:val="auto"/>
        </w:rPr>
      </w:pPr>
      <w:r>
        <w:rPr>
          <w:rFonts w:ascii="Arial" w:cs="Arial" w:eastAsia="Arial" w:hAnsi="Arial"/>
          <w:sz w:val="16"/>
          <w:szCs w:val="16"/>
          <w:color w:val="auto"/>
        </w:rPr>
        <w:t>Following the end of 2024, each of the named executive officers received shares upon the vesting of the Performance Units granted in 2022. These performance shares represented the right to receive shares of our common stock at the end of the performance period beginning January 1, 2022, and ending December 31, 2024, in an amount determined based on the Company’s cumulative achievement over the performance period with respect to two performance objectives: Adjusted EBITDA and Adjusted ROIC, each weighted equally. The targets were set in February of 2022 at levels we believed to be achievable but not certain to be met.</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003A70"/>
              </w:rPr>
              <w:t>Payout as a Percent</w:t>
            </w:r>
          </w:p>
        </w:tc>
      </w:tr>
      <w:tr>
        <w:trPr>
          <w:trHeight w:val="178"/>
        </w:trPr>
        <w:tc>
          <w:tcPr>
            <w:tcW w:w="41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Criteria</w:t>
            </w:r>
          </w:p>
        </w:tc>
        <w:tc>
          <w:tcPr>
            <w:tcW w:w="3160" w:type="dxa"/>
            <w:vAlign w:val="bottom"/>
            <w:tcBorders>
              <w:bottom w:val="single" w:sz="8" w:color="003A70"/>
            </w:tcBorders>
          </w:tcPr>
          <w:p>
            <w:pPr>
              <w:jc w:val="right"/>
              <w:ind w:right="162"/>
              <w:spacing w:after="0"/>
              <w:rPr>
                <w:sz w:val="20"/>
                <w:szCs w:val="20"/>
                <w:color w:val="auto"/>
              </w:rPr>
            </w:pPr>
            <w:r>
              <w:rPr>
                <w:rFonts w:ascii="Arial" w:cs="Arial" w:eastAsia="Arial" w:hAnsi="Arial"/>
                <w:sz w:val="14"/>
                <w:szCs w:val="14"/>
                <w:b w:val="1"/>
                <w:bCs w:val="1"/>
                <w:color w:val="003A70"/>
              </w:rPr>
              <w:t>Threshold</w:t>
            </w:r>
          </w:p>
        </w:tc>
        <w:tc>
          <w:tcPr>
            <w:tcW w:w="1180" w:type="dxa"/>
            <w:vAlign w:val="bottom"/>
            <w:tcBorders>
              <w:bottom w:val="single" w:sz="8" w:color="003A70"/>
            </w:tcBorders>
          </w:tcPr>
          <w:p>
            <w:pPr>
              <w:jc w:val="right"/>
              <w:ind w:right="302"/>
              <w:spacing w:after="0"/>
              <w:rPr>
                <w:sz w:val="20"/>
                <w:szCs w:val="20"/>
                <w:color w:val="auto"/>
              </w:rPr>
            </w:pPr>
            <w:r>
              <w:rPr>
                <w:rFonts w:ascii="Arial" w:cs="Arial" w:eastAsia="Arial" w:hAnsi="Arial"/>
                <w:sz w:val="14"/>
                <w:szCs w:val="14"/>
                <w:b w:val="1"/>
                <w:bCs w:val="1"/>
                <w:color w:val="003A70"/>
              </w:rPr>
              <w:t>Target</w:t>
            </w:r>
          </w:p>
        </w:tc>
        <w:tc>
          <w:tcPr>
            <w:tcW w:w="1160" w:type="dxa"/>
            <w:vAlign w:val="bottom"/>
            <w:tcBorders>
              <w:bottom w:val="single" w:sz="8" w:color="003A70"/>
            </w:tcBorders>
          </w:tcPr>
          <w:p>
            <w:pPr>
              <w:jc w:val="right"/>
              <w:ind w:right="62"/>
              <w:spacing w:after="0"/>
              <w:rPr>
                <w:sz w:val="20"/>
                <w:szCs w:val="20"/>
                <w:color w:val="auto"/>
              </w:rPr>
            </w:pPr>
            <w:r>
              <w:rPr>
                <w:rFonts w:ascii="Arial" w:cs="Arial" w:eastAsia="Arial" w:hAnsi="Arial"/>
                <w:sz w:val="14"/>
                <w:szCs w:val="14"/>
                <w:b w:val="1"/>
                <w:bCs w:val="1"/>
                <w:color w:val="003A70"/>
              </w:rPr>
              <w:t>Achievement</w:t>
            </w:r>
          </w:p>
        </w:tc>
        <w:tc>
          <w:tcPr>
            <w:tcW w:w="1380" w:type="dxa"/>
            <w:vAlign w:val="bottom"/>
            <w:tcBorders>
              <w:bottom w:val="single" w:sz="8" w:color="003A70"/>
            </w:tcBorders>
          </w:tcPr>
          <w:p>
            <w:pPr>
              <w:jc w:val="right"/>
              <w:ind w:right="323"/>
              <w:spacing w:after="0"/>
              <w:rPr>
                <w:sz w:val="20"/>
                <w:szCs w:val="20"/>
                <w:color w:val="auto"/>
              </w:rPr>
            </w:pPr>
            <w:r>
              <w:rPr>
                <w:rFonts w:ascii="Arial" w:cs="Arial" w:eastAsia="Arial" w:hAnsi="Arial"/>
                <w:sz w:val="14"/>
                <w:szCs w:val="14"/>
                <w:b w:val="1"/>
                <w:bCs w:val="1"/>
                <w:color w:val="003A70"/>
              </w:rPr>
              <w:t>of Target</w:t>
            </w:r>
          </w:p>
        </w:tc>
      </w:tr>
      <w:tr>
        <w:trPr>
          <w:trHeight w:val="188"/>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Cumulative Adjusted EBITDA</w:t>
            </w:r>
          </w:p>
        </w:tc>
        <w:tc>
          <w:tcPr>
            <w:tcW w:w="3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$2,356 million</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$2,945 million</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$2,472 million</w:t>
            </w:r>
          </w:p>
        </w:tc>
        <w:tc>
          <w:tcPr>
            <w:tcW w:w="13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39.48%</w:t>
            </w:r>
          </w:p>
        </w:tc>
      </w:tr>
      <w:tr>
        <w:trPr>
          <w:trHeight w:val="182"/>
        </w:trPr>
        <w:tc>
          <w:tcPr>
            <w:tcW w:w="410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Adjusted ROIC</w:t>
            </w:r>
          </w:p>
        </w:tc>
        <w:tc>
          <w:tcPr>
            <w:tcW w:w="3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11.4%</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14.3%</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11.3%</w:t>
            </w:r>
          </w:p>
        </w:tc>
        <w:tc>
          <w:tcPr>
            <w:tcW w:w="1380" w:type="dxa"/>
            <w:vAlign w:val="bottom"/>
            <w:tcBorders>
              <w:bottom w:val="single" w:sz="8" w:color="auto"/>
            </w:tcBorders>
          </w:tcPr>
          <w:p>
            <w:pPr>
              <w:jc w:val="right"/>
              <w:ind w:right="223"/>
              <w:spacing w:after="0" w:line="182" w:lineRule="exact"/>
              <w:rPr>
                <w:sz w:val="20"/>
                <w:szCs w:val="20"/>
                <w:color w:val="auto"/>
              </w:rPr>
            </w:pPr>
            <w:r>
              <w:rPr>
                <w:rFonts w:ascii="Arial" w:cs="Arial" w:eastAsia="Arial" w:hAnsi="Arial"/>
                <w:sz w:val="16"/>
                <w:szCs w:val="16"/>
                <w:color w:val="auto"/>
              </w:rPr>
              <w:t>0.00%</w:t>
            </w:r>
          </w:p>
        </w:tc>
      </w:tr>
      <w:tr>
        <w:trPr>
          <w:trHeight w:val="182"/>
        </w:trPr>
        <w:tc>
          <w:tcPr>
            <w:tcW w:w="4100" w:type="dxa"/>
            <w:vAlign w:val="bottom"/>
            <w:tcBorders>
              <w:bottom w:val="single" w:sz="8" w:color="003A70"/>
            </w:tcBorders>
          </w:tcPr>
          <w:p>
            <w:pPr>
              <w:spacing w:after="0"/>
              <w:rPr>
                <w:sz w:val="15"/>
                <w:szCs w:val="15"/>
                <w:color w:val="auto"/>
              </w:rPr>
            </w:pPr>
          </w:p>
        </w:tc>
        <w:tc>
          <w:tcPr>
            <w:tcW w:w="3160" w:type="dxa"/>
            <w:vAlign w:val="bottom"/>
            <w:tcBorders>
              <w:bottom w:val="single" w:sz="8" w:color="003A70"/>
            </w:tcBorders>
          </w:tcPr>
          <w:p>
            <w:pPr>
              <w:spacing w:after="0"/>
              <w:rPr>
                <w:sz w:val="15"/>
                <w:szCs w:val="15"/>
                <w:color w:val="auto"/>
              </w:rPr>
            </w:pPr>
          </w:p>
        </w:tc>
        <w:tc>
          <w:tcPr>
            <w:tcW w:w="1180" w:type="dxa"/>
            <w:vAlign w:val="bottom"/>
            <w:tcBorders>
              <w:bottom w:val="single" w:sz="8" w:color="003A70"/>
            </w:tcBorders>
          </w:tcPr>
          <w:p>
            <w:pPr>
              <w:spacing w:after="0"/>
              <w:rPr>
                <w:sz w:val="15"/>
                <w:szCs w:val="15"/>
                <w:color w:val="auto"/>
              </w:rPr>
            </w:pPr>
          </w:p>
        </w:tc>
        <w:tc>
          <w:tcPr>
            <w:tcW w:w="1160" w:type="dxa"/>
            <w:vAlign w:val="bottom"/>
            <w:tcBorders>
              <w:bottom w:val="single" w:sz="8" w:color="003A70"/>
            </w:tcBorders>
          </w:tcPr>
          <w:p>
            <w:pPr>
              <w:spacing w:after="0"/>
              <w:rPr>
                <w:sz w:val="15"/>
                <w:szCs w:val="15"/>
                <w:color w:val="auto"/>
              </w:rPr>
            </w:pPr>
          </w:p>
        </w:tc>
        <w:tc>
          <w:tcPr>
            <w:tcW w:w="1380" w:type="dxa"/>
            <w:vAlign w:val="bottom"/>
            <w:tcBorders>
              <w:bottom w:val="single" w:sz="8" w:color="003A70"/>
            </w:tcBorders>
          </w:tcPr>
          <w:p>
            <w:pPr>
              <w:jc w:val="right"/>
              <w:ind w:right="223"/>
              <w:spacing w:after="0" w:line="182" w:lineRule="exact"/>
              <w:rPr>
                <w:sz w:val="20"/>
                <w:szCs w:val="20"/>
                <w:color w:val="auto"/>
              </w:rPr>
            </w:pPr>
            <w:r>
              <w:rPr>
                <w:rFonts w:ascii="Arial" w:cs="Arial" w:eastAsia="Arial" w:hAnsi="Arial"/>
                <w:sz w:val="16"/>
                <w:szCs w:val="16"/>
                <w:color w:val="auto"/>
              </w:rPr>
              <w:t>19.74%</w:t>
            </w:r>
          </w:p>
        </w:tc>
      </w:tr>
    </w:tbl>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 a result of such performance, the named executive officers received the following number of shares: 1,298 for Mr. Geller, 91 for Mr. Marino, 779 for Mr.</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Miller, 584 for Mr. Hunter, 577 for Ms. Marbert, and 260 for Ms. Gustafson.</w:t>
      </w:r>
    </w:p>
    <w:p>
      <w:pPr>
        <w:spacing w:after="0" w:line="304"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2025—2027 Performance Units</w:t>
      </w:r>
    </w:p>
    <w:p>
      <w:pPr>
        <w:spacing w:after="0" w:line="100" w:lineRule="exact"/>
        <w:rPr>
          <w:sz w:val="20"/>
          <w:szCs w:val="20"/>
          <w:color w:val="auto"/>
        </w:rPr>
      </w:pPr>
    </w:p>
    <w:p>
      <w:pPr>
        <w:ind w:left="140" w:right="120"/>
        <w:spacing w:after="0" w:line="253" w:lineRule="auto"/>
        <w:rPr>
          <w:sz w:val="20"/>
          <w:szCs w:val="20"/>
          <w:color w:val="auto"/>
        </w:rPr>
      </w:pPr>
      <w:r>
        <w:rPr>
          <w:rFonts w:ascii="Arial" w:cs="Arial" w:eastAsia="Arial" w:hAnsi="Arial"/>
          <w:sz w:val="16"/>
          <w:szCs w:val="16"/>
          <w:color w:val="auto"/>
        </w:rPr>
        <w:t>In establishing the metrics for the 2025-2027 Performance Units, consideration was given to investor feedback. After evaluating metrics to align management and stockholder interests, the CPC approved the substitution of Adjusted EPS in lieu of Adjusted EBITDA, which had been used as a performance metric for the most recent long-term incentive awards. As a result, for the 2025-2027 Performance Units, Adjusted EPS and Adjusted ROIC will each be weighted 50% for the measurement of management’s performance for the 2025-2027 performance period. The CPC believes the change to Adjusted EPS will better align the Company’s long-term incentive program with stockholder expectations while promoting sustained performance of the Company over both the shorter- and longer-term.</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Other Compensation</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Perquisites</w:t>
      </w:r>
    </w:p>
    <w:p>
      <w:pPr>
        <w:spacing w:after="0" w:line="100" w:lineRule="exact"/>
        <w:rPr>
          <w:sz w:val="20"/>
          <w:szCs w:val="20"/>
          <w:color w:val="auto"/>
        </w:rPr>
      </w:pPr>
    </w:p>
    <w:p>
      <w:pPr>
        <w:ind w:left="140" w:right="60"/>
        <w:spacing w:after="0" w:line="255" w:lineRule="auto"/>
        <w:rPr>
          <w:sz w:val="20"/>
          <w:szCs w:val="20"/>
          <w:color w:val="auto"/>
        </w:rPr>
      </w:pPr>
      <w:r>
        <w:rPr>
          <w:rFonts w:ascii="Arial" w:cs="Arial" w:eastAsia="Arial" w:hAnsi="Arial"/>
          <w:sz w:val="16"/>
          <w:szCs w:val="16"/>
          <w:color w:val="auto"/>
        </w:rPr>
        <w:t>In 2024, we offered minimal perquisites consisting of a limited number of compensatory room nights, an executive physical exam benefit and a status upgrade in the Marriott Bonvoy program. The value of these benefits were included in the executives’ wages for tax purposes to the extent required, and we did not provide tax gross-ups to the executives with respect to these benefits. The Company owns a fractional interest in a corporate jet to support the conduct of its business. Executives are only permitted to utilize the jet for personal purposes if approved by the Company’s CEO and the executive pays the hourly costs of such flight.</w:t>
      </w:r>
    </w:p>
    <w:p>
      <w:pPr>
        <w:spacing w:after="0" w:line="113" w:lineRule="exact"/>
        <w:rPr>
          <w:sz w:val="20"/>
          <w:szCs w:val="20"/>
          <w:color w:val="auto"/>
        </w:rPr>
      </w:pPr>
    </w:p>
    <w:p>
      <w:pPr>
        <w:ind w:left="140"/>
        <w:spacing w:after="0"/>
        <w:tabs>
          <w:tab w:leader="none" w:pos="47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8"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Other Benefits</w:t>
      </w:r>
    </w:p>
    <w:p>
      <w:pPr>
        <w:spacing w:after="0" w:line="100" w:lineRule="exact"/>
        <w:rPr>
          <w:sz w:val="20"/>
          <w:szCs w:val="20"/>
          <w:color w:val="auto"/>
        </w:rPr>
      </w:pPr>
    </w:p>
    <w:p>
      <w:pPr>
        <w:ind w:left="140" w:right="120"/>
        <w:spacing w:after="0" w:line="250" w:lineRule="auto"/>
        <w:rPr>
          <w:sz w:val="20"/>
          <w:szCs w:val="20"/>
          <w:color w:val="auto"/>
        </w:rPr>
      </w:pPr>
      <w:r>
        <w:rPr>
          <w:rFonts w:ascii="Arial" w:cs="Arial" w:eastAsia="Arial" w:hAnsi="Arial"/>
          <w:sz w:val="16"/>
          <w:szCs w:val="16"/>
          <w:color w:val="auto"/>
        </w:rPr>
        <w:t>Named executive officers can participate in the same plans and programs offered to all our eligible employees. Some of these benefits were paid for by the executives, such as elective deferrals under the Marriott Vacations Worldwide Corporation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 The Company transitioned to a personalized paid time off program in 2024 in which the named executive officers participate. Where permitted by law, associates affected by the transition, including named executive officers, were compensated for accrued but unused Paid Time Off at a 50% exchange rate. These amounts are reflected in the Salary reported in the Summary Compensation Table.</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Long-Term Disability Plan</w:t>
      </w:r>
    </w:p>
    <w:p>
      <w:pPr>
        <w:spacing w:after="0" w:line="100" w:lineRule="exact"/>
        <w:rPr>
          <w:sz w:val="20"/>
          <w:szCs w:val="20"/>
          <w:color w:val="auto"/>
        </w:rPr>
      </w:pPr>
    </w:p>
    <w:p>
      <w:pPr>
        <w:ind w:left="140" w:right="40"/>
        <w:spacing w:after="0" w:line="258" w:lineRule="auto"/>
        <w:rPr>
          <w:sz w:val="20"/>
          <w:szCs w:val="20"/>
          <w:color w:val="auto"/>
        </w:rPr>
      </w:pPr>
      <w:r>
        <w:rPr>
          <w:rFonts w:ascii="Arial" w:cs="Arial" w:eastAsia="Arial" w:hAnsi="Arial"/>
          <w:sz w:val="16"/>
          <w:szCs w:val="16"/>
          <w:color w:val="auto"/>
        </w:rPr>
        <w:t>Our named executive officers and approximately 418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70" w:lineRule="exact"/>
        <w:rPr>
          <w:sz w:val="20"/>
          <w:szCs w:val="20"/>
          <w:color w:val="auto"/>
        </w:rPr>
      </w:pPr>
    </w:p>
    <w:p>
      <w:pPr>
        <w:ind w:left="140" w:right="20"/>
        <w:spacing w:after="0" w:line="251" w:lineRule="auto"/>
        <w:rPr>
          <w:sz w:val="20"/>
          <w:szCs w:val="20"/>
          <w:color w:val="auto"/>
        </w:rPr>
      </w:pPr>
      <w:r>
        <w:rPr>
          <w:rFonts w:ascii="Arial" w:cs="Arial" w:eastAsia="Arial" w:hAnsi="Arial"/>
          <w:sz w:val="16"/>
          <w:szCs w:val="16"/>
          <w:color w:val="auto"/>
        </w:rPr>
        <w:t>The LTD Plan consists of two parts: (1) a group long-term disability policy (the “Group Policy”) that pays, after a 180-day elimination period, 60 percent of eligible compensation, which initially consists of base salary,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named executive officers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Life Insurance</w:t>
      </w:r>
    </w:p>
    <w:p>
      <w:pPr>
        <w:spacing w:after="0" w:line="100" w:lineRule="exact"/>
        <w:rPr>
          <w:sz w:val="20"/>
          <w:szCs w:val="20"/>
          <w:color w:val="auto"/>
        </w:rPr>
      </w:pPr>
    </w:p>
    <w:p>
      <w:pPr>
        <w:ind w:left="140" w:right="40"/>
        <w:spacing w:after="0" w:line="284" w:lineRule="auto"/>
        <w:rPr>
          <w:sz w:val="20"/>
          <w:szCs w:val="20"/>
          <w:color w:val="auto"/>
        </w:rPr>
      </w:pPr>
      <w:r>
        <w:rPr>
          <w:rFonts w:ascii="Arial" w:cs="Arial" w:eastAsia="Arial" w:hAnsi="Arial"/>
          <w:sz w:val="16"/>
          <w:szCs w:val="16"/>
          <w:color w:val="auto"/>
        </w:rPr>
        <w:t>We pay for life insurance with a payout to designated beneficiaries on death for Mr. Geller in the amount of two times his base salary (up to a maximum of $1.5 million) and for each other named executive officer in the amount of one times their base salary (up to a maximum of $750,000).</w:t>
      </w:r>
    </w:p>
    <w:p>
      <w:pPr>
        <w:spacing w:after="0" w:line="257"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401(k) Plan</w:t>
      </w:r>
    </w:p>
    <w:p>
      <w:pPr>
        <w:spacing w:after="0" w:line="100" w:lineRule="exact"/>
        <w:rPr>
          <w:sz w:val="20"/>
          <w:szCs w:val="20"/>
          <w:color w:val="auto"/>
        </w:rPr>
      </w:pPr>
    </w:p>
    <w:p>
      <w:pPr>
        <w:ind w:left="140" w:right="120"/>
        <w:spacing w:after="0" w:line="253" w:lineRule="auto"/>
        <w:rPr>
          <w:sz w:val="20"/>
          <w:szCs w:val="20"/>
          <w:color w:val="auto"/>
        </w:rPr>
      </w:pPr>
      <w:r>
        <w:rPr>
          <w:rFonts w:ascii="Arial" w:cs="Arial" w:eastAsia="Arial" w:hAnsi="Arial"/>
          <w:sz w:val="16"/>
          <w:szCs w:val="16"/>
          <w:color w:val="auto"/>
        </w:rPr>
        <w:t>Our named executive officers are eligible to participate in our 401(k) Plan on the same basis as our other associates. Participants in the 401(k) Plan may contribute a portion of their compensation to the plan each year. Our highly compensated employees, including the named executive officers,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named executive officers for 2024 are shown in the “All Other Compensation” column of the Summary Compensation Table below.</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Deferred Compensation</w:t>
      </w:r>
    </w:p>
    <w:p>
      <w:pPr>
        <w:spacing w:after="0" w:line="100" w:lineRule="exact"/>
        <w:rPr>
          <w:sz w:val="20"/>
          <w:szCs w:val="20"/>
          <w:color w:val="auto"/>
        </w:rPr>
      </w:pPr>
    </w:p>
    <w:p>
      <w:pPr>
        <w:ind w:left="140" w:right="180"/>
        <w:spacing w:after="0" w:line="258" w:lineRule="auto"/>
        <w:rPr>
          <w:sz w:val="20"/>
          <w:szCs w:val="20"/>
          <w:color w:val="auto"/>
        </w:rPr>
      </w:pPr>
      <w:r>
        <w:rPr>
          <w:rFonts w:ascii="Arial" w:cs="Arial" w:eastAsia="Arial" w:hAnsi="Arial"/>
          <w:sz w:val="16"/>
          <w:szCs w:val="16"/>
          <w:color w:val="auto"/>
        </w:rPr>
        <w:t>Our named executive officers and approximately 1,250 other associates are eligible to participate in the MVW Deferred Compensation Plan. In addition, some of our named executive officers have balances under the Marriott International, Inc. Executive Deferred Compensation Plan (“Marriott Deferred Compensation Plan”), in which many of them were able to participate prior to the Company’s spin-off from Marriott International, Inc. in 2011 (the “Spin-Off”).</w:t>
      </w:r>
    </w:p>
    <w:p>
      <w:pPr>
        <w:spacing w:after="0" w:line="70" w:lineRule="exact"/>
        <w:rPr>
          <w:sz w:val="20"/>
          <w:szCs w:val="20"/>
          <w:color w:val="auto"/>
        </w:rPr>
      </w:pPr>
    </w:p>
    <w:p>
      <w:pPr>
        <w:ind w:left="140" w:right="140"/>
        <w:spacing w:after="0" w:line="255" w:lineRule="auto"/>
        <w:rPr>
          <w:sz w:val="20"/>
          <w:szCs w:val="20"/>
          <w:color w:val="auto"/>
        </w:rPr>
      </w:pPr>
      <w:r>
        <w:rPr>
          <w:rFonts w:ascii="Arial" w:cs="Arial" w:eastAsia="Arial" w:hAnsi="Arial"/>
          <w:sz w:val="16"/>
          <w:szCs w:val="16"/>
          <w:color w:val="auto"/>
        </w:rPr>
        <w:t>We provide the MVW Deferred Compensation Plan because the CPC wishes to permit certain of our employees to defer the obligation to pay taxes on compensation and bonuses that they are entitled to receive. The MVW Deferred Compensation Plan permits them to do this, while also receiving a fixed rate of return (determined annually prior to the start of the plan year) or a rate of return based on various market-based investment alternatives on deferred amounts. We believe that providing this benefit is important as a retention and recruitment tool as many of the companies with which we compete for executive talent provide a similar plan for their senior employees.</w:t>
      </w:r>
    </w:p>
    <w:p>
      <w:pPr>
        <w:spacing w:after="0" w:line="72" w:lineRule="exact"/>
        <w:rPr>
          <w:sz w:val="20"/>
          <w:szCs w:val="20"/>
          <w:color w:val="auto"/>
        </w:rPr>
      </w:pPr>
    </w:p>
    <w:p>
      <w:pPr>
        <w:ind w:left="140" w:right="40"/>
        <w:spacing w:after="0" w:line="250" w:lineRule="auto"/>
        <w:rPr>
          <w:sz w:val="20"/>
          <w:szCs w:val="20"/>
          <w:color w:val="auto"/>
        </w:rPr>
      </w:pPr>
      <w:r>
        <w:rPr>
          <w:rFonts w:ascii="Arial" w:cs="Arial" w:eastAsia="Arial" w:hAnsi="Arial"/>
          <w:sz w:val="16"/>
          <w:szCs w:val="16"/>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(unless otherwise determined), provided that the participant remains in continued service with the Company. On a participant’s separation from service, unvested discretionary employer credits are generally forfeited. Upon a change in control of the Company, a participant’s death, or a participant’s retirement after reaching age 55 and completing ten years of service, all employer credits will immediately vest in full.</w:t>
      </w:r>
    </w:p>
    <w:p>
      <w:pPr>
        <w:sectPr>
          <w:pgSz w:w="11900" w:h="16838" w:orient="portrait"/>
          <w:cols w:equalWidth="0" w:num="1">
            <w:col w:w="11120"/>
          </w:cols>
          <w:pgMar w:left="320" w:top="480" w:right="459" w:bottom="1440" w:gutter="0" w:footer="0" w:header="0"/>
        </w:sectPr>
      </w:pPr>
    </w:p>
    <w:p>
      <w:pPr>
        <w:spacing w:after="0" w:line="116" w:lineRule="exact"/>
        <w:rPr>
          <w:sz w:val="20"/>
          <w:szCs w:val="20"/>
          <w:color w:val="auto"/>
        </w:rPr>
      </w:pPr>
    </w:p>
    <w:p>
      <w:pPr>
        <w:ind w:left="14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34</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100"/>
        <w:spacing w:after="0" w:line="250" w:lineRule="auto"/>
        <w:rPr>
          <w:sz w:val="20"/>
          <w:szCs w:val="20"/>
          <w:color w:val="auto"/>
        </w:rPr>
      </w:pPr>
      <w:r>
        <w:rPr>
          <w:rFonts w:ascii="Arial" w:cs="Arial" w:eastAsia="Arial" w:hAnsi="Arial"/>
          <w:sz w:val="16"/>
          <w:szCs w:val="16"/>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 Alternatively, a participant may elect to receive his or her deferred amounts and vested employer credits in a lump sum in January of a specified year, so long as employer credits are deferred for at least four years and all other amounts are deferred for at least three years. The Company has adopted a special grantor trust to provide protection, up to the amounts set aside in the trust, against the risk of shifting corporate priorities, the Company’s inability to pay benefits, and/or the occurrence of a change in control. The trust does not protect against the risk of corporate insolvency. To enable the Company to meet its financial commitment under the plan, the Company, by way of the established trust, has acquired a Corporate Owned Life Insurance policy on the lives of certain participants in the MVW Deferred Compensation Plan, the proceeds of which are payable to the trust. Participants whose lives are insured consent to this insurance and understand this insurance will be owned by and payable to the trust.</w:t>
      </w:r>
    </w:p>
    <w:p>
      <w:pPr>
        <w:spacing w:after="0" w:line="78"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For 2024, participants were able to select a fixed rate of return of 3.5% or a rate of return based on various market-based investment alternatives, such as mutual funds with various investment profiles, and were also able to select such a rate for their existing account balances.</w:t>
      </w:r>
    </w:p>
    <w:p>
      <w:pPr>
        <w:spacing w:after="0" w:line="49" w:lineRule="exact"/>
        <w:rPr>
          <w:sz w:val="20"/>
          <w:szCs w:val="20"/>
          <w:color w:val="auto"/>
        </w:rPr>
      </w:pPr>
    </w:p>
    <w:p>
      <w:pPr>
        <w:jc w:val="both"/>
        <w:ind w:left="140" w:right="60"/>
        <w:spacing w:after="0" w:line="265" w:lineRule="auto"/>
        <w:rPr>
          <w:sz w:val="20"/>
          <w:szCs w:val="20"/>
          <w:color w:val="auto"/>
        </w:rPr>
      </w:pPr>
      <w:r>
        <w:rPr>
          <w:rFonts w:ascii="Arial" w:cs="Arial" w:eastAsia="Arial" w:hAnsi="Arial"/>
          <w:sz w:val="16"/>
          <w:szCs w:val="16"/>
          <w:color w:val="auto"/>
        </w:rPr>
        <w:t>Earnings under the MVW Deferred Compensation Plan or the Marriott Deferred Compensation Plan that were credited at a fixed rate of interest in excess of 120% of the applicable federal long-term rate are reported in the Change in Pension Value and Nonqualified Deferred Compensation Earnings column of the Summary Compensation Table.</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Employee Stock Purchase Plan</w:t>
      </w:r>
    </w:p>
    <w:p>
      <w:pPr>
        <w:spacing w:after="0" w:line="100" w:lineRule="exact"/>
        <w:rPr>
          <w:sz w:val="20"/>
          <w:szCs w:val="20"/>
          <w:color w:val="auto"/>
        </w:rPr>
      </w:pPr>
    </w:p>
    <w:p>
      <w:pPr>
        <w:ind w:left="140" w:right="40"/>
        <w:spacing w:after="0" w:line="258" w:lineRule="auto"/>
        <w:rPr>
          <w:sz w:val="20"/>
          <w:szCs w:val="20"/>
          <w:color w:val="auto"/>
        </w:rPr>
      </w:pPr>
      <w:r>
        <w:rPr>
          <w:rFonts w:ascii="Arial" w:cs="Arial" w:eastAsia="Arial" w:hAnsi="Arial"/>
          <w:sz w:val="16"/>
          <w:szCs w:val="16"/>
          <w:color w:val="auto"/>
        </w:rPr>
        <w:t>The Marriott Vacations Worldwide Corporation Employee Stock Purchase Plan (the “ESPP”) is intended to provide the Company’s eligible employees, including our named executive officers, with an opportunity to participate in the Company’s success by permitting them to acquire an ownership interest in the Company through periodic payroll deductions that will be applied towards the purchase of shares of our common stock at a five percent discount from the average of the high and low stock price on the last day of the offering period.</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20"/>
          <w:szCs w:val="20"/>
          <w:i w:val="1"/>
          <w:iCs w:val="1"/>
          <w:color w:val="auto"/>
        </w:rPr>
        <w:t>Change in Control Arrangements</w:t>
      </w:r>
    </w:p>
    <w:p>
      <w:pPr>
        <w:spacing w:after="0" w:line="100" w:lineRule="exact"/>
        <w:rPr>
          <w:sz w:val="20"/>
          <w:szCs w:val="20"/>
          <w:color w:val="auto"/>
        </w:rPr>
      </w:pPr>
    </w:p>
    <w:p>
      <w:pPr>
        <w:ind w:left="140" w:right="20"/>
        <w:spacing w:after="0" w:line="251" w:lineRule="auto"/>
        <w:rPr>
          <w:sz w:val="20"/>
          <w:szCs w:val="20"/>
          <w:color w:val="auto"/>
        </w:rPr>
      </w:pPr>
      <w:r>
        <w:rPr>
          <w:rFonts w:ascii="Arial" w:cs="Arial" w:eastAsia="Arial" w:hAnsi="Arial"/>
          <w:sz w:val="16"/>
          <w:szCs w:val="16"/>
          <w:color w:val="auto"/>
        </w:rPr>
        <w:t>Our named executive officers are participants in the Marriott Vacations Worldwide Corporation Change in Control Severance Plan (the “Change in Control Plan”).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75"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President and Chief Executive Officer of the Company) the sum of his or her Base Salary and Target Bonus (as those terms are defined in the Change in Control Plan); (2) twenty-four months (or thirty-six months, in the case of the President and Chief Executive Officer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target bonus for the fiscal year in which the executive officer’s employment is terminated.</w:t>
      </w:r>
    </w:p>
    <w:p>
      <w:pPr>
        <w:spacing w:after="0" w:line="80"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CPC, distributions may be made in the form of a cash payment equal in amount to the value of the shares distributed or, in the case of options or SARs, the intrinsic value of such awards.</w:t>
      </w:r>
    </w:p>
    <w:p>
      <w:pPr>
        <w:spacing w:after="0" w:line="80" w:lineRule="exact"/>
        <w:rPr>
          <w:sz w:val="20"/>
          <w:szCs w:val="20"/>
          <w:color w:val="auto"/>
        </w:rPr>
      </w:pPr>
    </w:p>
    <w:p>
      <w:pPr>
        <w:ind w:left="140" w:right="120"/>
        <w:spacing w:after="0" w:line="265" w:lineRule="auto"/>
        <w:rPr>
          <w:sz w:val="20"/>
          <w:szCs w:val="20"/>
          <w:color w:val="auto"/>
        </w:rPr>
      </w:pPr>
      <w:r>
        <w:rPr>
          <w:rFonts w:ascii="Arial" w:cs="Arial" w:eastAsia="Arial" w:hAnsi="Arial"/>
          <w:sz w:val="16"/>
          <w:szCs w:val="16"/>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104" w:lineRule="exact"/>
        <w:rPr>
          <w:sz w:val="20"/>
          <w:szCs w:val="20"/>
          <w:color w:val="auto"/>
        </w:rPr>
      </w:pPr>
    </w:p>
    <w:p>
      <w:pPr>
        <w:ind w:left="140"/>
        <w:spacing w:after="0"/>
        <w:tabs>
          <w:tab w:leader="none" w:pos="47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Clawbacks</w:t>
      </w:r>
    </w:p>
    <w:p>
      <w:pPr>
        <w:spacing w:after="0" w:line="102" w:lineRule="exact"/>
        <w:rPr>
          <w:sz w:val="20"/>
          <w:szCs w:val="20"/>
          <w:color w:val="auto"/>
        </w:rPr>
      </w:pPr>
    </w:p>
    <w:p>
      <w:pPr>
        <w:ind w:left="140" w:right="220"/>
        <w:spacing w:after="0" w:line="258" w:lineRule="auto"/>
        <w:rPr>
          <w:sz w:val="20"/>
          <w:szCs w:val="20"/>
          <w:color w:val="auto"/>
        </w:rPr>
      </w:pPr>
      <w:r>
        <w:rPr>
          <w:rFonts w:ascii="Arial" w:cs="Arial" w:eastAsia="Arial" w:hAnsi="Arial"/>
          <w:sz w:val="16"/>
          <w:szCs w:val="16"/>
          <w:color w:val="auto"/>
        </w:rPr>
        <w:t>Under our clawback policy, in the event that the Company is required to restate its financial results due to material non-compliance with any financial reporting requirement under the securities laws as generally applied, except in limited circumstances, the Company will seek to recoup incentive-based compensation that is or was erroneously granted, earned, or vested based wholly or in part upon the attainment of a financial reporting measure on or after May 11, 2023. Compensation received up to three years prior to the restatement is subject to potential recoupment under the policy.</w:t>
      </w:r>
    </w:p>
    <w:p>
      <w:pPr>
        <w:spacing w:after="0" w:line="70" w:lineRule="exact"/>
        <w:rPr>
          <w:sz w:val="20"/>
          <w:szCs w:val="20"/>
          <w:color w:val="auto"/>
        </w:rPr>
      </w:pPr>
    </w:p>
    <w:p>
      <w:pPr>
        <w:ind w:left="140" w:right="300"/>
        <w:spacing w:after="0" w:line="258" w:lineRule="auto"/>
        <w:rPr>
          <w:sz w:val="20"/>
          <w:szCs w:val="20"/>
          <w:color w:val="auto"/>
        </w:rPr>
      </w:pPr>
      <w:r>
        <w:rPr>
          <w:rFonts w:ascii="Arial" w:cs="Arial" w:eastAsia="Arial" w:hAnsi="Arial"/>
          <w:sz w:val="16"/>
          <w:szCs w:val="16"/>
          <w:color w:val="auto"/>
        </w:rPr>
        <w:t>In addition, the Company maintains an Other Conduct Clawback Policy whereby the Board may recoup compensation (including time-based equity awards)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70" w:lineRule="exact"/>
        <w:rPr>
          <w:sz w:val="20"/>
          <w:szCs w:val="20"/>
          <w:color w:val="auto"/>
        </w:rPr>
      </w:pPr>
    </w:p>
    <w:p>
      <w:pPr>
        <w:jc w:val="both"/>
        <w:ind w:left="140" w:right="140"/>
        <w:spacing w:after="0" w:line="265" w:lineRule="auto"/>
        <w:rPr>
          <w:sz w:val="20"/>
          <w:szCs w:val="20"/>
          <w:color w:val="auto"/>
        </w:rPr>
      </w:pPr>
      <w:r>
        <w:rPr>
          <w:rFonts w:ascii="Arial" w:cs="Arial" w:eastAsia="Arial" w:hAnsi="Arial"/>
          <w:sz w:val="16"/>
          <w:szCs w:val="16"/>
          <w:color w:val="auto"/>
        </w:rPr>
        <w:t>Under the Equity Plans we have the authority to limit or eliminate the ability of any executive to exercise options and SARs or to receive a distribution of our common stock under RSUs or other stock awards (whether time- or performance-based) if the executive engaged in criminal or tortious conduct that was injurious to us or engaged in competition with us.</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Stock Ownership Guidelines</w:t>
      </w:r>
    </w:p>
    <w:p>
      <w:pPr>
        <w:spacing w:after="0" w:line="102" w:lineRule="exact"/>
        <w:rPr>
          <w:sz w:val="20"/>
          <w:szCs w:val="20"/>
          <w:color w:val="auto"/>
        </w:rPr>
      </w:pPr>
    </w:p>
    <w:p>
      <w:pPr>
        <w:ind w:left="140" w:right="420"/>
        <w:spacing w:after="0" w:line="284" w:lineRule="auto"/>
        <w:rPr>
          <w:sz w:val="20"/>
          <w:szCs w:val="20"/>
          <w:color w:val="auto"/>
        </w:rPr>
      </w:pPr>
      <w:r>
        <w:rPr>
          <w:rFonts w:ascii="Arial" w:cs="Arial" w:eastAsia="Arial" w:hAnsi="Arial"/>
          <w:sz w:val="16"/>
          <w:szCs w:val="16"/>
          <w:color w:val="auto"/>
        </w:rPr>
        <w:t>Under the stock ownership guidelines adopted by the CPC, named executive officers are required to achieve the following levels of ownership of our common stock (as a multiple of base salary rate as of the last day of the fiscal year for which compliance is being evaluated):</w:t>
      </w:r>
    </w:p>
    <w:p>
      <w:pPr>
        <w:spacing w:after="0" w:line="188"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5700" w:type="dxa"/>
            <w:vAlign w:val="bottom"/>
            <w:tcBorders>
              <w:bottom w:val="single" w:sz="8" w:color="003A70"/>
            </w:tcBorders>
          </w:tcPr>
          <w:p>
            <w:pPr>
              <w:jc w:val="center"/>
              <w:ind w:right="122"/>
              <w:spacing w:after="0"/>
              <w:rPr>
                <w:sz w:val="20"/>
                <w:szCs w:val="20"/>
                <w:color w:val="auto"/>
              </w:rPr>
            </w:pPr>
            <w:r>
              <w:rPr>
                <w:rFonts w:ascii="Arial" w:cs="Arial" w:eastAsia="Arial" w:hAnsi="Arial"/>
                <w:sz w:val="14"/>
                <w:szCs w:val="14"/>
                <w:b w:val="1"/>
                <w:bCs w:val="1"/>
                <w:color w:val="003A70"/>
              </w:rPr>
              <w:t>Officer</w:t>
            </w:r>
          </w:p>
        </w:tc>
        <w:tc>
          <w:tcPr>
            <w:tcW w:w="5280" w:type="dxa"/>
            <w:vAlign w:val="bottom"/>
            <w:tcBorders>
              <w:bottom w:val="single" w:sz="8" w:color="003A70"/>
            </w:tcBorders>
          </w:tcPr>
          <w:p>
            <w:pPr>
              <w:jc w:val="center"/>
              <w:ind w:left="42"/>
              <w:spacing w:after="0"/>
              <w:rPr>
                <w:sz w:val="20"/>
                <w:szCs w:val="20"/>
                <w:color w:val="auto"/>
              </w:rPr>
            </w:pPr>
            <w:r>
              <w:rPr>
                <w:rFonts w:ascii="Arial" w:cs="Arial" w:eastAsia="Arial" w:hAnsi="Arial"/>
                <w:sz w:val="14"/>
                <w:szCs w:val="14"/>
                <w:b w:val="1"/>
                <w:bCs w:val="1"/>
                <w:color w:val="003A70"/>
              </w:rPr>
              <w:t>Level of Ownership</w:t>
            </w:r>
          </w:p>
        </w:tc>
      </w:tr>
      <w:tr>
        <w:trPr>
          <w:trHeight w:val="188"/>
        </w:trPr>
        <w:tc>
          <w:tcPr>
            <w:tcW w:w="570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color w:val="auto"/>
              </w:rPr>
              <w:t>Chief Executive Officer</w:t>
            </w:r>
          </w:p>
        </w:tc>
        <w:tc>
          <w:tcPr>
            <w:tcW w:w="5280" w:type="dxa"/>
            <w:vAlign w:val="bottom"/>
            <w:tcBorders>
              <w:bottom w:val="single" w:sz="8" w:color="auto"/>
            </w:tcBorders>
          </w:tcPr>
          <w:p>
            <w:pPr>
              <w:jc w:val="center"/>
              <w:ind w:left="42"/>
              <w:spacing w:after="0"/>
              <w:rPr>
                <w:sz w:val="20"/>
                <w:szCs w:val="20"/>
                <w:color w:val="auto"/>
              </w:rPr>
            </w:pPr>
            <w:r>
              <w:rPr>
                <w:rFonts w:ascii="Arial" w:cs="Arial" w:eastAsia="Arial" w:hAnsi="Arial"/>
                <w:sz w:val="16"/>
                <w:szCs w:val="16"/>
                <w:color w:val="auto"/>
              </w:rPr>
              <w:t>Five times base salary</w:t>
            </w:r>
          </w:p>
        </w:tc>
      </w:tr>
      <w:tr>
        <w:trPr>
          <w:trHeight w:val="182"/>
        </w:trPr>
        <w:tc>
          <w:tcPr>
            <w:tcW w:w="5700" w:type="dxa"/>
            <w:vAlign w:val="bottom"/>
            <w:tcBorders>
              <w:bottom w:val="single" w:sz="8" w:color="auto"/>
            </w:tcBorders>
          </w:tcPr>
          <w:p>
            <w:pPr>
              <w:jc w:val="center"/>
              <w:ind w:right="122"/>
              <w:spacing w:after="0" w:line="182" w:lineRule="exact"/>
              <w:rPr>
                <w:sz w:val="20"/>
                <w:szCs w:val="20"/>
                <w:color w:val="auto"/>
              </w:rPr>
            </w:pPr>
            <w:r>
              <w:rPr>
                <w:rFonts w:ascii="Arial" w:cs="Arial" w:eastAsia="Arial" w:hAnsi="Arial"/>
                <w:sz w:val="16"/>
                <w:szCs w:val="16"/>
                <w:color w:val="auto"/>
              </w:rPr>
              <w:t>Chief Financial Officer</w:t>
            </w:r>
          </w:p>
        </w:tc>
        <w:tc>
          <w:tcPr>
            <w:tcW w:w="5280" w:type="dxa"/>
            <w:vAlign w:val="bottom"/>
            <w:tcBorders>
              <w:bottom w:val="single" w:sz="8" w:color="auto"/>
            </w:tcBorders>
          </w:tcPr>
          <w:p>
            <w:pPr>
              <w:jc w:val="center"/>
              <w:ind w:left="42"/>
              <w:spacing w:after="0" w:line="182" w:lineRule="exact"/>
              <w:rPr>
                <w:sz w:val="20"/>
                <w:szCs w:val="20"/>
                <w:color w:val="auto"/>
              </w:rPr>
            </w:pPr>
            <w:r>
              <w:rPr>
                <w:rFonts w:ascii="Arial" w:cs="Arial" w:eastAsia="Arial" w:hAnsi="Arial"/>
                <w:sz w:val="16"/>
                <w:szCs w:val="16"/>
                <w:color w:val="auto"/>
              </w:rPr>
              <w:t>Three times base salary</w:t>
            </w:r>
          </w:p>
        </w:tc>
      </w:tr>
      <w:tr>
        <w:trPr>
          <w:trHeight w:val="182"/>
        </w:trPr>
        <w:tc>
          <w:tcPr>
            <w:tcW w:w="5700" w:type="dxa"/>
            <w:vAlign w:val="bottom"/>
            <w:tcBorders>
              <w:bottom w:val="single" w:sz="8" w:color="003A70"/>
            </w:tcBorders>
          </w:tcPr>
          <w:p>
            <w:pPr>
              <w:jc w:val="center"/>
              <w:ind w:right="122"/>
              <w:spacing w:after="0" w:line="182" w:lineRule="exact"/>
              <w:rPr>
                <w:sz w:val="20"/>
                <w:szCs w:val="20"/>
                <w:color w:val="auto"/>
              </w:rPr>
            </w:pPr>
            <w:r>
              <w:rPr>
                <w:rFonts w:ascii="Arial" w:cs="Arial" w:eastAsia="Arial" w:hAnsi="Arial"/>
                <w:sz w:val="16"/>
                <w:szCs w:val="16"/>
                <w:color w:val="auto"/>
              </w:rPr>
              <w:t>Other named executive officers</w:t>
            </w:r>
          </w:p>
        </w:tc>
        <w:tc>
          <w:tcPr>
            <w:tcW w:w="5280" w:type="dxa"/>
            <w:vAlign w:val="bottom"/>
            <w:tcBorders>
              <w:bottom w:val="single" w:sz="8" w:color="003A70"/>
            </w:tcBorders>
          </w:tcPr>
          <w:p>
            <w:pPr>
              <w:jc w:val="center"/>
              <w:ind w:left="42"/>
              <w:spacing w:after="0" w:line="182" w:lineRule="exact"/>
              <w:rPr>
                <w:sz w:val="20"/>
                <w:szCs w:val="20"/>
                <w:color w:val="auto"/>
              </w:rPr>
            </w:pPr>
            <w:r>
              <w:rPr>
                <w:rFonts w:ascii="Arial" w:cs="Arial" w:eastAsia="Arial" w:hAnsi="Arial"/>
                <w:sz w:val="16"/>
                <w:szCs w:val="16"/>
                <w:color w:val="auto"/>
              </w:rPr>
              <w:t>Two times base salary</w:t>
            </w:r>
          </w:p>
        </w:tc>
      </w:tr>
    </w:tbl>
    <w:p>
      <w:pPr>
        <w:spacing w:after="0" w:line="94" w:lineRule="exact"/>
        <w:rPr>
          <w:sz w:val="20"/>
          <w:szCs w:val="20"/>
          <w:color w:val="auto"/>
        </w:rPr>
      </w:pPr>
    </w:p>
    <w:p>
      <w:pPr>
        <w:ind w:left="140" w:right="40"/>
        <w:spacing w:after="0" w:line="258" w:lineRule="auto"/>
        <w:rPr>
          <w:sz w:val="20"/>
          <w:szCs w:val="20"/>
          <w:color w:val="auto"/>
        </w:rPr>
      </w:pPr>
      <w:r>
        <w:rPr>
          <w:rFonts w:ascii="Arial" w:cs="Arial" w:eastAsia="Arial" w:hAnsi="Arial"/>
          <w:sz w:val="16"/>
          <w:szCs w:val="16"/>
          <w:color w:val="auto"/>
        </w:rPr>
        <w:t>For purposes of determining compliance with the guidelines, the following are considered shares owned by the named executive officer: shares owned by the named executive officer and his or her spouse; shares held by a trust if any beneficiaries of which are the named executive officer or his or her family members; shares held jointly with others; restricted stock awards; restricted stock unit awards; and share equivalents deferred in accordance with our plans. Options, SARs and Performance Units are not considered owned by the named executive officer.</w:t>
      </w:r>
    </w:p>
    <w:p>
      <w:pPr>
        <w:spacing w:after="0" w:line="70" w:lineRule="exact"/>
        <w:rPr>
          <w:sz w:val="20"/>
          <w:szCs w:val="20"/>
          <w:color w:val="auto"/>
        </w:rPr>
      </w:pPr>
    </w:p>
    <w:p>
      <w:pPr>
        <w:ind w:left="140" w:right="100"/>
        <w:spacing w:after="0" w:line="251" w:lineRule="auto"/>
        <w:rPr>
          <w:sz w:val="20"/>
          <w:szCs w:val="20"/>
          <w:color w:val="auto"/>
        </w:rPr>
      </w:pPr>
      <w:r>
        <w:rPr>
          <w:rFonts w:ascii="Arial" w:cs="Arial" w:eastAsia="Arial" w:hAnsi="Arial"/>
          <w:sz w:val="16"/>
          <w:szCs w:val="16"/>
          <w:color w:val="auto"/>
        </w:rPr>
        <w:t>The CPC receives an annual report of the ownership achieved by each named executive officer as of the end of the fiscal year, with the achievement level determined by reference to the average of the closing prices of our common stock for the 20 trading days ending on the last trading day of the fiscal year. The CPC will determine the action to be taken for failure to comply, which action may include (but is not limited to) requiring all or a portion of a named executive officer’s annual bonus to be paid in shares, or requiring retention of shares received upon exercise of stock options or SARs or of shares earned upon the vesting of Performance Units. Four of our executive officers have achieved the holding requirements specified in the guidelines as of the end of 2024. Three executive officers who have not achieved the holding requirements were appointed or hired in 2023 and each has five calendar years, or by year-end 2028, to achieve the required target ownership level. One executive officer who was appointed in 2024 has until 2029 to achieve the required target ownership level.</w:t>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Pledging and Derivative Transactions</w:t>
      </w:r>
    </w:p>
    <w:p>
      <w:pPr>
        <w:spacing w:after="0" w:line="102" w:lineRule="exact"/>
        <w:rPr>
          <w:sz w:val="20"/>
          <w:szCs w:val="20"/>
          <w:color w:val="auto"/>
        </w:rPr>
      </w:pPr>
    </w:p>
    <w:p>
      <w:pPr>
        <w:ind w:left="140" w:right="160"/>
        <w:spacing w:after="0" w:line="258" w:lineRule="auto"/>
        <w:rPr>
          <w:sz w:val="20"/>
          <w:szCs w:val="20"/>
          <w:color w:val="auto"/>
        </w:rPr>
      </w:pPr>
      <w:r>
        <w:rPr>
          <w:rFonts w:ascii="Arial" w:cs="Arial" w:eastAsia="Arial" w:hAnsi="Arial"/>
          <w:sz w:val="16"/>
          <w:szCs w:val="16"/>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 other than options or stock appreciation rights issued by the Company.</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Equity Grant Policy</w:t>
      </w:r>
    </w:p>
    <w:p>
      <w:pPr>
        <w:spacing w:after="0" w:line="102" w:lineRule="exact"/>
        <w:rPr>
          <w:sz w:val="20"/>
          <w:szCs w:val="20"/>
          <w:color w:val="auto"/>
        </w:rPr>
      </w:pPr>
    </w:p>
    <w:p>
      <w:pPr>
        <w:ind w:left="140" w:right="20"/>
        <w:spacing w:after="0" w:line="248" w:lineRule="auto"/>
        <w:rPr>
          <w:sz w:val="20"/>
          <w:szCs w:val="20"/>
          <w:color w:val="auto"/>
        </w:rPr>
      </w:pPr>
      <w:r>
        <w:rPr>
          <w:rFonts w:ascii="Arial" w:cs="Arial" w:eastAsia="Arial" w:hAnsi="Arial"/>
          <w:sz w:val="16"/>
          <w:szCs w:val="16"/>
          <w:color w:val="auto"/>
        </w:rPr>
        <w:t>The CPC has established an equity award grant policy (the “Equity Award Grant Policy”) which describes the Company’s delegated authority to grant equity awards, codifies pre-existing equity award practices, and establishes standardized schedules for granting equity awards, including RSUs, shares of restricted stock, Performance Units, SARs and options. Under the Equity Award Grant Policy, annual equity awards, including the Company’s annual SAR, RSU and Performance Units awards, are typically granted in the first quarter of the year and will generally have a grant date of the second trading day following the filing of the Company’s Form 10-K. Any off-cycle or equity awards for promotions, new hires, rewards or recognition will generally have a grant date of the 15th day of March, May, June, August, September, November or December that first follows the day the award is approved. The CPC’s objective in adopting the Equity Award Grant Policy was to establish standard, predetermined practices to avoid any actual or perceived market timing of equity awards and to formally establish policies and practices with respect to equity award grants. The CPC may, however, modify or make exceptions to the general timing parameters in the Equity Award Grant Policy based on special circumstances, the needs of the business or other appropriate considerations. The CPC did not take material nonpublic information into account when determining the timing and terms of equity-based awards, including SARs and options, and the Company did not time the disclosure of material nonpublic information for the purpose of affecting the value of executive compensation. During 2024, no stock option or SAR award was granted to any named executive officer within a period starting four business days before, and ending one business day after, the filing or furnishing of a Form 10-Q, 10-K or 8-K that discloses material non-public information.</w:t>
      </w:r>
    </w:p>
    <w:p>
      <w:pPr>
        <w:spacing w:after="0" w:line="126" w:lineRule="exact"/>
        <w:rPr>
          <w:sz w:val="20"/>
          <w:szCs w:val="20"/>
          <w:color w:val="auto"/>
        </w:rPr>
      </w:pPr>
    </w:p>
    <w:p>
      <w:pPr>
        <w:ind w:left="14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36</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Risk Considerations</w:t>
      </w:r>
    </w:p>
    <w:p>
      <w:pPr>
        <w:spacing w:after="0" w:line="102" w:lineRule="exact"/>
        <w:rPr>
          <w:sz w:val="20"/>
          <w:szCs w:val="20"/>
          <w:color w:val="auto"/>
        </w:rPr>
      </w:pPr>
    </w:p>
    <w:p>
      <w:pPr>
        <w:ind w:left="140" w:right="80"/>
        <w:spacing w:after="0" w:line="265" w:lineRule="auto"/>
        <w:rPr>
          <w:sz w:val="20"/>
          <w:szCs w:val="20"/>
          <w:color w:val="auto"/>
        </w:rPr>
      </w:pPr>
      <w:r>
        <w:rPr>
          <w:rFonts w:ascii="Arial" w:cs="Arial" w:eastAsia="Arial" w:hAnsi="Arial"/>
          <w:sz w:val="16"/>
          <w:szCs w:val="16"/>
          <w:color w:val="auto"/>
        </w:rPr>
        <w:t>The CPC reviewed a risk assessment to determine whether the amount and components of compensation for our employees and the design of compensation programs might create incentives for excessive risk-taking by our employees. The CPC concluded that our compensation programs do not present risks that are reasonably likely to have a material adverse effect on the Company.</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Consideration of Prior Stockholder Advisory Vote to Approve Executive Compensation</w:t>
      </w:r>
    </w:p>
    <w:p>
      <w:pPr>
        <w:spacing w:after="0" w:line="102" w:lineRule="exact"/>
        <w:rPr>
          <w:sz w:val="20"/>
          <w:szCs w:val="20"/>
          <w:color w:val="auto"/>
        </w:rPr>
      </w:pPr>
    </w:p>
    <w:p>
      <w:pPr>
        <w:ind w:left="140" w:right="100"/>
        <w:spacing w:after="0" w:line="255" w:lineRule="auto"/>
        <w:rPr>
          <w:sz w:val="20"/>
          <w:szCs w:val="20"/>
          <w:color w:val="auto"/>
        </w:rPr>
      </w:pPr>
      <w:r>
        <w:rPr>
          <w:rFonts w:ascii="Arial" w:cs="Arial" w:eastAsia="Arial" w:hAnsi="Arial"/>
          <w:sz w:val="16"/>
          <w:szCs w:val="16"/>
          <w:color w:val="auto"/>
        </w:rPr>
        <w:t>At our 2024 Annual Meeting of Stockholders, our stockholders voted with respect to an advisory resolution on our executive compensation, and 97.6% of the shares voted at the meeting (exclusive of broker non-votes) were voted in favor of the approval of the compensation of our named executive officers as disclosed in the proxy statement for that Annual Meeting. The CPC considered this support, as well as the other factors discussed in this Compensation Discussion and Analysis, in retaining the fundamental characteristics of our executive compensation program for 2024 and did not make any specific changes to the program as a result of the stockholder vote.</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Employment Agreements</w:t>
      </w:r>
    </w:p>
    <w:p>
      <w:pPr>
        <w:spacing w:after="0" w:line="102" w:lineRule="exact"/>
        <w:rPr>
          <w:sz w:val="20"/>
          <w:szCs w:val="20"/>
          <w:color w:val="auto"/>
        </w:rPr>
      </w:pPr>
    </w:p>
    <w:p>
      <w:pPr>
        <w:jc w:val="both"/>
        <w:ind w:left="140" w:right="400"/>
        <w:spacing w:after="0" w:line="265" w:lineRule="auto"/>
        <w:rPr>
          <w:sz w:val="20"/>
          <w:szCs w:val="20"/>
          <w:color w:val="auto"/>
        </w:rPr>
      </w:pPr>
      <w:r>
        <w:rPr>
          <w:rFonts w:ascii="Arial" w:cs="Arial" w:eastAsia="Arial" w:hAnsi="Arial"/>
          <w:sz w:val="16"/>
          <w:szCs w:val="16"/>
          <w:color w:val="auto"/>
        </w:rPr>
        <w:t>We, as a practice, do not have employment agreements with any of our executive officers, including our named executive officers. However, with the acquisition of ILG in 2018, we assumed an employment agreement for Jeanette E. Marbert, President, Exchange and Third-Party Management, who retired in 2024.</w:t>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REPORT OF THE COMPENSATION POLICY COMMITTEE</w:t>
      </w:r>
    </w:p>
    <w:p>
      <w:pPr>
        <w:spacing w:after="0" w:line="111" w:lineRule="exact"/>
        <w:rPr>
          <w:sz w:val="20"/>
          <w:szCs w:val="20"/>
          <w:color w:val="auto"/>
        </w:rPr>
      </w:pPr>
    </w:p>
    <w:p>
      <w:pPr>
        <w:ind w:left="140" w:right="20"/>
        <w:spacing w:after="0" w:line="252" w:lineRule="auto"/>
        <w:rPr>
          <w:sz w:val="20"/>
          <w:szCs w:val="20"/>
          <w:color w:val="auto"/>
        </w:rPr>
      </w:pPr>
      <w:r>
        <w:rPr>
          <w:rFonts w:ascii="Arial" w:cs="Arial" w:eastAsia="Arial" w:hAnsi="Arial"/>
          <w:sz w:val="16"/>
          <w:szCs w:val="16"/>
          <w:color w:val="auto"/>
        </w:rPr>
        <w:t>The CPC, which is composed solely of independent members of the Board, assists the Board in fulfilling its responsibilities relating to executive compensation. The CPC is responsible for overseeing compensation programs that enable the Company to attract, retain and motivate executives capable of establishing and implementing business plans in the best interests of the stockholders. The CPC, on behalf of and in certain instances subject to the approval of the Board, reviews and approves compensation programs for certain senior officer positions. In this context, the CPC reviewed and discussed with management the Company’s Compensation Discussion and Analysis required by Item 402(b) of SEC Regulation S-K. Following the reviews and discussions referred to above, the CPC recommended to the Board that the Compensation Discussion and Analysis be included in this Proxy Statement.</w:t>
      </w:r>
    </w:p>
    <w:p>
      <w:pPr>
        <w:spacing w:after="0" w:line="200" w:lineRule="exact"/>
        <w:rPr>
          <w:sz w:val="20"/>
          <w:szCs w:val="20"/>
          <w:color w:val="auto"/>
        </w:rPr>
      </w:pPr>
    </w:p>
    <w:p>
      <w:pPr>
        <w:spacing w:after="0" w:line="201"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Members of the Compensation Policy Committee:</w:t>
      </w:r>
    </w:p>
    <w:p>
      <w:pPr>
        <w:spacing w:after="0" w:line="112"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Dianna F. Morgan, Chair</w:t>
      </w:r>
    </w:p>
    <w:p>
      <w:pPr>
        <w:spacing w:after="0" w:line="2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Lizanne Galbreath</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Mary E. Galligan</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Raymond L. Gellein, Jr.</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W. McCarten</w:t>
      </w:r>
    </w:p>
    <w:p>
      <w:pPr>
        <w:spacing w:after="0" w:line="137" w:lineRule="exact"/>
        <w:rPr>
          <w:sz w:val="20"/>
          <w:szCs w:val="20"/>
          <w:color w:val="auto"/>
        </w:rPr>
      </w:pPr>
    </w:p>
    <w:p>
      <w:pPr>
        <w:ind w:left="140"/>
        <w:spacing w:after="0"/>
        <w:tabs>
          <w:tab w:leader="none" w:pos="47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3" w:lineRule="exact"/>
        <w:rPr>
          <w:sz w:val="20"/>
          <w:szCs w:val="20"/>
          <w:color w:val="auto"/>
        </w:rPr>
      </w:pPr>
    </w:p>
    <w:p>
      <w:pPr>
        <w:ind w:left="620" w:right="800"/>
        <w:spacing w:after="0" w:line="270" w:lineRule="auto"/>
        <w:rPr>
          <w:sz w:val="20"/>
          <w:szCs w:val="20"/>
          <w:color w:val="auto"/>
        </w:rPr>
      </w:pPr>
      <w:r>
        <w:rPr>
          <w:rFonts w:ascii="Arial" w:cs="Arial" w:eastAsia="Arial" w:hAnsi="Arial"/>
          <w:sz w:val="54"/>
          <w:szCs w:val="54"/>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-850265</wp:posOffset>
            </wp:positionV>
            <wp:extent cx="85725" cy="8286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34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SUMMARY COMPENSATION TABLE</w:t>
      </w:r>
    </w:p>
    <w:p>
      <w:pPr>
        <w:spacing w:after="0" w:line="111" w:lineRule="exact"/>
        <w:rPr>
          <w:sz w:val="20"/>
          <w:szCs w:val="20"/>
          <w:color w:val="auto"/>
        </w:rPr>
      </w:pPr>
    </w:p>
    <w:p>
      <w:pPr>
        <w:ind w:left="140" w:right="40"/>
        <w:spacing w:after="0" w:line="258" w:lineRule="auto"/>
        <w:rPr>
          <w:sz w:val="20"/>
          <w:szCs w:val="20"/>
          <w:color w:val="auto"/>
        </w:rPr>
      </w:pPr>
      <w:r>
        <w:rPr>
          <w:rFonts w:ascii="Arial" w:cs="Arial" w:eastAsia="Arial" w:hAnsi="Arial"/>
          <w:sz w:val="16"/>
          <w:szCs w:val="16"/>
          <w:color w:val="auto"/>
        </w:rPr>
        <w:t>The following Summary Compensation Table shows the compensation we paid in fiscal years 2024, 2023 and 2022 to our Named Executive Officers. Ms. Marbert retired as President, Exchange and Third-Party Management on August 31, 2024. Mr. Marino was promoted to Executive Vice President and Chief Financial Officer effective September 30, 2023 and was not an executive officer prior to promotion, but, in accordance with SEC rules, his compensation for the entirety of fiscal year 2023 is included in the table below.</w:t>
      </w: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Change in Pension</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right="120"/>
              <w:spacing w:after="0"/>
              <w:rPr>
                <w:sz w:val="20"/>
                <w:szCs w:val="20"/>
                <w:color w:val="auto"/>
              </w:rPr>
            </w:pPr>
            <w:r>
              <w:rPr>
                <w:rFonts w:ascii="Arial" w:cs="Arial" w:eastAsia="Arial" w:hAnsi="Arial"/>
                <w:sz w:val="14"/>
                <w:szCs w:val="14"/>
                <w:b w:val="1"/>
                <w:bCs w:val="1"/>
                <w:color w:val="003A70"/>
              </w:rPr>
              <w:t>Non-Equity</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Value And Nonqualified</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7"/>
        </w:trPr>
        <w:tc>
          <w:tcPr>
            <w:tcW w:w="1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jc w:val="right"/>
              <w:ind w:right="401"/>
              <w:spacing w:after="0" w:line="157" w:lineRule="exact"/>
              <w:rPr>
                <w:sz w:val="20"/>
                <w:szCs w:val="20"/>
                <w:color w:val="auto"/>
              </w:rPr>
            </w:pPr>
            <w:r>
              <w:rPr>
                <w:rFonts w:ascii="Arial" w:cs="Arial" w:eastAsia="Arial" w:hAnsi="Arial"/>
                <w:sz w:val="14"/>
                <w:szCs w:val="14"/>
                <w:b w:val="1"/>
                <w:bCs w:val="1"/>
                <w:color w:val="003A70"/>
              </w:rPr>
              <w:t>Stock</w:t>
            </w:r>
          </w:p>
        </w:tc>
        <w:tc>
          <w:tcPr>
            <w:tcW w:w="1340" w:type="dxa"/>
            <w:vAlign w:val="bottom"/>
          </w:tcPr>
          <w:p>
            <w:pPr>
              <w:jc w:val="right"/>
              <w:ind w:right="181"/>
              <w:spacing w:after="0" w:line="157" w:lineRule="exact"/>
              <w:rPr>
                <w:sz w:val="20"/>
                <w:szCs w:val="20"/>
                <w:color w:val="auto"/>
              </w:rPr>
            </w:pPr>
            <w:r>
              <w:rPr>
                <w:rFonts w:ascii="Arial" w:cs="Arial" w:eastAsia="Arial" w:hAnsi="Arial"/>
                <w:sz w:val="14"/>
                <w:szCs w:val="14"/>
                <w:b w:val="1"/>
                <w:bCs w:val="1"/>
                <w:color w:val="003A70"/>
              </w:rPr>
              <w:t>Option/SAR</w:t>
            </w:r>
          </w:p>
        </w:tc>
        <w:tc>
          <w:tcPr>
            <w:tcW w:w="1300" w:type="dxa"/>
            <w:vAlign w:val="bottom"/>
            <w:gridSpan w:val="2"/>
          </w:tcPr>
          <w:p>
            <w:pPr>
              <w:jc w:val="center"/>
              <w:ind w:left="26"/>
              <w:spacing w:after="0" w:line="157" w:lineRule="exact"/>
              <w:rPr>
                <w:sz w:val="20"/>
                <w:szCs w:val="20"/>
                <w:color w:val="auto"/>
              </w:rPr>
            </w:pPr>
            <w:r>
              <w:rPr>
                <w:rFonts w:ascii="Arial" w:cs="Arial" w:eastAsia="Arial" w:hAnsi="Arial"/>
                <w:sz w:val="14"/>
                <w:szCs w:val="14"/>
                <w:b w:val="1"/>
                <w:bCs w:val="1"/>
                <w:color w:val="003A70"/>
              </w:rPr>
              <w:t>Incentive Plan</w:t>
            </w:r>
          </w:p>
        </w:tc>
        <w:tc>
          <w:tcPr>
            <w:tcW w:w="17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A70"/>
              </w:rPr>
              <w:t>Deferred Compensation</w:t>
            </w:r>
          </w:p>
        </w:tc>
        <w:tc>
          <w:tcPr>
            <w:tcW w:w="1180" w:type="dxa"/>
            <w:vAlign w:val="bottom"/>
          </w:tcPr>
          <w:p>
            <w:pPr>
              <w:jc w:val="right"/>
              <w:ind w:right="261"/>
              <w:spacing w:after="0" w:line="157" w:lineRule="exact"/>
              <w:rPr>
                <w:sz w:val="20"/>
                <w:szCs w:val="20"/>
                <w:color w:val="auto"/>
              </w:rPr>
            </w:pPr>
            <w:r>
              <w:rPr>
                <w:rFonts w:ascii="Arial" w:cs="Arial" w:eastAsia="Arial" w:hAnsi="Arial"/>
                <w:sz w:val="14"/>
                <w:szCs w:val="14"/>
                <w:b w:val="1"/>
                <w:bCs w:val="1"/>
                <w:color w:val="003A70"/>
              </w:rPr>
              <w:t>All Other</w:t>
            </w:r>
          </w:p>
        </w:tc>
        <w:tc>
          <w:tcPr>
            <w:tcW w:w="1260" w:type="dxa"/>
            <w:vAlign w:val="bottom"/>
          </w:tcPr>
          <w:p>
            <w:pPr>
              <w:spacing w:after="0"/>
              <w:rPr>
                <w:sz w:val="13"/>
                <w:szCs w:val="13"/>
                <w:color w:val="auto"/>
              </w:rPr>
            </w:pPr>
          </w:p>
        </w:tc>
      </w:tr>
      <w:tr>
        <w:trPr>
          <w:trHeight w:val="182"/>
        </w:trPr>
        <w:tc>
          <w:tcPr>
            <w:tcW w:w="16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Fiscal Year</w:t>
            </w:r>
          </w:p>
        </w:tc>
        <w:tc>
          <w:tcPr>
            <w:tcW w:w="1200" w:type="dxa"/>
            <w:vAlign w:val="bottom"/>
            <w:tcBorders>
              <w:bottom w:val="single" w:sz="8" w:color="003A70"/>
            </w:tcBorders>
          </w:tcPr>
          <w:p>
            <w:pPr>
              <w:jc w:val="right"/>
              <w:ind w:right="280"/>
              <w:spacing w:after="0" w:line="175" w:lineRule="exact"/>
              <w:rPr>
                <w:sz w:val="20"/>
                <w:szCs w:val="20"/>
                <w:color w:val="auto"/>
              </w:rPr>
            </w:pPr>
            <w:r>
              <w:rPr>
                <w:rFonts w:ascii="Arial" w:cs="Arial" w:eastAsia="Arial" w:hAnsi="Arial"/>
                <w:sz w:val="14"/>
                <w:szCs w:val="14"/>
                <w:b w:val="1"/>
                <w:bCs w:val="1"/>
                <w:color w:val="003A70"/>
              </w:rPr>
              <w:t>Salary</w:t>
            </w:r>
            <w:r>
              <w:rPr>
                <w:rFonts w:ascii="Arial" w:cs="Arial" w:eastAsia="Arial" w:hAnsi="Arial"/>
                <w:sz w:val="20"/>
                <w:szCs w:val="20"/>
                <w:color w:val="003A70"/>
                <w:vertAlign w:val="superscript"/>
              </w:rPr>
              <w:t>1</w:t>
            </w:r>
          </w:p>
        </w:tc>
        <w:tc>
          <w:tcPr>
            <w:tcW w:w="1340" w:type="dxa"/>
            <w:vAlign w:val="bottom"/>
            <w:tcBorders>
              <w:bottom w:val="single" w:sz="8" w:color="003A70"/>
            </w:tcBorders>
          </w:tcPr>
          <w:p>
            <w:pPr>
              <w:jc w:val="right"/>
              <w:ind w:right="321"/>
              <w:spacing w:after="0" w:line="175"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20"/>
                <w:szCs w:val="20"/>
                <w:color w:val="003A70"/>
                <w:vertAlign w:val="superscript"/>
              </w:rPr>
              <w:t>2</w:t>
            </w:r>
          </w:p>
        </w:tc>
        <w:tc>
          <w:tcPr>
            <w:tcW w:w="1340" w:type="dxa"/>
            <w:vAlign w:val="bottom"/>
            <w:tcBorders>
              <w:bottom w:val="single" w:sz="8" w:color="003A70"/>
            </w:tcBorders>
          </w:tcPr>
          <w:p>
            <w:pPr>
              <w:jc w:val="right"/>
              <w:ind w:right="301"/>
              <w:spacing w:after="0" w:line="175"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20"/>
                <w:szCs w:val="20"/>
                <w:color w:val="003A70"/>
                <w:vertAlign w:val="superscript"/>
              </w:rPr>
              <w:t>2</w:t>
            </w:r>
          </w:p>
        </w:tc>
        <w:tc>
          <w:tcPr>
            <w:tcW w:w="1300" w:type="dxa"/>
            <w:vAlign w:val="bottom"/>
            <w:tcBorders>
              <w:bottom w:val="single" w:sz="8" w:color="003A70"/>
            </w:tcBorders>
            <w:gridSpan w:val="2"/>
          </w:tcPr>
          <w:p>
            <w:pPr>
              <w:jc w:val="center"/>
              <w:ind w:left="6"/>
              <w:spacing w:after="0" w:line="175" w:lineRule="exact"/>
              <w:rPr>
                <w:sz w:val="20"/>
                <w:szCs w:val="20"/>
                <w:color w:val="auto"/>
              </w:rPr>
            </w:pPr>
            <w:r>
              <w:rPr>
                <w:rFonts w:ascii="Arial" w:cs="Arial" w:eastAsia="Arial" w:hAnsi="Arial"/>
                <w:sz w:val="14"/>
                <w:szCs w:val="14"/>
                <w:b w:val="1"/>
                <w:bCs w:val="1"/>
                <w:color w:val="003A70"/>
              </w:rPr>
              <w:t>Compensation</w:t>
            </w:r>
            <w:r>
              <w:rPr>
                <w:rFonts w:ascii="Arial" w:cs="Arial" w:eastAsia="Arial" w:hAnsi="Arial"/>
                <w:sz w:val="20"/>
                <w:szCs w:val="20"/>
                <w:color w:val="003A70"/>
                <w:vertAlign w:val="superscript"/>
              </w:rPr>
              <w:t>3</w:t>
            </w:r>
          </w:p>
        </w:tc>
        <w:tc>
          <w:tcPr>
            <w:tcW w:w="440" w:type="dxa"/>
            <w:vAlign w:val="bottom"/>
            <w:tcBorders>
              <w:bottom w:val="single" w:sz="8" w:color="003A70"/>
            </w:tcBorders>
          </w:tcPr>
          <w:p>
            <w:pPr>
              <w:spacing w:after="0"/>
              <w:rPr>
                <w:sz w:val="15"/>
                <w:szCs w:val="15"/>
                <w:color w:val="auto"/>
              </w:rPr>
            </w:pPr>
          </w:p>
        </w:tc>
        <w:tc>
          <w:tcPr>
            <w:tcW w:w="1280" w:type="dxa"/>
            <w:vAlign w:val="bottom"/>
            <w:tcBorders>
              <w:bottom w:val="single" w:sz="8" w:color="003A70"/>
            </w:tcBorders>
          </w:tcPr>
          <w:p>
            <w:pPr>
              <w:jc w:val="center"/>
              <w:ind w:right="300"/>
              <w:spacing w:after="0" w:line="175" w:lineRule="exact"/>
              <w:rPr>
                <w:sz w:val="20"/>
                <w:szCs w:val="20"/>
                <w:color w:val="auto"/>
              </w:rPr>
            </w:pPr>
            <w:r>
              <w:rPr>
                <w:rFonts w:ascii="Arial" w:cs="Arial" w:eastAsia="Arial" w:hAnsi="Arial"/>
                <w:sz w:val="14"/>
                <w:szCs w:val="14"/>
                <w:b w:val="1"/>
                <w:bCs w:val="1"/>
                <w:color w:val="003A70"/>
                <w:w w:val="97"/>
              </w:rPr>
              <w:t>Earnings</w:t>
            </w:r>
            <w:r>
              <w:rPr>
                <w:rFonts w:ascii="Arial" w:cs="Arial" w:eastAsia="Arial" w:hAnsi="Arial"/>
                <w:sz w:val="20"/>
                <w:szCs w:val="20"/>
                <w:color w:val="003A70"/>
                <w:w w:val="97"/>
                <w:vertAlign w:val="superscript"/>
              </w:rPr>
              <w:t>4</w:t>
            </w:r>
          </w:p>
        </w:tc>
        <w:tc>
          <w:tcPr>
            <w:tcW w:w="1180" w:type="dxa"/>
            <w:vAlign w:val="bottom"/>
            <w:tcBorders>
              <w:bottom w:val="single" w:sz="8" w:color="003A70"/>
            </w:tcBorders>
          </w:tcPr>
          <w:p>
            <w:pPr>
              <w:jc w:val="right"/>
              <w:ind w:right="21"/>
              <w:spacing w:after="0" w:line="175" w:lineRule="exact"/>
              <w:rPr>
                <w:sz w:val="20"/>
                <w:szCs w:val="20"/>
                <w:color w:val="auto"/>
              </w:rPr>
            </w:pPr>
            <w:r>
              <w:rPr>
                <w:rFonts w:ascii="Arial" w:cs="Arial" w:eastAsia="Arial" w:hAnsi="Arial"/>
                <w:sz w:val="14"/>
                <w:szCs w:val="14"/>
                <w:b w:val="1"/>
                <w:bCs w:val="1"/>
                <w:color w:val="003A70"/>
              </w:rPr>
              <w:t>Compensation</w:t>
            </w:r>
            <w:r>
              <w:rPr>
                <w:rFonts w:ascii="Arial" w:cs="Arial" w:eastAsia="Arial" w:hAnsi="Arial"/>
                <w:sz w:val="20"/>
                <w:szCs w:val="20"/>
                <w:color w:val="003A70"/>
                <w:vertAlign w:val="superscript"/>
              </w:rPr>
              <w:t>5</w:t>
            </w:r>
          </w:p>
        </w:tc>
        <w:tc>
          <w:tcPr>
            <w:tcW w:w="1260" w:type="dxa"/>
            <w:vAlign w:val="bottom"/>
            <w:tcBorders>
              <w:bottom w:val="single" w:sz="8" w:color="003A70"/>
            </w:tcBorders>
          </w:tcPr>
          <w:p>
            <w:pPr>
              <w:jc w:val="right"/>
              <w:ind w:right="420"/>
              <w:spacing w:after="0"/>
              <w:rPr>
                <w:sz w:val="20"/>
                <w:szCs w:val="20"/>
                <w:color w:val="auto"/>
              </w:rPr>
            </w:pPr>
            <w:r>
              <w:rPr>
                <w:rFonts w:ascii="Arial" w:cs="Arial" w:eastAsia="Arial" w:hAnsi="Arial"/>
                <w:sz w:val="14"/>
                <w:szCs w:val="14"/>
                <w:b w:val="1"/>
                <w:bCs w:val="1"/>
                <w:color w:val="003A70"/>
              </w:rPr>
              <w:t>Total</w:t>
            </w:r>
          </w:p>
        </w:tc>
      </w:tr>
      <w:tr>
        <w:trPr>
          <w:trHeight w:val="174"/>
        </w:trPr>
        <w:tc>
          <w:tcPr>
            <w:tcW w:w="1640" w:type="dxa"/>
            <w:vAlign w:val="bottom"/>
          </w:tcPr>
          <w:p>
            <w:pPr>
              <w:spacing w:after="0" w:line="175" w:lineRule="exact"/>
              <w:rPr>
                <w:sz w:val="20"/>
                <w:szCs w:val="20"/>
                <w:color w:val="auto"/>
              </w:rPr>
            </w:pPr>
            <w:r>
              <w:rPr>
                <w:rFonts w:ascii="Arial" w:cs="Arial" w:eastAsia="Arial" w:hAnsi="Arial"/>
                <w:sz w:val="16"/>
                <w:szCs w:val="16"/>
                <w:b w:val="1"/>
                <w:bCs w:val="1"/>
                <w:color w:val="003A70"/>
              </w:rPr>
              <w:t>John E. Geller, Jr.</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5"/>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President and Chief Executive Officer</w:t>
            </w: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spacing w:after="0" w:line="168" w:lineRule="exact"/>
              <w:rPr>
                <w:sz w:val="20"/>
                <w:szCs w:val="20"/>
                <w:color w:val="auto"/>
              </w:rPr>
            </w:pPr>
            <w:r>
              <w:rPr>
                <w:rFonts w:ascii="Arial" w:cs="Arial" w:eastAsia="Arial" w:hAnsi="Arial"/>
                <w:sz w:val="16"/>
                <w:szCs w:val="16"/>
                <w:color w:val="auto"/>
              </w:rPr>
              <w:t>2024</w:t>
            </w:r>
          </w:p>
        </w:tc>
        <w:tc>
          <w:tcPr>
            <w:tcW w:w="12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  990,266</w:t>
            </w:r>
          </w:p>
        </w:tc>
        <w:tc>
          <w:tcPr>
            <w:tcW w:w="1340" w:type="dxa"/>
            <w:vAlign w:val="bottom"/>
          </w:tcPr>
          <w:p>
            <w:pPr>
              <w:jc w:val="right"/>
              <w:ind w:right="101"/>
              <w:spacing w:after="0" w:line="168" w:lineRule="exact"/>
              <w:rPr>
                <w:sz w:val="20"/>
                <w:szCs w:val="20"/>
                <w:color w:val="auto"/>
              </w:rPr>
            </w:pPr>
            <w:r>
              <w:rPr>
                <w:rFonts w:ascii="Arial" w:cs="Arial" w:eastAsia="Arial" w:hAnsi="Arial"/>
                <w:sz w:val="16"/>
                <w:szCs w:val="16"/>
                <w:color w:val="auto"/>
              </w:rPr>
              <w:t>$   4,800,012</w:t>
            </w:r>
          </w:p>
        </w:tc>
        <w:tc>
          <w:tcPr>
            <w:tcW w:w="13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   1,199,995</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406,125</w:t>
            </w:r>
          </w:p>
        </w:tc>
        <w:tc>
          <w:tcPr>
            <w:tcW w:w="440" w:type="dxa"/>
            <w:vAlign w:val="bottom"/>
          </w:tcPr>
          <w:p>
            <w:pPr>
              <w:jc w:val="right"/>
              <w:ind w:right="26"/>
              <w:spacing w:after="0" w:line="168"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  41,363</w:t>
            </w:r>
          </w:p>
        </w:tc>
        <w:tc>
          <w:tcPr>
            <w:tcW w:w="1260" w:type="dxa"/>
            <w:vAlign w:val="bottom"/>
          </w:tcPr>
          <w:p>
            <w:pPr>
              <w:jc w:val="right"/>
              <w:ind w:right="100"/>
              <w:spacing w:after="0" w:line="168" w:lineRule="exact"/>
              <w:rPr>
                <w:sz w:val="20"/>
                <w:szCs w:val="20"/>
                <w:color w:val="auto"/>
              </w:rPr>
            </w:pPr>
            <w:r>
              <w:rPr>
                <w:rFonts w:ascii="Arial" w:cs="Arial" w:eastAsia="Arial" w:hAnsi="Arial"/>
                <w:sz w:val="16"/>
                <w:szCs w:val="16"/>
                <w:b w:val="1"/>
                <w:bCs w:val="1"/>
                <w:color w:val="auto"/>
              </w:rPr>
              <w:t>$  7,437,761</w:t>
            </w:r>
          </w:p>
        </w:tc>
      </w:tr>
      <w:tr>
        <w:trPr>
          <w:trHeight w:val="188"/>
        </w:trPr>
        <w:tc>
          <w:tcPr>
            <w:tcW w:w="1640" w:type="dxa"/>
            <w:vAlign w:val="bottom"/>
          </w:tcPr>
          <w:p>
            <w:pPr>
              <w:spacing w:after="0"/>
              <w:rPr>
                <w:sz w:val="20"/>
                <w:szCs w:val="20"/>
                <w:color w:val="auto"/>
              </w:rPr>
            </w:pPr>
            <w:r>
              <w:rPr>
                <w:rFonts w:ascii="Arial" w:cs="Arial" w:eastAsia="Arial" w:hAnsi="Arial"/>
                <w:sz w:val="16"/>
                <w:szCs w:val="16"/>
                <w:color w:val="auto"/>
              </w:rPr>
              <w:t>2023</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945,106</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3,200,052</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799,988</w:t>
            </w:r>
          </w:p>
        </w:tc>
        <w:tc>
          <w:tcPr>
            <w:tcW w:w="30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377,625</w:t>
            </w:r>
          </w:p>
        </w:tc>
        <w:tc>
          <w:tcPr>
            <w:tcW w:w="44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38,181</w:t>
            </w:r>
          </w:p>
        </w:tc>
        <w:tc>
          <w:tcPr>
            <w:tcW w:w="1260" w:type="dxa"/>
            <w:vAlign w:val="bottom"/>
          </w:tcPr>
          <w:p>
            <w:pPr>
              <w:jc w:val="right"/>
              <w:ind w:right="100"/>
              <w:spacing w:after="0"/>
              <w:rPr>
                <w:sz w:val="20"/>
                <w:szCs w:val="20"/>
                <w:color w:val="auto"/>
              </w:rPr>
            </w:pPr>
            <w:r>
              <w:rPr>
                <w:rFonts w:ascii="Arial" w:cs="Arial" w:eastAsia="Arial" w:hAnsi="Arial"/>
                <w:sz w:val="16"/>
                <w:szCs w:val="16"/>
                <w:b w:val="1"/>
                <w:bCs w:val="1"/>
                <w:color w:val="auto"/>
              </w:rPr>
              <w:t>5,360,952</w:t>
            </w:r>
          </w:p>
        </w:tc>
      </w:tr>
      <w:tr>
        <w:trPr>
          <w:trHeight w:val="202"/>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695,500</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1,399,982</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600,023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1,382,369</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1,868</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25,350</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4,105,092</w:t>
            </w:r>
          </w:p>
        </w:tc>
      </w:tr>
      <w:tr>
        <w:trPr>
          <w:trHeight w:val="168"/>
        </w:trPr>
        <w:tc>
          <w:tcPr>
            <w:tcW w:w="1640" w:type="dxa"/>
            <w:vAlign w:val="bottom"/>
          </w:tcPr>
          <w:p>
            <w:pPr>
              <w:spacing w:after="0" w:line="168" w:lineRule="exact"/>
              <w:rPr>
                <w:sz w:val="20"/>
                <w:szCs w:val="20"/>
                <w:color w:val="auto"/>
              </w:rPr>
            </w:pPr>
            <w:r>
              <w:rPr>
                <w:rFonts w:ascii="Arial" w:cs="Arial" w:eastAsia="Arial" w:hAnsi="Arial"/>
                <w:sz w:val="16"/>
                <w:szCs w:val="16"/>
                <w:b w:val="1"/>
                <w:bCs w:val="1"/>
                <w:color w:val="003A70"/>
              </w:rPr>
              <w:t>Jason P. Marino</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spacing w:after="0" w:line="168" w:lineRule="exact"/>
              <w:rPr>
                <w:sz w:val="20"/>
                <w:szCs w:val="20"/>
                <w:color w:val="auto"/>
              </w:rPr>
            </w:pPr>
            <w:r>
              <w:rPr>
                <w:rFonts w:ascii="Arial" w:cs="Arial" w:eastAsia="Arial" w:hAnsi="Arial"/>
                <w:sz w:val="16"/>
                <w:szCs w:val="16"/>
                <w:color w:val="auto"/>
              </w:rPr>
              <w:t>2024</w:t>
            </w:r>
          </w:p>
        </w:tc>
        <w:tc>
          <w:tcPr>
            <w:tcW w:w="12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515,754</w:t>
            </w:r>
          </w:p>
        </w:tc>
        <w:tc>
          <w:tcPr>
            <w:tcW w:w="1340" w:type="dxa"/>
            <w:vAlign w:val="bottom"/>
          </w:tcPr>
          <w:p>
            <w:pPr>
              <w:jc w:val="right"/>
              <w:ind w:right="101"/>
              <w:spacing w:after="0" w:line="168" w:lineRule="exact"/>
              <w:rPr>
                <w:sz w:val="20"/>
                <w:szCs w:val="20"/>
                <w:color w:val="auto"/>
              </w:rPr>
            </w:pPr>
            <w:r>
              <w:rPr>
                <w:rFonts w:ascii="Arial" w:cs="Arial" w:eastAsia="Arial" w:hAnsi="Arial"/>
                <w:sz w:val="16"/>
                <w:szCs w:val="16"/>
                <w:color w:val="auto"/>
              </w:rPr>
              <w:t>1,279,981</w:t>
            </w:r>
          </w:p>
        </w:tc>
        <w:tc>
          <w:tcPr>
            <w:tcW w:w="13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319,985</w:t>
            </w:r>
          </w:p>
        </w:tc>
        <w:tc>
          <w:tcPr>
            <w:tcW w:w="300" w:type="dxa"/>
            <w:vAlign w:val="bottom"/>
          </w:tcPr>
          <w:p>
            <w:pPr>
              <w:spacing w:after="0"/>
              <w:rPr>
                <w:sz w:val="14"/>
                <w:szCs w:val="14"/>
                <w:color w:val="auto"/>
              </w:rPr>
            </w:pPr>
          </w:p>
        </w:tc>
        <w:tc>
          <w:tcPr>
            <w:tcW w:w="10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142,500</w:t>
            </w:r>
          </w:p>
        </w:tc>
        <w:tc>
          <w:tcPr>
            <w:tcW w:w="440" w:type="dxa"/>
            <w:vAlign w:val="bottom"/>
          </w:tcPr>
          <w:p>
            <w:pPr>
              <w:spacing w:after="0"/>
              <w:rPr>
                <w:sz w:val="14"/>
                <w:szCs w:val="14"/>
                <w:color w:val="auto"/>
              </w:rPr>
            </w:pPr>
          </w:p>
        </w:tc>
        <w:tc>
          <w:tcPr>
            <w:tcW w:w="128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21,616</w:t>
            </w:r>
          </w:p>
        </w:tc>
        <w:tc>
          <w:tcPr>
            <w:tcW w:w="1260" w:type="dxa"/>
            <w:vAlign w:val="bottom"/>
          </w:tcPr>
          <w:p>
            <w:pPr>
              <w:jc w:val="right"/>
              <w:ind w:right="100"/>
              <w:spacing w:after="0" w:line="168" w:lineRule="exact"/>
              <w:rPr>
                <w:sz w:val="20"/>
                <w:szCs w:val="20"/>
                <w:color w:val="auto"/>
              </w:rPr>
            </w:pPr>
            <w:r>
              <w:rPr>
                <w:rFonts w:ascii="Arial" w:cs="Arial" w:eastAsia="Arial" w:hAnsi="Arial"/>
                <w:sz w:val="16"/>
                <w:szCs w:val="16"/>
                <w:b w:val="1"/>
                <w:bCs w:val="1"/>
                <w:color w:val="auto"/>
              </w:rPr>
              <w:t>2,279,836</w:t>
            </w:r>
          </w:p>
        </w:tc>
      </w:tr>
      <w:tr>
        <w:trPr>
          <w:trHeight w:val="202"/>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371,180</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500,055</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59,195</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17,694</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948,124</w:t>
            </w:r>
          </w:p>
        </w:tc>
      </w:tr>
      <w:tr>
        <w:trPr>
          <w:trHeight w:val="168"/>
        </w:trPr>
        <w:tc>
          <w:tcPr>
            <w:tcW w:w="1640" w:type="dxa"/>
            <w:vAlign w:val="bottom"/>
          </w:tcPr>
          <w:p>
            <w:pPr>
              <w:spacing w:after="0" w:line="168" w:lineRule="exact"/>
              <w:rPr>
                <w:sz w:val="20"/>
                <w:szCs w:val="20"/>
                <w:color w:val="auto"/>
              </w:rPr>
            </w:pPr>
            <w:r>
              <w:rPr>
                <w:rFonts w:ascii="Arial" w:cs="Arial" w:eastAsia="Arial" w:hAnsi="Arial"/>
                <w:sz w:val="16"/>
                <w:szCs w:val="16"/>
                <w:b w:val="1"/>
                <w:bCs w:val="1"/>
                <w:color w:val="003A70"/>
              </w:rPr>
              <w:t>Brian E. Miller</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President, Vacation Ownership</w:t>
            </w: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spacing w:after="0" w:line="168" w:lineRule="exact"/>
              <w:rPr>
                <w:sz w:val="20"/>
                <w:szCs w:val="20"/>
                <w:color w:val="auto"/>
              </w:rPr>
            </w:pPr>
            <w:r>
              <w:rPr>
                <w:rFonts w:ascii="Arial" w:cs="Arial" w:eastAsia="Arial" w:hAnsi="Arial"/>
                <w:sz w:val="16"/>
                <w:szCs w:val="16"/>
                <w:color w:val="auto"/>
              </w:rPr>
              <w:t>2024</w:t>
            </w:r>
          </w:p>
        </w:tc>
        <w:tc>
          <w:tcPr>
            <w:tcW w:w="12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858,699</w:t>
            </w:r>
          </w:p>
        </w:tc>
        <w:tc>
          <w:tcPr>
            <w:tcW w:w="1340" w:type="dxa"/>
            <w:vAlign w:val="bottom"/>
          </w:tcPr>
          <w:p>
            <w:pPr>
              <w:jc w:val="right"/>
              <w:ind w:right="101"/>
              <w:spacing w:after="0" w:line="168" w:lineRule="exact"/>
              <w:rPr>
                <w:sz w:val="20"/>
                <w:szCs w:val="20"/>
                <w:color w:val="auto"/>
              </w:rPr>
            </w:pPr>
            <w:r>
              <w:rPr>
                <w:rFonts w:ascii="Arial" w:cs="Arial" w:eastAsia="Arial" w:hAnsi="Arial"/>
                <w:sz w:val="16"/>
                <w:szCs w:val="16"/>
                <w:color w:val="auto"/>
              </w:rPr>
              <w:t>1,400,064</w:t>
            </w:r>
          </w:p>
        </w:tc>
        <w:tc>
          <w:tcPr>
            <w:tcW w:w="13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349,999</w:t>
            </w:r>
          </w:p>
        </w:tc>
        <w:tc>
          <w:tcPr>
            <w:tcW w:w="300" w:type="dxa"/>
            <w:vAlign w:val="bottom"/>
          </w:tcPr>
          <w:p>
            <w:pPr>
              <w:spacing w:after="0"/>
              <w:rPr>
                <w:sz w:val="14"/>
                <w:szCs w:val="14"/>
                <w:color w:val="auto"/>
              </w:rPr>
            </w:pPr>
          </w:p>
        </w:tc>
        <w:tc>
          <w:tcPr>
            <w:tcW w:w="10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232,845</w:t>
            </w:r>
          </w:p>
        </w:tc>
        <w:tc>
          <w:tcPr>
            <w:tcW w:w="440" w:type="dxa"/>
            <w:vAlign w:val="bottom"/>
          </w:tcPr>
          <w:p>
            <w:pPr>
              <w:spacing w:after="0"/>
              <w:rPr>
                <w:sz w:val="14"/>
                <w:szCs w:val="14"/>
                <w:color w:val="auto"/>
              </w:rPr>
            </w:pPr>
          </w:p>
        </w:tc>
        <w:tc>
          <w:tcPr>
            <w:tcW w:w="128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34,673</w:t>
            </w:r>
          </w:p>
        </w:tc>
        <w:tc>
          <w:tcPr>
            <w:tcW w:w="1260" w:type="dxa"/>
            <w:vAlign w:val="bottom"/>
          </w:tcPr>
          <w:p>
            <w:pPr>
              <w:jc w:val="right"/>
              <w:ind w:right="100"/>
              <w:spacing w:after="0" w:line="168" w:lineRule="exact"/>
              <w:rPr>
                <w:sz w:val="20"/>
                <w:szCs w:val="20"/>
                <w:color w:val="auto"/>
              </w:rPr>
            </w:pPr>
            <w:r>
              <w:rPr>
                <w:rFonts w:ascii="Arial" w:cs="Arial" w:eastAsia="Arial" w:hAnsi="Arial"/>
                <w:sz w:val="16"/>
                <w:szCs w:val="16"/>
                <w:b w:val="1"/>
                <w:bCs w:val="1"/>
                <w:color w:val="auto"/>
              </w:rPr>
              <w:t>2,876,280</w:t>
            </w:r>
          </w:p>
        </w:tc>
      </w:tr>
      <w:tr>
        <w:trPr>
          <w:trHeight w:val="188"/>
        </w:trPr>
        <w:tc>
          <w:tcPr>
            <w:tcW w:w="1640" w:type="dxa"/>
            <w:vAlign w:val="bottom"/>
          </w:tcPr>
          <w:p>
            <w:pPr>
              <w:spacing w:after="0"/>
              <w:rPr>
                <w:sz w:val="20"/>
                <w:szCs w:val="20"/>
                <w:color w:val="auto"/>
              </w:rPr>
            </w:pPr>
            <w:r>
              <w:rPr>
                <w:rFonts w:ascii="Arial" w:cs="Arial" w:eastAsia="Arial" w:hAnsi="Arial"/>
                <w:sz w:val="16"/>
                <w:szCs w:val="16"/>
                <w:color w:val="auto"/>
              </w:rPr>
              <w:t>2023</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817,000</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1,200,074</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299,988</w:t>
            </w:r>
          </w:p>
        </w:tc>
        <w:tc>
          <w:tcPr>
            <w:tcW w:w="30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216,505</w:t>
            </w:r>
          </w:p>
        </w:tc>
        <w:tc>
          <w:tcPr>
            <w:tcW w:w="44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34,964</w:t>
            </w:r>
          </w:p>
        </w:tc>
        <w:tc>
          <w:tcPr>
            <w:tcW w:w="1260" w:type="dxa"/>
            <w:vAlign w:val="bottom"/>
          </w:tcPr>
          <w:p>
            <w:pPr>
              <w:jc w:val="right"/>
              <w:ind w:right="100"/>
              <w:spacing w:after="0"/>
              <w:rPr>
                <w:sz w:val="20"/>
                <w:szCs w:val="20"/>
                <w:color w:val="auto"/>
              </w:rPr>
            </w:pPr>
            <w:r>
              <w:rPr>
                <w:rFonts w:ascii="Arial" w:cs="Arial" w:eastAsia="Arial" w:hAnsi="Arial"/>
                <w:sz w:val="16"/>
                <w:szCs w:val="16"/>
                <w:b w:val="1"/>
                <w:bCs w:val="1"/>
                <w:color w:val="auto"/>
              </w:rPr>
              <w:t>2,568,531</w:t>
            </w:r>
          </w:p>
        </w:tc>
      </w:tr>
      <w:tr>
        <w:trPr>
          <w:trHeight w:val="202"/>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793,000</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839,867</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359,990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1,260,927</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6,776</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26,665</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3,287,225</w:t>
            </w:r>
          </w:p>
        </w:tc>
      </w:tr>
      <w:tr>
        <w:trPr>
          <w:trHeight w:val="168"/>
        </w:trPr>
        <w:tc>
          <w:tcPr>
            <w:tcW w:w="1640" w:type="dxa"/>
            <w:vAlign w:val="bottom"/>
          </w:tcPr>
          <w:p>
            <w:pPr>
              <w:spacing w:after="0" w:line="168" w:lineRule="exact"/>
              <w:rPr>
                <w:sz w:val="20"/>
                <w:szCs w:val="20"/>
                <w:color w:val="auto"/>
              </w:rPr>
            </w:pPr>
            <w:r>
              <w:rPr>
                <w:rFonts w:ascii="Arial" w:cs="Arial" w:eastAsia="Arial" w:hAnsi="Arial"/>
                <w:sz w:val="16"/>
                <w:szCs w:val="16"/>
                <w:b w:val="1"/>
                <w:bCs w:val="1"/>
                <w:color w:val="003A70"/>
              </w:rPr>
              <w:t>James H Hunter, IV</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Executive Vice President and General Counsel</w:t>
            </w: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spacing w:after="0" w:line="168" w:lineRule="exact"/>
              <w:rPr>
                <w:sz w:val="20"/>
                <w:szCs w:val="20"/>
                <w:color w:val="auto"/>
              </w:rPr>
            </w:pPr>
            <w:r>
              <w:rPr>
                <w:rFonts w:ascii="Arial" w:cs="Arial" w:eastAsia="Arial" w:hAnsi="Arial"/>
                <w:sz w:val="16"/>
                <w:szCs w:val="16"/>
                <w:color w:val="auto"/>
              </w:rPr>
              <w:t>2024</w:t>
            </w:r>
          </w:p>
        </w:tc>
        <w:tc>
          <w:tcPr>
            <w:tcW w:w="12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513,468</w:t>
            </w:r>
          </w:p>
        </w:tc>
        <w:tc>
          <w:tcPr>
            <w:tcW w:w="1340" w:type="dxa"/>
            <w:vAlign w:val="bottom"/>
          </w:tcPr>
          <w:p>
            <w:pPr>
              <w:jc w:val="right"/>
              <w:ind w:right="101"/>
              <w:spacing w:after="0" w:line="168" w:lineRule="exact"/>
              <w:rPr>
                <w:sz w:val="20"/>
                <w:szCs w:val="20"/>
                <w:color w:val="auto"/>
              </w:rPr>
            </w:pPr>
            <w:r>
              <w:rPr>
                <w:rFonts w:ascii="Arial" w:cs="Arial" w:eastAsia="Arial" w:hAnsi="Arial"/>
                <w:sz w:val="16"/>
                <w:szCs w:val="16"/>
                <w:color w:val="auto"/>
              </w:rPr>
              <w:t>1,000,070</w:t>
            </w:r>
          </w:p>
        </w:tc>
        <w:tc>
          <w:tcPr>
            <w:tcW w:w="13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249,999</w:t>
            </w:r>
          </w:p>
        </w:tc>
        <w:tc>
          <w:tcPr>
            <w:tcW w:w="300" w:type="dxa"/>
            <w:vAlign w:val="bottom"/>
          </w:tcPr>
          <w:p>
            <w:pPr>
              <w:spacing w:after="0"/>
              <w:rPr>
                <w:sz w:val="14"/>
                <w:szCs w:val="14"/>
                <w:color w:val="auto"/>
              </w:rPr>
            </w:pPr>
          </w:p>
        </w:tc>
        <w:tc>
          <w:tcPr>
            <w:tcW w:w="10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138,396</w:t>
            </w:r>
          </w:p>
        </w:tc>
        <w:tc>
          <w:tcPr>
            <w:tcW w:w="440" w:type="dxa"/>
            <w:vAlign w:val="bottom"/>
          </w:tcPr>
          <w:p>
            <w:pPr>
              <w:spacing w:after="0"/>
              <w:rPr>
                <w:sz w:val="14"/>
                <w:szCs w:val="14"/>
                <w:color w:val="auto"/>
              </w:rPr>
            </w:pPr>
          </w:p>
        </w:tc>
        <w:tc>
          <w:tcPr>
            <w:tcW w:w="128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34,821</w:t>
            </w:r>
          </w:p>
        </w:tc>
        <w:tc>
          <w:tcPr>
            <w:tcW w:w="1260" w:type="dxa"/>
            <w:vAlign w:val="bottom"/>
          </w:tcPr>
          <w:p>
            <w:pPr>
              <w:jc w:val="right"/>
              <w:ind w:right="100"/>
              <w:spacing w:after="0" w:line="168" w:lineRule="exact"/>
              <w:rPr>
                <w:sz w:val="20"/>
                <w:szCs w:val="20"/>
                <w:color w:val="auto"/>
              </w:rPr>
            </w:pPr>
            <w:r>
              <w:rPr>
                <w:rFonts w:ascii="Arial" w:cs="Arial" w:eastAsia="Arial" w:hAnsi="Arial"/>
                <w:sz w:val="16"/>
                <w:szCs w:val="16"/>
                <w:b w:val="1"/>
                <w:bCs w:val="1"/>
                <w:color w:val="auto"/>
              </w:rPr>
              <w:t>1,936,754</w:t>
            </w:r>
          </w:p>
        </w:tc>
      </w:tr>
      <w:tr>
        <w:trPr>
          <w:trHeight w:val="188"/>
        </w:trPr>
        <w:tc>
          <w:tcPr>
            <w:tcW w:w="1640" w:type="dxa"/>
            <w:vAlign w:val="bottom"/>
          </w:tcPr>
          <w:p>
            <w:pPr>
              <w:spacing w:after="0"/>
              <w:rPr>
                <w:sz w:val="20"/>
                <w:szCs w:val="20"/>
                <w:color w:val="auto"/>
              </w:rPr>
            </w:pPr>
            <w:r>
              <w:rPr>
                <w:rFonts w:ascii="Arial" w:cs="Arial" w:eastAsia="Arial" w:hAnsi="Arial"/>
                <w:sz w:val="16"/>
                <w:szCs w:val="16"/>
                <w:color w:val="auto"/>
              </w:rPr>
              <w:t>2023</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485,600</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800,050</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200,012</w:t>
            </w:r>
          </w:p>
        </w:tc>
        <w:tc>
          <w:tcPr>
            <w:tcW w:w="30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115,816</w:t>
            </w:r>
          </w:p>
        </w:tc>
        <w:tc>
          <w:tcPr>
            <w:tcW w:w="44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24,335</w:t>
            </w:r>
          </w:p>
        </w:tc>
        <w:tc>
          <w:tcPr>
            <w:tcW w:w="1260" w:type="dxa"/>
            <w:vAlign w:val="bottom"/>
          </w:tcPr>
          <w:p>
            <w:pPr>
              <w:jc w:val="right"/>
              <w:ind w:right="100"/>
              <w:spacing w:after="0"/>
              <w:rPr>
                <w:sz w:val="20"/>
                <w:szCs w:val="20"/>
                <w:color w:val="auto"/>
              </w:rPr>
            </w:pPr>
            <w:r>
              <w:rPr>
                <w:rFonts w:ascii="Arial" w:cs="Arial" w:eastAsia="Arial" w:hAnsi="Arial"/>
                <w:sz w:val="16"/>
                <w:szCs w:val="16"/>
                <w:b w:val="1"/>
                <w:bCs w:val="1"/>
                <w:color w:val="auto"/>
              </w:rPr>
              <w:t>1,625,813</w:t>
            </w:r>
          </w:p>
        </w:tc>
      </w:tr>
      <w:tr>
        <w:trPr>
          <w:trHeight w:val="202"/>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462,500</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629,938</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269,992</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661,867</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686</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19,854</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2,044,837</w:t>
            </w:r>
          </w:p>
        </w:tc>
      </w:tr>
      <w:tr>
        <w:trPr>
          <w:trHeight w:val="168"/>
        </w:trPr>
        <w:tc>
          <w:tcPr>
            <w:tcW w:w="1640" w:type="dxa"/>
            <w:vAlign w:val="bottom"/>
          </w:tcPr>
          <w:p>
            <w:pPr>
              <w:spacing w:after="0" w:line="168" w:lineRule="exact"/>
              <w:rPr>
                <w:sz w:val="20"/>
                <w:szCs w:val="20"/>
                <w:color w:val="auto"/>
              </w:rPr>
            </w:pPr>
            <w:r>
              <w:rPr>
                <w:rFonts w:ascii="Arial" w:cs="Arial" w:eastAsia="Arial" w:hAnsi="Arial"/>
                <w:sz w:val="16"/>
                <w:szCs w:val="16"/>
                <w:b w:val="1"/>
                <w:bCs w:val="1"/>
                <w:color w:val="003A70"/>
              </w:rPr>
              <w:t>Jeanette E. Marbert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President, Exchange and Third-Party Management</w:t>
            </w: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spacing w:after="0" w:line="168" w:lineRule="exact"/>
              <w:rPr>
                <w:sz w:val="20"/>
                <w:szCs w:val="20"/>
                <w:color w:val="auto"/>
              </w:rPr>
            </w:pPr>
            <w:r>
              <w:rPr>
                <w:rFonts w:ascii="Arial" w:cs="Arial" w:eastAsia="Arial" w:hAnsi="Arial"/>
                <w:sz w:val="16"/>
                <w:szCs w:val="16"/>
                <w:color w:val="auto"/>
              </w:rPr>
              <w:t>2024</w:t>
            </w:r>
          </w:p>
        </w:tc>
        <w:tc>
          <w:tcPr>
            <w:tcW w:w="12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391,649</w:t>
            </w:r>
          </w:p>
        </w:tc>
        <w:tc>
          <w:tcPr>
            <w:tcW w:w="1340" w:type="dxa"/>
            <w:vAlign w:val="bottom"/>
          </w:tcPr>
          <w:p>
            <w:pPr>
              <w:jc w:val="right"/>
              <w:ind w:right="101"/>
              <w:spacing w:after="0" w:line="168" w:lineRule="exact"/>
              <w:rPr>
                <w:sz w:val="20"/>
                <w:szCs w:val="20"/>
                <w:color w:val="auto"/>
              </w:rPr>
            </w:pPr>
            <w:r>
              <w:rPr>
                <w:rFonts w:ascii="Arial" w:cs="Arial" w:eastAsia="Arial" w:hAnsi="Arial"/>
                <w:sz w:val="16"/>
                <w:szCs w:val="16"/>
                <w:color w:val="auto"/>
              </w:rPr>
              <w:t>879,987</w:t>
            </w:r>
          </w:p>
        </w:tc>
        <w:tc>
          <w:tcPr>
            <w:tcW w:w="13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219,985</w:t>
            </w:r>
          </w:p>
        </w:tc>
        <w:tc>
          <w:tcPr>
            <w:tcW w:w="300" w:type="dxa"/>
            <w:vAlign w:val="bottom"/>
          </w:tcPr>
          <w:p>
            <w:pPr>
              <w:spacing w:after="0"/>
              <w:rPr>
                <w:sz w:val="14"/>
                <w:szCs w:val="14"/>
                <w:color w:val="auto"/>
              </w:rPr>
            </w:pPr>
          </w:p>
        </w:tc>
        <w:tc>
          <w:tcPr>
            <w:tcW w:w="1000" w:type="dxa"/>
            <w:vAlign w:val="bottom"/>
          </w:tcPr>
          <w:p>
            <w:pPr>
              <w:jc w:val="right"/>
              <w:ind w:right="20"/>
              <w:spacing w:after="0" w:line="168" w:lineRule="exact"/>
              <w:rPr>
                <w:sz w:val="20"/>
                <w:szCs w:val="20"/>
                <w:color w:val="auto"/>
              </w:rPr>
            </w:pPr>
            <w:r>
              <w:rPr>
                <w:rFonts w:ascii="Arial" w:cs="Arial" w:eastAsia="Arial" w:hAnsi="Arial"/>
                <w:sz w:val="16"/>
                <w:szCs w:val="16"/>
                <w:color w:val="auto"/>
              </w:rPr>
              <w:t>364,192</w:t>
            </w:r>
          </w:p>
        </w:tc>
        <w:tc>
          <w:tcPr>
            <w:tcW w:w="440" w:type="dxa"/>
            <w:vAlign w:val="bottom"/>
          </w:tcPr>
          <w:p>
            <w:pPr>
              <w:spacing w:after="0"/>
              <w:rPr>
                <w:sz w:val="14"/>
                <w:szCs w:val="14"/>
                <w:color w:val="auto"/>
              </w:rPr>
            </w:pPr>
          </w:p>
        </w:tc>
        <w:tc>
          <w:tcPr>
            <w:tcW w:w="128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29,781</w:t>
            </w:r>
          </w:p>
        </w:tc>
        <w:tc>
          <w:tcPr>
            <w:tcW w:w="1260" w:type="dxa"/>
            <w:vAlign w:val="bottom"/>
          </w:tcPr>
          <w:p>
            <w:pPr>
              <w:jc w:val="right"/>
              <w:ind w:right="100"/>
              <w:spacing w:after="0" w:line="168" w:lineRule="exact"/>
              <w:rPr>
                <w:sz w:val="20"/>
                <w:szCs w:val="20"/>
                <w:color w:val="auto"/>
              </w:rPr>
            </w:pPr>
            <w:r>
              <w:rPr>
                <w:rFonts w:ascii="Arial" w:cs="Arial" w:eastAsia="Arial" w:hAnsi="Arial"/>
                <w:sz w:val="16"/>
                <w:szCs w:val="16"/>
                <w:b w:val="1"/>
                <w:bCs w:val="1"/>
                <w:color w:val="auto"/>
              </w:rPr>
              <w:t>1,885,594</w:t>
            </w:r>
          </w:p>
        </w:tc>
      </w:tr>
      <w:tr>
        <w:trPr>
          <w:trHeight w:val="188"/>
        </w:trPr>
        <w:tc>
          <w:tcPr>
            <w:tcW w:w="1640" w:type="dxa"/>
            <w:vAlign w:val="bottom"/>
          </w:tcPr>
          <w:p>
            <w:pPr>
              <w:spacing w:after="0"/>
              <w:rPr>
                <w:sz w:val="20"/>
                <w:szCs w:val="20"/>
                <w:color w:val="auto"/>
              </w:rPr>
            </w:pPr>
            <w:r>
              <w:rPr>
                <w:rFonts w:ascii="Arial" w:cs="Arial" w:eastAsia="Arial" w:hAnsi="Arial"/>
                <w:sz w:val="16"/>
                <w:szCs w:val="16"/>
                <w:color w:val="auto"/>
              </w:rPr>
              <w:t>2023</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557,000</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879,938</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220,019</w:t>
            </w:r>
          </w:p>
        </w:tc>
        <w:tc>
          <w:tcPr>
            <w:tcW w:w="30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147,605</w:t>
            </w:r>
          </w:p>
        </w:tc>
        <w:tc>
          <w:tcPr>
            <w:tcW w:w="44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27,414</w:t>
            </w:r>
          </w:p>
        </w:tc>
        <w:tc>
          <w:tcPr>
            <w:tcW w:w="1260" w:type="dxa"/>
            <w:vAlign w:val="bottom"/>
          </w:tcPr>
          <w:p>
            <w:pPr>
              <w:jc w:val="right"/>
              <w:ind w:right="100"/>
              <w:spacing w:after="0"/>
              <w:rPr>
                <w:sz w:val="20"/>
                <w:szCs w:val="20"/>
                <w:color w:val="auto"/>
              </w:rPr>
            </w:pPr>
            <w:r>
              <w:rPr>
                <w:rFonts w:ascii="Arial" w:cs="Arial" w:eastAsia="Arial" w:hAnsi="Arial"/>
                <w:sz w:val="16"/>
                <w:szCs w:val="16"/>
                <w:b w:val="1"/>
                <w:bCs w:val="1"/>
                <w:color w:val="auto"/>
              </w:rPr>
              <w:t>1,831,976</w:t>
            </w:r>
          </w:p>
        </w:tc>
      </w:tr>
      <w:tr>
        <w:trPr>
          <w:trHeight w:val="202"/>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541,000</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700,068</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300,011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860,229</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21,475</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2,422,890</w:t>
            </w:r>
          </w:p>
        </w:tc>
      </w:tr>
      <w:tr>
        <w:trPr>
          <w:trHeight w:val="168"/>
        </w:trPr>
        <w:tc>
          <w:tcPr>
            <w:tcW w:w="1640" w:type="dxa"/>
            <w:vAlign w:val="bottom"/>
          </w:tcPr>
          <w:p>
            <w:pPr>
              <w:spacing w:after="0" w:line="168" w:lineRule="exact"/>
              <w:rPr>
                <w:sz w:val="20"/>
                <w:szCs w:val="20"/>
                <w:color w:val="auto"/>
              </w:rPr>
            </w:pPr>
            <w:r>
              <w:rPr>
                <w:rFonts w:ascii="Arial" w:cs="Arial" w:eastAsia="Arial" w:hAnsi="Arial"/>
                <w:sz w:val="16"/>
                <w:szCs w:val="16"/>
                <w:b w:val="1"/>
                <w:bCs w:val="1"/>
                <w:color w:val="003A70"/>
              </w:rPr>
              <w:t>Lori Gustafson</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6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Executive Vice President and Chief Membership and Commercial Services Officer</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3"/>
        </w:trPr>
        <w:tc>
          <w:tcPr>
            <w:tcW w:w="164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2024</w:t>
            </w:r>
          </w:p>
        </w:tc>
        <w:tc>
          <w:tcPr>
            <w:tcW w:w="1200" w:type="dxa"/>
            <w:vAlign w:val="bottom"/>
            <w:tcBorders>
              <w:bottom w:val="single" w:sz="8" w:color="003A70"/>
            </w:tcBorders>
          </w:tcPr>
          <w:p>
            <w:pPr>
              <w:jc w:val="right"/>
              <w:ind w:right="120"/>
              <w:spacing w:after="0" w:line="183" w:lineRule="exact"/>
              <w:rPr>
                <w:sz w:val="20"/>
                <w:szCs w:val="20"/>
                <w:color w:val="auto"/>
              </w:rPr>
            </w:pPr>
            <w:r>
              <w:rPr>
                <w:rFonts w:ascii="Arial" w:cs="Arial" w:eastAsia="Arial" w:hAnsi="Arial"/>
                <w:sz w:val="16"/>
                <w:szCs w:val="16"/>
                <w:color w:val="auto"/>
              </w:rPr>
              <w:t>458,478</w:t>
            </w:r>
          </w:p>
        </w:tc>
        <w:tc>
          <w:tcPr>
            <w:tcW w:w="1340" w:type="dxa"/>
            <w:vAlign w:val="bottom"/>
            <w:tcBorders>
              <w:bottom w:val="single" w:sz="8" w:color="003A70"/>
            </w:tcBorders>
          </w:tcPr>
          <w:p>
            <w:pPr>
              <w:jc w:val="right"/>
              <w:ind w:right="101"/>
              <w:spacing w:after="0" w:line="183" w:lineRule="exact"/>
              <w:rPr>
                <w:sz w:val="20"/>
                <w:szCs w:val="20"/>
                <w:color w:val="auto"/>
              </w:rPr>
            </w:pPr>
            <w:r>
              <w:rPr>
                <w:rFonts w:ascii="Arial" w:cs="Arial" w:eastAsia="Arial" w:hAnsi="Arial"/>
                <w:sz w:val="16"/>
                <w:szCs w:val="16"/>
                <w:color w:val="auto"/>
              </w:rPr>
              <w:t>679,989</w:t>
            </w:r>
          </w:p>
        </w:tc>
        <w:tc>
          <w:tcPr>
            <w:tcW w:w="1340" w:type="dxa"/>
            <w:vAlign w:val="bottom"/>
            <w:tcBorders>
              <w:bottom w:val="single" w:sz="8" w:color="003A70"/>
            </w:tcBorders>
          </w:tcPr>
          <w:p>
            <w:pPr>
              <w:jc w:val="right"/>
              <w:ind w:right="81"/>
              <w:spacing w:after="0" w:line="183" w:lineRule="exact"/>
              <w:rPr>
                <w:sz w:val="20"/>
                <w:szCs w:val="20"/>
                <w:color w:val="auto"/>
              </w:rPr>
            </w:pPr>
            <w:r>
              <w:rPr>
                <w:rFonts w:ascii="Arial" w:cs="Arial" w:eastAsia="Arial" w:hAnsi="Arial"/>
                <w:sz w:val="16"/>
                <w:szCs w:val="16"/>
                <w:color w:val="auto"/>
              </w:rPr>
              <w:t>169,985</w:t>
            </w:r>
          </w:p>
        </w:tc>
        <w:tc>
          <w:tcPr>
            <w:tcW w:w="300" w:type="dxa"/>
            <w:vAlign w:val="bottom"/>
            <w:tcBorders>
              <w:bottom w:val="single" w:sz="8" w:color="003A70"/>
            </w:tcBorders>
          </w:tcPr>
          <w:p>
            <w:pPr>
              <w:spacing w:after="0"/>
              <w:rPr>
                <w:sz w:val="15"/>
                <w:szCs w:val="15"/>
                <w:color w:val="auto"/>
              </w:rPr>
            </w:pPr>
          </w:p>
        </w:tc>
        <w:tc>
          <w:tcPr>
            <w:tcW w:w="1000" w:type="dxa"/>
            <w:vAlign w:val="bottom"/>
            <w:tcBorders>
              <w:bottom w:val="single" w:sz="8" w:color="003A70"/>
            </w:tcBorders>
          </w:tcPr>
          <w:p>
            <w:pPr>
              <w:jc w:val="right"/>
              <w:ind w:right="20"/>
              <w:spacing w:after="0" w:line="183" w:lineRule="exact"/>
              <w:rPr>
                <w:sz w:val="20"/>
                <w:szCs w:val="20"/>
                <w:color w:val="auto"/>
              </w:rPr>
            </w:pPr>
            <w:r>
              <w:rPr>
                <w:rFonts w:ascii="Arial" w:cs="Arial" w:eastAsia="Arial" w:hAnsi="Arial"/>
                <w:sz w:val="16"/>
                <w:szCs w:val="16"/>
                <w:color w:val="auto"/>
              </w:rPr>
              <w:t>112,988</w:t>
            </w:r>
          </w:p>
        </w:tc>
        <w:tc>
          <w:tcPr>
            <w:tcW w:w="440" w:type="dxa"/>
            <w:vAlign w:val="bottom"/>
            <w:tcBorders>
              <w:bottom w:val="single" w:sz="8" w:color="003A70"/>
            </w:tcBorders>
          </w:tcPr>
          <w:p>
            <w:pPr>
              <w:spacing w:after="0"/>
              <w:rPr>
                <w:sz w:val="15"/>
                <w:szCs w:val="15"/>
                <w:color w:val="auto"/>
              </w:rPr>
            </w:pPr>
          </w:p>
        </w:tc>
        <w:tc>
          <w:tcPr>
            <w:tcW w:w="1280" w:type="dxa"/>
            <w:vAlign w:val="bottom"/>
            <w:tcBorders>
              <w:bottom w:val="single" w:sz="8" w:color="003A70"/>
            </w:tcBorders>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003A70"/>
            </w:tcBorders>
          </w:tcPr>
          <w:p>
            <w:pPr>
              <w:jc w:val="right"/>
              <w:ind w:right="181"/>
              <w:spacing w:after="0" w:line="183" w:lineRule="exact"/>
              <w:rPr>
                <w:sz w:val="20"/>
                <w:szCs w:val="20"/>
                <w:color w:val="auto"/>
              </w:rPr>
            </w:pPr>
            <w:r>
              <w:rPr>
                <w:rFonts w:ascii="Arial" w:cs="Arial" w:eastAsia="Arial" w:hAnsi="Arial"/>
                <w:sz w:val="16"/>
                <w:szCs w:val="16"/>
                <w:color w:val="auto"/>
              </w:rPr>
              <w:t>33,879</w:t>
            </w:r>
          </w:p>
        </w:tc>
        <w:tc>
          <w:tcPr>
            <w:tcW w:w="1260" w:type="dxa"/>
            <w:vAlign w:val="bottom"/>
            <w:tcBorders>
              <w:bottom w:val="single" w:sz="8" w:color="003A70"/>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1,455,319</w:t>
            </w:r>
          </w:p>
        </w:tc>
      </w:tr>
    </w:tbl>
    <w:p>
      <w:pPr>
        <w:spacing w:after="0" w:line="71" w:lineRule="exact"/>
        <w:rPr>
          <w:sz w:val="20"/>
          <w:szCs w:val="20"/>
          <w:color w:val="auto"/>
        </w:rPr>
      </w:pPr>
    </w:p>
    <w:p>
      <w:pPr>
        <w:ind w:left="460" w:right="60" w:hanging="325"/>
        <w:spacing w:after="0" w:line="195"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This column reports all amounts earned as salary during the fiscal year, whether paid or deferred under employee benefit plans. Includes a 50% payout of accrued paid time off in the amount of $40,265 to Mr. Geller; $15,754 to Mr. Marino; $41,699 to Mr. Miller; $27,868 to Mr. Hunter; $27,457 to Ms. Marbert; and $18,603 to</w:t>
      </w:r>
    </w:p>
    <w:p>
      <w:pPr>
        <w:ind w:left="460"/>
        <w:spacing w:after="0"/>
        <w:rPr>
          <w:rFonts w:ascii="Arial" w:cs="Arial" w:eastAsia="Arial" w:hAnsi="Arial"/>
          <w:sz w:val="22"/>
          <w:szCs w:val="22"/>
          <w:color w:val="auto"/>
          <w:vertAlign w:val="superscript"/>
        </w:rPr>
      </w:pPr>
      <w:r>
        <w:rPr>
          <w:rFonts w:ascii="Arial" w:cs="Arial" w:eastAsia="Arial" w:hAnsi="Arial"/>
          <w:sz w:val="14"/>
          <w:szCs w:val="14"/>
          <w:color w:val="auto"/>
        </w:rPr>
        <w:t>Ms. Gustafson.</w:t>
      </w:r>
    </w:p>
    <w:p>
      <w:pPr>
        <w:spacing w:after="0" w:line="67" w:lineRule="exact"/>
        <w:rPr>
          <w:sz w:val="20"/>
          <w:szCs w:val="20"/>
          <w:color w:val="auto"/>
        </w:rPr>
      </w:pPr>
    </w:p>
    <w:p>
      <w:pPr>
        <w:ind w:left="460" w:right="20" w:hanging="325"/>
        <w:spacing w:after="0"/>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18 “Share-Based Compensation” of the Notes to our Consolidated Financial Statements included in the 2024 Annual Report. For additional information on these awards, see the Grants of Plan-Based Awards for Fiscal Year 2024 table below. The value reported for the Performance Units granted in 2024 is the grant date value assuming performance at target, which was the most probable outcome of the performance conditions on the grant date. The values of the Performance Units granted in 2024 at the grant date assuming the maximum level of performance conditions is achieved are: Mr. Geller, $5,999,939; Mr. Marino, $1,599,916; Mr. Miller, $1,750,067; Mr. Hunter, $1,250,072, Ms. Marbert, $1,099,921; and Ms. Gustafson, $850,008.</w:t>
      </w:r>
    </w:p>
    <w:p>
      <w:pPr>
        <w:spacing w:after="0" w:line="153" w:lineRule="exact"/>
        <w:rPr>
          <w:sz w:val="20"/>
          <w:szCs w:val="20"/>
          <w:color w:val="auto"/>
        </w:rPr>
      </w:pPr>
    </w:p>
    <w:p>
      <w:pPr>
        <w:ind w:left="460" w:right="420" w:hanging="325"/>
        <w:spacing w:after="0" w:line="203"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This column reports all amounts earned under the bonus plan in effect for such fiscal year, whether paid or deferred under other employee benefit plans. Amounts earned under a bonus plan during a fiscal year were paid in the first quarter of the following fiscal year.</w:t>
      </w:r>
    </w:p>
    <w:p>
      <w:pPr>
        <w:spacing w:after="0" w:line="117"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38</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p>
      <w:pPr>
        <w:ind w:left="460" w:right="240" w:hanging="325"/>
        <w:spacing w:after="0" w:line="219"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The values reported equal the excess of the return, if any, on amounts credited to accounts in the MVW Deferred Compensation Plan and the Marriott Deferred Compensation Plan at a fixed rate of return over 120% of the applicable federal long-term rate, as discussed below under “Nonqualified Deferred Compensation for Fiscal Year 2024.” The fixed rate of return in the MVW Deferred Compensation Plan and the Marriott Deferred Compensation Plan was less than 120% of the applicable federal long-term rate in fiscal years 2024 and 2023; thus, there was no excess return in either year.</w:t>
      </w:r>
    </w:p>
    <w:p>
      <w:pPr>
        <w:spacing w:after="0" w:line="55" w:lineRule="exact"/>
        <w:rPr>
          <w:sz w:val="20"/>
          <w:szCs w:val="20"/>
          <w:color w:val="auto"/>
        </w:rPr>
      </w:pPr>
    </w:p>
    <w:p>
      <w:pPr>
        <w:ind w:left="460" w:right="320" w:hanging="325"/>
        <w:spacing w:after="0" w:line="228"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All Other Compensation for 2024 consists of Company contributions to the 401(k) Plan ($11,644 for each named executive officer); Company contributions to the MVW Deferred Compensation Plan ($15,389 for Mr. Geller; $6,468 for Mr. Marino; $12,096 for Mr. Miller; $7,079 for Mr. Hunter and $10,164 for Ms. Marbert); long-term disability premiums ($4,840 for Mr.Geller; $2,120 for Mr. Marino; $5,020 for Mr. Miller; $5,114 for Mr. Hunter; $3,318 for Ms. Marbert; and $3,711 for Ms. Gustafson); premiums for an insurance policy on the life of each named executive officer ($712 for Mr. Geller; $216 for Mr. Marino; $356 for Mr. Miller; $231 for Mr. Hunter; $237 for Ms. Marbert; and $208 for Ms. Gustafson); executive physical exams ($8,778 for Mr. Geller; $4,880 for Mr. Miller; $7,313 for Mr. Hunter; $4,168 for Ms. Marbert; and $7,485 for Ms. Gustafson); compensatory room nights ($918 for Mr. Marino, $427 for Mr. Miller; $3,190 for Mr. Hunter, and $10,581 for Ms. Gustafson); and a status upgrade in the Marriott Bonvoy program ($250 for Mr. Marino, Mr. Miller, Mr. Hunter, Ms. Marbert, and Ms. Gustafson).</w:t>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Grants of Plan-Based Awards for Fiscal Year 2024</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shows the plan-based awards granted to the named executive officers in 2024.</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All Other</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A70"/>
              </w:rPr>
              <w:t>All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Options/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A70"/>
              </w:rPr>
              <w:t>Other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A70"/>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003A70"/>
              </w:rPr>
              <w:t>Estimated Possible Payouts Under</w:t>
            </w:r>
          </w:p>
        </w:tc>
        <w:tc>
          <w:tcPr>
            <w:tcW w:w="60" w:type="dxa"/>
            <w:vAlign w:val="bottom"/>
          </w:tcPr>
          <w:p>
            <w:pPr>
              <w:spacing w:after="0"/>
              <w:rPr>
                <w:sz w:val="14"/>
                <w:szCs w:val="14"/>
                <w:color w:val="auto"/>
              </w:rPr>
            </w:pPr>
          </w:p>
        </w:tc>
        <w:tc>
          <w:tcPr>
            <w:tcW w:w="24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003A70"/>
              </w:rPr>
              <w:t>Estimated Possible Payouts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w w:val="99"/>
              </w:rPr>
              <w:t>Number of</w:t>
            </w:r>
          </w:p>
        </w:tc>
        <w:tc>
          <w:tcPr>
            <w:tcW w:w="7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A70"/>
              </w:rPr>
              <w:t>Grant Date</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Number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Securities</w:t>
            </w:r>
          </w:p>
        </w:tc>
        <w:tc>
          <w:tcPr>
            <w:tcW w:w="70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Fair Value of</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80" w:type="dxa"/>
            <w:vAlign w:val="bottom"/>
            <w:gridSpan w:val="5"/>
          </w:tcPr>
          <w:p>
            <w:pPr>
              <w:jc w:val="center"/>
              <w:ind w:right="180"/>
              <w:spacing w:after="0" w:line="142" w:lineRule="exact"/>
              <w:rPr>
                <w:sz w:val="20"/>
                <w:szCs w:val="20"/>
                <w:color w:val="auto"/>
              </w:rPr>
            </w:pPr>
            <w:r>
              <w:rPr>
                <w:rFonts w:ascii="Arial" w:cs="Arial" w:eastAsia="Arial" w:hAnsi="Arial"/>
                <w:sz w:val="11"/>
                <w:szCs w:val="11"/>
                <w:b w:val="1"/>
                <w:bCs w:val="1"/>
                <w:color w:val="003A70"/>
              </w:rPr>
              <w:t>Non-Equity Incentive Plan Awards</w:t>
            </w:r>
            <w:r>
              <w:rPr>
                <w:rFonts w:ascii="Arial" w:cs="Arial" w:eastAsia="Arial" w:hAnsi="Arial"/>
                <w:sz w:val="16"/>
                <w:szCs w:val="16"/>
                <w:color w:val="003A70"/>
                <w:vertAlign w:val="superscript"/>
              </w:rPr>
              <w:t>3</w:t>
            </w:r>
          </w:p>
        </w:tc>
        <w:tc>
          <w:tcPr>
            <w:tcW w:w="2520" w:type="dxa"/>
            <w:vAlign w:val="bottom"/>
            <w:gridSpan w:val="5"/>
          </w:tcPr>
          <w:p>
            <w:pPr>
              <w:ind w:left="40"/>
              <w:spacing w:after="0" w:line="141" w:lineRule="exact"/>
              <w:rPr>
                <w:sz w:val="20"/>
                <w:szCs w:val="20"/>
                <w:color w:val="auto"/>
              </w:rPr>
            </w:pPr>
            <w:r>
              <w:rPr>
                <w:rFonts w:ascii="Arial" w:cs="Arial" w:eastAsia="Arial" w:hAnsi="Arial"/>
                <w:sz w:val="14"/>
                <w:szCs w:val="14"/>
                <w:b w:val="1"/>
                <w:bCs w:val="1"/>
                <w:color w:val="003A70"/>
              </w:rPr>
              <w:t>Under Equity Incentive Plan Awards</w:t>
            </w:r>
          </w:p>
        </w:tc>
        <w:tc>
          <w:tcPr>
            <w:tcW w:w="7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003A70"/>
            </w:tcBorders>
          </w:tcPr>
          <w:p>
            <w:pPr>
              <w:spacing w:after="0" w:line="20" w:lineRule="exact"/>
              <w:rPr>
                <w:sz w:val="1"/>
                <w:szCs w:val="1"/>
                <w:color w:val="auto"/>
              </w:rPr>
            </w:pPr>
          </w:p>
        </w:tc>
        <w:tc>
          <w:tcPr>
            <w:tcW w:w="920" w:type="dxa"/>
            <w:vAlign w:val="bottom"/>
            <w:tcBorders>
              <w:bottom w:val="single" w:sz="8" w:color="003A70"/>
            </w:tcBorders>
          </w:tcPr>
          <w:p>
            <w:pPr>
              <w:spacing w:after="0" w:line="20" w:lineRule="exact"/>
              <w:rPr>
                <w:sz w:val="1"/>
                <w:szCs w:val="1"/>
                <w:color w:val="auto"/>
              </w:rPr>
            </w:pPr>
          </w:p>
        </w:tc>
        <w:tc>
          <w:tcPr>
            <w:tcW w:w="720" w:type="dxa"/>
            <w:vAlign w:val="bottom"/>
            <w:tcBorders>
              <w:bottom w:val="single" w:sz="8" w:color="003A7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003A70"/>
            </w:tcBorders>
          </w:tcPr>
          <w:p>
            <w:pPr>
              <w:spacing w:after="0" w:line="20" w:lineRule="exact"/>
              <w:rPr>
                <w:sz w:val="1"/>
                <w:szCs w:val="1"/>
                <w:color w:val="auto"/>
              </w:rPr>
            </w:pPr>
          </w:p>
        </w:tc>
        <w:tc>
          <w:tcPr>
            <w:tcW w:w="720" w:type="dxa"/>
            <w:vAlign w:val="bottom"/>
            <w:tcBorders>
              <w:top w:val="single" w:sz="8" w:color="003A70"/>
            </w:tcBorders>
          </w:tcPr>
          <w:p>
            <w:pPr>
              <w:spacing w:after="0" w:line="20" w:lineRule="exact"/>
              <w:rPr>
                <w:sz w:val="1"/>
                <w:szCs w:val="1"/>
                <w:color w:val="auto"/>
              </w:rPr>
            </w:pPr>
          </w:p>
        </w:tc>
        <w:tc>
          <w:tcPr>
            <w:tcW w:w="880" w:type="dxa"/>
            <w:vAlign w:val="bottom"/>
            <w:tcBorders>
              <w:top w:val="single" w:sz="8" w:color="003A7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jc w:val="center"/>
              <w:spacing w:after="0" w:line="65" w:lineRule="exact"/>
              <w:rPr>
                <w:sz w:val="20"/>
                <w:szCs w:val="20"/>
                <w:color w:val="auto"/>
              </w:rPr>
            </w:pPr>
            <w:r>
              <w:rPr>
                <w:rFonts w:ascii="Arial" w:cs="Arial" w:eastAsia="Arial" w:hAnsi="Arial"/>
                <w:sz w:val="7"/>
                <w:szCs w:val="7"/>
                <w:b w:val="1"/>
                <w:bCs w:val="1"/>
                <w:color w:val="003A70"/>
              </w:rPr>
              <w:t>of Shares</w:t>
            </w:r>
          </w:p>
        </w:tc>
        <w:tc>
          <w:tcPr>
            <w:tcW w:w="860" w:type="dxa"/>
            <w:vAlign w:val="bottom"/>
            <w:vMerge w:val="restart"/>
          </w:tcPr>
          <w:p>
            <w:pPr>
              <w:jc w:val="center"/>
              <w:spacing w:after="0" w:line="65" w:lineRule="exact"/>
              <w:rPr>
                <w:sz w:val="20"/>
                <w:szCs w:val="20"/>
                <w:color w:val="auto"/>
              </w:rPr>
            </w:pPr>
            <w:r>
              <w:rPr>
                <w:rFonts w:ascii="Arial" w:cs="Arial" w:eastAsia="Arial" w:hAnsi="Arial"/>
                <w:sz w:val="7"/>
                <w:szCs w:val="7"/>
                <w:b w:val="1"/>
                <w:bCs w:val="1"/>
                <w:color w:val="003A70"/>
              </w:rPr>
              <w:t>Underlying</w:t>
            </w:r>
          </w:p>
        </w:tc>
        <w:tc>
          <w:tcPr>
            <w:tcW w:w="700" w:type="dxa"/>
            <w:vAlign w:val="bottom"/>
            <w:vMerge w:val="restart"/>
          </w:tcPr>
          <w:p>
            <w:pPr>
              <w:jc w:val="center"/>
              <w:spacing w:after="0" w:line="65" w:lineRule="exact"/>
              <w:rPr>
                <w:sz w:val="20"/>
                <w:szCs w:val="20"/>
                <w:color w:val="auto"/>
              </w:rPr>
            </w:pPr>
            <w:r>
              <w:rPr>
                <w:rFonts w:ascii="Arial" w:cs="Arial" w:eastAsia="Arial" w:hAnsi="Arial"/>
                <w:sz w:val="7"/>
                <w:szCs w:val="7"/>
                <w:b w:val="1"/>
                <w:bCs w:val="1"/>
                <w:color w:val="003A70"/>
              </w:rPr>
              <w:t>Exercise</w:t>
            </w:r>
          </w:p>
        </w:tc>
        <w:tc>
          <w:tcPr>
            <w:tcW w:w="940" w:type="dxa"/>
            <w:vAlign w:val="bottom"/>
            <w:vMerge w:val="restart"/>
          </w:tcPr>
          <w:p>
            <w:pPr>
              <w:jc w:val="center"/>
              <w:spacing w:after="0" w:line="65" w:lineRule="exact"/>
              <w:rPr>
                <w:sz w:val="20"/>
                <w:szCs w:val="20"/>
                <w:color w:val="auto"/>
              </w:rPr>
            </w:pPr>
            <w:r>
              <w:rPr>
                <w:rFonts w:ascii="Arial" w:cs="Arial" w:eastAsia="Arial" w:hAnsi="Arial"/>
                <w:sz w:val="7"/>
                <w:szCs w:val="7"/>
                <w:b w:val="1"/>
                <w:bCs w:val="1"/>
                <w:color w:val="003A70"/>
              </w:rPr>
              <w:t>Stock and</w:t>
            </w:r>
          </w:p>
        </w:tc>
        <w:tc>
          <w:tcPr>
            <w:tcW w:w="0" w:type="dxa"/>
            <w:vAlign w:val="bottom"/>
          </w:tcPr>
          <w:p>
            <w:pPr>
              <w:spacing w:after="0" w:line="20" w:lineRule="exact"/>
              <w:rPr>
                <w:sz w:val="1"/>
                <w:szCs w:val="1"/>
                <w:color w:val="auto"/>
              </w:rPr>
            </w:pPr>
          </w:p>
        </w:tc>
      </w:tr>
      <w:tr>
        <w:trPr>
          <w:trHeight w:val="25"/>
        </w:trPr>
        <w:tc>
          <w:tcPr>
            <w:tcW w:w="1040" w:type="dxa"/>
            <w:vAlign w:val="bottom"/>
          </w:tcPr>
          <w:p>
            <w:pPr>
              <w:spacing w:after="0"/>
              <w:rPr>
                <w:sz w:val="2"/>
                <w:szCs w:val="2"/>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003A70"/>
              </w:rPr>
              <w:t>Grant</w:t>
            </w:r>
          </w:p>
        </w:tc>
        <w:tc>
          <w:tcPr>
            <w:tcW w:w="8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003A70"/>
              </w:rPr>
              <w:t>Approval</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3A70"/>
              </w:rPr>
              <w:t>Threshold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Target</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3A70"/>
              </w:rPr>
              <w:t>Maximum</w:t>
            </w:r>
          </w:p>
        </w:tc>
        <w:tc>
          <w:tcPr>
            <w:tcW w:w="6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Threshold</w:t>
            </w:r>
          </w:p>
        </w:tc>
        <w:tc>
          <w:tcPr>
            <w:tcW w:w="7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003A70"/>
              </w:rPr>
              <w:t>Target</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3A70"/>
              </w:rPr>
              <w:t>Maximum</w:t>
            </w: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0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003A70"/>
              </w:rPr>
              <w:t>of Stock</w:t>
            </w: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003A70"/>
              </w:rPr>
              <w:t>Options/</w:t>
            </w:r>
          </w:p>
        </w:tc>
        <w:tc>
          <w:tcPr>
            <w:tcW w:w="700" w:type="dxa"/>
            <w:vAlign w:val="bottom"/>
          </w:tcPr>
          <w:p>
            <w:pPr>
              <w:jc w:val="center"/>
              <w:spacing w:after="0" w:line="144" w:lineRule="exact"/>
              <w:rPr>
                <w:sz w:val="20"/>
                <w:szCs w:val="20"/>
                <w:color w:val="auto"/>
              </w:rPr>
            </w:pPr>
            <w:r>
              <w:rPr>
                <w:rFonts w:ascii="Arial" w:cs="Arial" w:eastAsia="Arial" w:hAnsi="Arial"/>
                <w:sz w:val="14"/>
                <w:szCs w:val="14"/>
                <w:b w:val="1"/>
                <w:bCs w:val="1"/>
                <w:color w:val="003A70"/>
              </w:rPr>
              <w:t>or Base</w:t>
            </w: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003A70"/>
              </w:rPr>
              <w:t>Option/SAR</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003A70"/>
            </w:tcBorders>
          </w:tcPr>
          <w:p>
            <w:pPr>
              <w:spacing w:after="0" w:line="188" w:lineRule="exact"/>
              <w:rPr>
                <w:sz w:val="20"/>
                <w:szCs w:val="20"/>
                <w:color w:val="auto"/>
              </w:rPr>
            </w:pPr>
            <w:r>
              <w:rPr>
                <w:rFonts w:ascii="Arial" w:cs="Arial" w:eastAsia="Arial" w:hAnsi="Arial"/>
                <w:sz w:val="14"/>
                <w:szCs w:val="14"/>
                <w:b w:val="1"/>
                <w:bCs w:val="1"/>
                <w:color w:val="003A70"/>
              </w:rPr>
              <w:t>Award Type</w:t>
            </w:r>
            <w:r>
              <w:rPr>
                <w:rFonts w:ascii="Arial" w:cs="Arial" w:eastAsia="Arial" w:hAnsi="Arial"/>
                <w:sz w:val="21"/>
                <w:szCs w:val="21"/>
                <w:color w:val="003A70"/>
                <w:vertAlign w:val="superscript"/>
              </w:rPr>
              <w:t>1</w:t>
            </w:r>
          </w:p>
        </w:tc>
        <w:tc>
          <w:tcPr>
            <w:tcW w:w="860" w:type="dxa"/>
            <w:vAlign w:val="bottom"/>
            <w:tcBorders>
              <w:bottom w:val="single" w:sz="8" w:color="003A70"/>
            </w:tcBorders>
          </w:tcPr>
          <w:p>
            <w:pPr>
              <w:jc w:val="right"/>
              <w:ind w:right="200"/>
              <w:spacing w:after="0" w:line="188" w:lineRule="exact"/>
              <w:rPr>
                <w:sz w:val="20"/>
                <w:szCs w:val="20"/>
                <w:color w:val="auto"/>
              </w:rPr>
            </w:pPr>
            <w:r>
              <w:rPr>
                <w:rFonts w:ascii="Arial" w:cs="Arial" w:eastAsia="Arial" w:hAnsi="Arial"/>
                <w:sz w:val="14"/>
                <w:szCs w:val="14"/>
                <w:b w:val="1"/>
                <w:bCs w:val="1"/>
                <w:color w:val="003A70"/>
              </w:rPr>
              <w:t>Date</w:t>
            </w:r>
            <w:r>
              <w:rPr>
                <w:rFonts w:ascii="Arial" w:cs="Arial" w:eastAsia="Arial" w:hAnsi="Arial"/>
                <w:sz w:val="21"/>
                <w:szCs w:val="21"/>
                <w:color w:val="003A70"/>
                <w:vertAlign w:val="superscript"/>
              </w:rPr>
              <w:t>2</w:t>
            </w:r>
          </w:p>
        </w:tc>
        <w:tc>
          <w:tcPr>
            <w:tcW w:w="860" w:type="dxa"/>
            <w:vAlign w:val="bottom"/>
            <w:tcBorders>
              <w:bottom w:val="single" w:sz="8" w:color="003A70"/>
            </w:tcBorders>
          </w:tcPr>
          <w:p>
            <w:pPr>
              <w:jc w:val="right"/>
              <w:ind w:right="180"/>
              <w:spacing w:after="0" w:line="188" w:lineRule="exact"/>
              <w:rPr>
                <w:sz w:val="20"/>
                <w:szCs w:val="20"/>
                <w:color w:val="auto"/>
              </w:rPr>
            </w:pPr>
            <w:r>
              <w:rPr>
                <w:rFonts w:ascii="Arial" w:cs="Arial" w:eastAsia="Arial" w:hAnsi="Arial"/>
                <w:sz w:val="14"/>
                <w:szCs w:val="14"/>
                <w:b w:val="1"/>
                <w:bCs w:val="1"/>
                <w:color w:val="003A70"/>
              </w:rPr>
              <w:t>Date</w:t>
            </w:r>
            <w:r>
              <w:rPr>
                <w:rFonts w:ascii="Arial" w:cs="Arial" w:eastAsia="Arial" w:hAnsi="Arial"/>
                <w:sz w:val="21"/>
                <w:szCs w:val="21"/>
                <w:color w:val="003A70"/>
                <w:vertAlign w:val="superscript"/>
              </w:rPr>
              <w:t>2</w:t>
            </w:r>
          </w:p>
        </w:tc>
        <w:tc>
          <w:tcPr>
            <w:tcW w:w="820" w:type="dxa"/>
            <w:vAlign w:val="bottom"/>
            <w:tcBorders>
              <w:bottom w:val="single" w:sz="8" w:color="003A70"/>
            </w:tcBorders>
            <w:gridSpan w:val="2"/>
          </w:tcPr>
          <w:p>
            <w:pPr>
              <w:jc w:val="right"/>
              <w:ind w:right="280"/>
              <w:spacing w:after="0"/>
              <w:rPr>
                <w:sz w:val="20"/>
                <w:szCs w:val="20"/>
                <w:color w:val="auto"/>
              </w:rPr>
            </w:pPr>
            <w:r>
              <w:rPr>
                <w:rFonts w:ascii="Arial" w:cs="Arial" w:eastAsia="Arial" w:hAnsi="Arial"/>
                <w:sz w:val="14"/>
                <w:szCs w:val="14"/>
                <w:b w:val="1"/>
                <w:bCs w:val="1"/>
                <w:color w:val="003A70"/>
              </w:rPr>
              <w:t>$</w:t>
            </w:r>
          </w:p>
        </w:tc>
        <w:tc>
          <w:tcPr>
            <w:tcW w:w="9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w:t>
            </w:r>
          </w:p>
        </w:tc>
        <w:tc>
          <w:tcPr>
            <w:tcW w:w="720" w:type="dxa"/>
            <w:vAlign w:val="bottom"/>
            <w:tcBorders>
              <w:bottom w:val="single" w:sz="8" w:color="003A70"/>
            </w:tcBorders>
          </w:tcPr>
          <w:p>
            <w:pPr>
              <w:jc w:val="right"/>
              <w:ind w:right="140"/>
              <w:spacing w:after="0"/>
              <w:rPr>
                <w:sz w:val="20"/>
                <w:szCs w:val="20"/>
                <w:color w:val="auto"/>
              </w:rPr>
            </w:pPr>
            <w:r>
              <w:rPr>
                <w:rFonts w:ascii="Arial" w:cs="Arial" w:eastAsia="Arial" w:hAnsi="Arial"/>
                <w:sz w:val="14"/>
                <w:szCs w:val="14"/>
                <w:b w:val="1"/>
                <w:bCs w:val="1"/>
                <w:color w:val="003A70"/>
              </w:rPr>
              <w:t>$</w:t>
            </w:r>
          </w:p>
        </w:tc>
        <w:tc>
          <w:tcPr>
            <w:tcW w:w="220" w:type="dxa"/>
            <w:vAlign w:val="bottom"/>
            <w:tcBorders>
              <w:bottom w:val="single" w:sz="8" w:color="003A70"/>
            </w:tcBorders>
          </w:tcPr>
          <w:p>
            <w:pPr>
              <w:spacing w:after="0"/>
              <w:rPr>
                <w:sz w:val="16"/>
                <w:szCs w:val="16"/>
                <w:color w:val="auto"/>
              </w:rPr>
            </w:pPr>
          </w:p>
        </w:tc>
        <w:tc>
          <w:tcPr>
            <w:tcW w:w="880" w:type="dxa"/>
            <w:vAlign w:val="bottom"/>
            <w:tcBorders>
              <w:bottom w:val="single" w:sz="8" w:color="003A70"/>
            </w:tcBorders>
            <w:gridSpan w:val="2"/>
          </w:tcPr>
          <w:p>
            <w:pPr>
              <w:jc w:val="right"/>
              <w:ind w:right="320"/>
              <w:spacing w:after="0"/>
              <w:rPr>
                <w:sz w:val="20"/>
                <w:szCs w:val="20"/>
                <w:color w:val="auto"/>
              </w:rPr>
            </w:pPr>
            <w:r>
              <w:rPr>
                <w:rFonts w:ascii="Arial" w:cs="Arial" w:eastAsia="Arial" w:hAnsi="Arial"/>
                <w:sz w:val="14"/>
                <w:szCs w:val="14"/>
                <w:b w:val="1"/>
                <w:bCs w:val="1"/>
                <w:color w:val="003A70"/>
              </w:rPr>
              <w:t>#</w:t>
            </w:r>
          </w:p>
        </w:tc>
        <w:tc>
          <w:tcPr>
            <w:tcW w:w="720" w:type="dxa"/>
            <w:vAlign w:val="bottom"/>
            <w:tcBorders>
              <w:bottom w:val="single" w:sz="8" w:color="003A70"/>
            </w:tcBorders>
          </w:tcPr>
          <w:p>
            <w:pPr>
              <w:jc w:val="right"/>
              <w:ind w:right="280"/>
              <w:spacing w:after="0"/>
              <w:rPr>
                <w:sz w:val="20"/>
                <w:szCs w:val="20"/>
                <w:color w:val="auto"/>
              </w:rPr>
            </w:pPr>
            <w:r>
              <w:rPr>
                <w:rFonts w:ascii="Arial" w:cs="Arial" w:eastAsia="Arial" w:hAnsi="Arial"/>
                <w:sz w:val="14"/>
                <w:szCs w:val="14"/>
                <w:b w:val="1"/>
                <w:bCs w:val="1"/>
                <w:color w:val="003A70"/>
              </w:rPr>
              <w:t>#</w:t>
            </w:r>
          </w:p>
        </w:tc>
        <w:tc>
          <w:tcPr>
            <w:tcW w:w="880" w:type="dxa"/>
            <w:vAlign w:val="bottom"/>
            <w:tcBorders>
              <w:bottom w:val="single" w:sz="8" w:color="003A70"/>
            </w:tcBorders>
          </w:tcPr>
          <w:p>
            <w:pPr>
              <w:jc w:val="right"/>
              <w:ind w:right="340"/>
              <w:spacing w:after="0"/>
              <w:rPr>
                <w:sz w:val="20"/>
                <w:szCs w:val="20"/>
                <w:color w:val="auto"/>
              </w:rPr>
            </w:pPr>
            <w:r>
              <w:rPr>
                <w:rFonts w:ascii="Arial" w:cs="Arial" w:eastAsia="Arial" w:hAnsi="Arial"/>
                <w:sz w:val="14"/>
                <w:szCs w:val="14"/>
                <w:b w:val="1"/>
                <w:bCs w:val="1"/>
                <w:color w:val="003A70"/>
              </w:rPr>
              <w:t>#</w:t>
            </w:r>
          </w:p>
        </w:tc>
        <w:tc>
          <w:tcPr>
            <w:tcW w:w="40" w:type="dxa"/>
            <w:vAlign w:val="bottom"/>
            <w:tcBorders>
              <w:bottom w:val="single" w:sz="8" w:color="003A70"/>
            </w:tcBorders>
          </w:tcPr>
          <w:p>
            <w:pPr>
              <w:spacing w:after="0"/>
              <w:rPr>
                <w:sz w:val="16"/>
                <w:szCs w:val="16"/>
                <w:color w:val="auto"/>
              </w:rPr>
            </w:pP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or Units</w:t>
            </w:r>
          </w:p>
        </w:tc>
        <w:tc>
          <w:tcPr>
            <w:tcW w:w="8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SARs</w:t>
            </w:r>
          </w:p>
        </w:tc>
        <w:tc>
          <w:tcPr>
            <w:tcW w:w="700" w:type="dxa"/>
            <w:vAlign w:val="bottom"/>
            <w:tcBorders>
              <w:bottom w:val="single" w:sz="8" w:color="003A70"/>
            </w:tcBorders>
          </w:tcPr>
          <w:p>
            <w:pPr>
              <w:jc w:val="center"/>
              <w:spacing w:after="0" w:line="188" w:lineRule="exact"/>
              <w:rPr>
                <w:sz w:val="20"/>
                <w:szCs w:val="20"/>
                <w:color w:val="auto"/>
              </w:rPr>
            </w:pPr>
            <w:r>
              <w:rPr>
                <w:rFonts w:ascii="Arial" w:cs="Arial" w:eastAsia="Arial" w:hAnsi="Arial"/>
                <w:sz w:val="14"/>
                <w:szCs w:val="14"/>
                <w:b w:val="1"/>
                <w:bCs w:val="1"/>
                <w:color w:val="003A70"/>
                <w:w w:val="99"/>
              </w:rPr>
              <w:t>Price</w:t>
            </w:r>
            <w:r>
              <w:rPr>
                <w:rFonts w:ascii="Arial" w:cs="Arial" w:eastAsia="Arial" w:hAnsi="Arial"/>
                <w:sz w:val="21"/>
                <w:szCs w:val="21"/>
                <w:color w:val="003A70"/>
                <w:w w:val="99"/>
                <w:vertAlign w:val="superscript"/>
              </w:rPr>
              <w:t>4</w:t>
            </w:r>
          </w:p>
        </w:tc>
        <w:tc>
          <w:tcPr>
            <w:tcW w:w="940" w:type="dxa"/>
            <w:vAlign w:val="bottom"/>
            <w:tcBorders>
              <w:bottom w:val="single" w:sz="8" w:color="003A70"/>
            </w:tcBorders>
          </w:tcPr>
          <w:p>
            <w:pPr>
              <w:jc w:val="center"/>
              <w:spacing w:after="0" w:line="188" w:lineRule="exact"/>
              <w:rPr>
                <w:sz w:val="20"/>
                <w:szCs w:val="20"/>
                <w:color w:val="auto"/>
              </w:rPr>
            </w:pPr>
            <w:r>
              <w:rPr>
                <w:rFonts w:ascii="Arial" w:cs="Arial" w:eastAsia="Arial" w:hAnsi="Arial"/>
                <w:sz w:val="14"/>
                <w:szCs w:val="14"/>
                <w:b w:val="1"/>
                <w:bCs w:val="1"/>
                <w:color w:val="003A70"/>
                <w:w w:val="99"/>
              </w:rPr>
              <w:t>Awards</w:t>
            </w:r>
            <w:r>
              <w:rPr>
                <w:rFonts w:ascii="Arial" w:cs="Arial" w:eastAsia="Arial" w:hAnsi="Arial"/>
                <w:sz w:val="21"/>
                <w:szCs w:val="21"/>
                <w:color w:val="003A70"/>
                <w:w w:val="99"/>
                <w:vertAlign w:val="superscript"/>
              </w:rPr>
              <w:t>5</w:t>
            </w:r>
          </w:p>
        </w:tc>
        <w:tc>
          <w:tcPr>
            <w:tcW w:w="0" w:type="dxa"/>
            <w:vAlign w:val="bottom"/>
          </w:tcPr>
          <w:p>
            <w:pPr>
              <w:spacing w:after="0"/>
              <w:rPr>
                <w:sz w:val="1"/>
                <w:szCs w:val="1"/>
                <w:color w:val="auto"/>
              </w:rPr>
            </w:pPr>
          </w:p>
        </w:tc>
      </w:tr>
      <w:tr>
        <w:trPr>
          <w:trHeight w:val="174"/>
        </w:trPr>
        <w:tc>
          <w:tcPr>
            <w:tcW w:w="1040" w:type="dxa"/>
            <w:vAlign w:val="bottom"/>
          </w:tcPr>
          <w:p>
            <w:pPr>
              <w:spacing w:after="0" w:line="175" w:lineRule="exact"/>
              <w:rPr>
                <w:sz w:val="20"/>
                <w:szCs w:val="20"/>
                <w:color w:val="auto"/>
              </w:rPr>
            </w:pPr>
            <w:r>
              <w:rPr>
                <w:rFonts w:ascii="Arial" w:cs="Arial" w:eastAsia="Arial" w:hAnsi="Arial"/>
                <w:sz w:val="16"/>
                <w:szCs w:val="16"/>
                <w:b w:val="1"/>
                <w:bCs w:val="1"/>
                <w:color w:val="003A70"/>
              </w:rPr>
              <w:t>J. Geller</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tcPr>
          <w:p>
            <w:pPr>
              <w:jc w:val="right"/>
              <w:spacing w:after="0"/>
              <w:rPr>
                <w:sz w:val="20"/>
                <w:szCs w:val="20"/>
                <w:color w:val="auto"/>
              </w:rPr>
            </w:pPr>
            <w:r>
              <w:rPr>
                <w:rFonts w:ascii="Arial" w:cs="Arial" w:eastAsia="Arial" w:hAnsi="Arial"/>
                <w:sz w:val="16"/>
                <w:szCs w:val="16"/>
                <w:color w:val="auto"/>
              </w:rPr>
              <w:t>— $ 356,250</w:t>
            </w:r>
          </w:p>
        </w:tc>
        <w:tc>
          <w:tcPr>
            <w:tcW w:w="920" w:type="dxa"/>
            <w:vAlign w:val="bottom"/>
          </w:tcPr>
          <w:p>
            <w:pPr>
              <w:jc w:val="right"/>
              <w:spacing w:after="0"/>
              <w:rPr>
                <w:sz w:val="20"/>
                <w:szCs w:val="20"/>
                <w:color w:val="auto"/>
              </w:rPr>
            </w:pPr>
            <w:r>
              <w:rPr>
                <w:rFonts w:ascii="Arial" w:cs="Arial" w:eastAsia="Arial" w:hAnsi="Arial"/>
                <w:sz w:val="16"/>
                <w:szCs w:val="16"/>
                <w:color w:val="auto"/>
              </w:rPr>
              <w:t>$1,425,000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$2,850,000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35,244</w:t>
            </w:r>
          </w:p>
        </w:tc>
        <w:tc>
          <w:tcPr>
            <w:tcW w:w="880" w:type="dxa"/>
            <w:vAlign w:val="bottom"/>
          </w:tcPr>
          <w:p>
            <w:pPr>
              <w:jc w:val="right"/>
              <w:spacing w:after="0"/>
              <w:rPr>
                <w:sz w:val="20"/>
                <w:szCs w:val="20"/>
                <w:color w:val="auto"/>
              </w:rPr>
            </w:pPr>
            <w:r>
              <w:rPr>
                <w:rFonts w:ascii="Arial" w:cs="Arial" w:eastAsia="Arial" w:hAnsi="Arial"/>
                <w:sz w:val="16"/>
                <w:szCs w:val="16"/>
                <w:color w:val="auto"/>
              </w:rPr>
              <w:t>70,488</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2,999,969</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34,704</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1,199,995</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1,800,043</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Arial" w:cs="Arial" w:eastAsia="Arial" w:hAnsi="Arial"/>
                <w:sz w:val="16"/>
                <w:szCs w:val="16"/>
                <w:b w:val="1"/>
                <w:bCs w:val="1"/>
                <w:color w:val="003A70"/>
              </w:rPr>
              <w:t>J. Marino</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920" w:type="dxa"/>
            <w:vAlign w:val="bottom"/>
          </w:tcPr>
          <w:p>
            <w:pPr>
              <w:jc w:val="right"/>
              <w:spacing w:after="0"/>
              <w:rPr>
                <w:sz w:val="20"/>
                <w:szCs w:val="20"/>
                <w:color w:val="auto"/>
              </w:rPr>
            </w:pPr>
            <w:r>
              <w:rPr>
                <w:rFonts w:ascii="Arial" w:cs="Arial" w:eastAsia="Arial" w:hAnsi="Arial"/>
                <w:sz w:val="16"/>
                <w:szCs w:val="16"/>
                <w:color w:val="auto"/>
              </w:rPr>
              <w:t>500,000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9,398</w:t>
            </w:r>
          </w:p>
        </w:tc>
        <w:tc>
          <w:tcPr>
            <w:tcW w:w="880" w:type="dxa"/>
            <w:vAlign w:val="bottom"/>
          </w:tcPr>
          <w:p>
            <w:pPr>
              <w:jc w:val="right"/>
              <w:spacing w:after="0"/>
              <w:rPr>
                <w:sz w:val="20"/>
                <w:szCs w:val="20"/>
                <w:color w:val="auto"/>
              </w:rPr>
            </w:pPr>
            <w:r>
              <w:rPr>
                <w:rFonts w:ascii="Arial" w:cs="Arial" w:eastAsia="Arial" w:hAnsi="Arial"/>
                <w:sz w:val="16"/>
                <w:szCs w:val="16"/>
                <w:color w:val="auto"/>
              </w:rPr>
              <w:t>18,796</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799,958</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9,254</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319,985</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480,023</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Arial" w:cs="Arial" w:eastAsia="Arial" w:hAnsi="Arial"/>
                <w:sz w:val="16"/>
                <w:szCs w:val="16"/>
                <w:b w:val="1"/>
                <w:bCs w:val="1"/>
                <w:color w:val="003A70"/>
              </w:rPr>
              <w:t>B. Miller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204,250</w:t>
            </w:r>
          </w:p>
        </w:tc>
        <w:tc>
          <w:tcPr>
            <w:tcW w:w="920" w:type="dxa"/>
            <w:vAlign w:val="bottom"/>
          </w:tcPr>
          <w:p>
            <w:pPr>
              <w:jc w:val="right"/>
              <w:spacing w:after="0"/>
              <w:rPr>
                <w:sz w:val="20"/>
                <w:szCs w:val="20"/>
                <w:color w:val="auto"/>
              </w:rPr>
            </w:pPr>
            <w:r>
              <w:rPr>
                <w:rFonts w:ascii="Arial" w:cs="Arial" w:eastAsia="Arial" w:hAnsi="Arial"/>
                <w:sz w:val="16"/>
                <w:szCs w:val="16"/>
                <w:color w:val="auto"/>
              </w:rPr>
              <w:t>817,000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1,634,000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10,280</w:t>
            </w:r>
          </w:p>
        </w:tc>
        <w:tc>
          <w:tcPr>
            <w:tcW w:w="880" w:type="dxa"/>
            <w:vAlign w:val="bottom"/>
          </w:tcPr>
          <w:p>
            <w:pPr>
              <w:jc w:val="right"/>
              <w:spacing w:after="0"/>
              <w:rPr>
                <w:sz w:val="20"/>
                <w:szCs w:val="20"/>
                <w:color w:val="auto"/>
              </w:rPr>
            </w:pPr>
            <w:r>
              <w:rPr>
                <w:rFonts w:ascii="Arial" w:cs="Arial" w:eastAsia="Arial" w:hAnsi="Arial"/>
                <w:sz w:val="16"/>
                <w:szCs w:val="16"/>
                <w:color w:val="auto"/>
              </w:rPr>
              <w:t>20,560</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875,034</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10,122</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349,999</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525,030</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Arial" w:cs="Arial" w:eastAsia="Arial" w:hAnsi="Arial"/>
                <w:sz w:val="16"/>
                <w:szCs w:val="16"/>
                <w:b w:val="1"/>
                <w:bCs w:val="1"/>
                <w:color w:val="003A70"/>
              </w:rPr>
              <w:t>J. Hunter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121,400</w:t>
            </w:r>
          </w:p>
        </w:tc>
        <w:tc>
          <w:tcPr>
            <w:tcW w:w="920" w:type="dxa"/>
            <w:vAlign w:val="bottom"/>
          </w:tcPr>
          <w:p>
            <w:pPr>
              <w:jc w:val="right"/>
              <w:spacing w:after="0"/>
              <w:rPr>
                <w:sz w:val="20"/>
                <w:szCs w:val="20"/>
                <w:color w:val="auto"/>
              </w:rPr>
            </w:pPr>
            <w:r>
              <w:rPr>
                <w:rFonts w:ascii="Arial" w:cs="Arial" w:eastAsia="Arial" w:hAnsi="Arial"/>
                <w:sz w:val="16"/>
                <w:szCs w:val="16"/>
                <w:color w:val="auto"/>
              </w:rPr>
              <w:t>485,600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971,200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7,343</w:t>
            </w:r>
          </w:p>
        </w:tc>
        <w:tc>
          <w:tcPr>
            <w:tcW w:w="880" w:type="dxa"/>
            <w:vAlign w:val="bottom"/>
          </w:tcPr>
          <w:p>
            <w:pPr>
              <w:jc w:val="right"/>
              <w:spacing w:after="0"/>
              <w:rPr>
                <w:sz w:val="20"/>
                <w:szCs w:val="20"/>
                <w:color w:val="auto"/>
              </w:rPr>
            </w:pPr>
            <w:r>
              <w:rPr>
                <w:rFonts w:ascii="Arial" w:cs="Arial" w:eastAsia="Arial" w:hAnsi="Arial"/>
                <w:sz w:val="16"/>
                <w:szCs w:val="16"/>
                <w:color w:val="auto"/>
              </w:rPr>
              <w:t>14,686</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625,036</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7,230</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249,999</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375,034</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Arial" w:cs="Arial" w:eastAsia="Arial" w:hAnsi="Arial"/>
                <w:sz w:val="16"/>
                <w:szCs w:val="16"/>
                <w:b w:val="1"/>
                <w:bCs w:val="1"/>
                <w:color w:val="003A70"/>
              </w:rPr>
              <w:t>J. Marbert</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139,250</w:t>
            </w:r>
          </w:p>
        </w:tc>
        <w:tc>
          <w:tcPr>
            <w:tcW w:w="920" w:type="dxa"/>
            <w:vAlign w:val="bottom"/>
          </w:tcPr>
          <w:p>
            <w:pPr>
              <w:jc w:val="right"/>
              <w:spacing w:after="0"/>
              <w:rPr>
                <w:sz w:val="20"/>
                <w:szCs w:val="20"/>
                <w:color w:val="auto"/>
              </w:rPr>
            </w:pPr>
            <w:r>
              <w:rPr>
                <w:rFonts w:ascii="Arial" w:cs="Arial" w:eastAsia="Arial" w:hAnsi="Arial"/>
                <w:sz w:val="16"/>
                <w:szCs w:val="16"/>
                <w:color w:val="auto"/>
              </w:rPr>
              <w:t>557,000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1,114,000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6,461</w:t>
            </w:r>
          </w:p>
        </w:tc>
        <w:tc>
          <w:tcPr>
            <w:tcW w:w="880" w:type="dxa"/>
            <w:vAlign w:val="bottom"/>
          </w:tcPr>
          <w:p>
            <w:pPr>
              <w:jc w:val="right"/>
              <w:spacing w:after="0"/>
              <w:rPr>
                <w:sz w:val="20"/>
                <w:szCs w:val="20"/>
                <w:color w:val="auto"/>
              </w:rPr>
            </w:pPr>
            <w:r>
              <w:rPr>
                <w:rFonts w:ascii="Arial" w:cs="Arial" w:eastAsia="Arial" w:hAnsi="Arial"/>
                <w:sz w:val="16"/>
                <w:szCs w:val="16"/>
                <w:color w:val="auto"/>
              </w:rPr>
              <w:t>12,922</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549,960</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6,362</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219,985</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330,027</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Arial" w:cs="Arial" w:eastAsia="Arial" w:hAnsi="Arial"/>
                <w:sz w:val="16"/>
                <w:szCs w:val="16"/>
                <w:b w:val="1"/>
                <w:bCs w:val="1"/>
                <w:color w:val="003A70"/>
              </w:rPr>
              <w:t>L. Gustafson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Bonus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99,113</w:t>
            </w:r>
          </w:p>
        </w:tc>
        <w:tc>
          <w:tcPr>
            <w:tcW w:w="920" w:type="dxa"/>
            <w:vAlign w:val="bottom"/>
          </w:tcPr>
          <w:p>
            <w:pPr>
              <w:jc w:val="right"/>
              <w:spacing w:after="0"/>
              <w:rPr>
                <w:sz w:val="20"/>
                <w:szCs w:val="20"/>
                <w:color w:val="auto"/>
              </w:rPr>
            </w:pPr>
            <w:r>
              <w:rPr>
                <w:rFonts w:ascii="Arial" w:cs="Arial" w:eastAsia="Arial" w:hAnsi="Arial"/>
                <w:sz w:val="16"/>
                <w:szCs w:val="16"/>
                <w:color w:val="auto"/>
              </w:rPr>
              <w:t>396,450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792,900</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Performance</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4,993</w:t>
            </w:r>
          </w:p>
        </w:tc>
        <w:tc>
          <w:tcPr>
            <w:tcW w:w="880" w:type="dxa"/>
            <w:vAlign w:val="bottom"/>
          </w:tcPr>
          <w:p>
            <w:pPr>
              <w:jc w:val="right"/>
              <w:spacing w:after="0"/>
              <w:rPr>
                <w:sz w:val="20"/>
                <w:szCs w:val="20"/>
                <w:color w:val="auto"/>
              </w:rPr>
            </w:pPr>
            <w:r>
              <w:rPr>
                <w:rFonts w:ascii="Arial" w:cs="Arial" w:eastAsia="Arial" w:hAnsi="Arial"/>
                <w:sz w:val="16"/>
                <w:szCs w:val="16"/>
                <w:color w:val="auto"/>
              </w:rPr>
              <w:t>9,986</w:t>
            </w: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425,004</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6"/>
                <w:szCs w:val="16"/>
                <w:color w:val="auto"/>
              </w:rPr>
              <w:t>SARs</w:t>
            </w:r>
          </w:p>
        </w:tc>
        <w:tc>
          <w:tcPr>
            <w:tcW w:w="860" w:type="dxa"/>
            <w:vAlign w:val="bottom"/>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4,916</w:t>
            </w:r>
          </w:p>
        </w:tc>
        <w:tc>
          <w:tcPr>
            <w:tcW w:w="700" w:type="dxa"/>
            <w:vAlign w:val="bottom"/>
          </w:tcPr>
          <w:p>
            <w:pPr>
              <w:jc w:val="right"/>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169,985</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RSUs</w:t>
            </w:r>
          </w:p>
        </w:tc>
        <w:tc>
          <w:tcPr>
            <w:tcW w:w="8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2/29/2024</w:t>
            </w:r>
          </w:p>
        </w:tc>
        <w:tc>
          <w:tcPr>
            <w:tcW w:w="8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2/15/2024</w:t>
            </w:r>
          </w:p>
        </w:tc>
        <w:tc>
          <w:tcPr>
            <w:tcW w:w="60" w:type="dxa"/>
            <w:vAlign w:val="bottom"/>
            <w:tcBorders>
              <w:bottom w:val="single" w:sz="8" w:color="003A70"/>
            </w:tcBorders>
          </w:tcPr>
          <w:p>
            <w:pPr>
              <w:spacing w:after="0"/>
              <w:rPr>
                <w:sz w:val="17"/>
                <w:szCs w:val="17"/>
                <w:color w:val="auto"/>
              </w:rPr>
            </w:pPr>
          </w:p>
        </w:tc>
        <w:tc>
          <w:tcPr>
            <w:tcW w:w="7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A70"/>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003A70"/>
            </w:tcBorders>
          </w:tcPr>
          <w:p>
            <w:pPr>
              <w:spacing w:after="0"/>
              <w:rPr>
                <w:sz w:val="17"/>
                <w:szCs w:val="17"/>
                <w:color w:val="auto"/>
              </w:rPr>
            </w:pPr>
          </w:p>
        </w:tc>
        <w:tc>
          <w:tcPr>
            <w:tcW w:w="820" w:type="dxa"/>
            <w:vAlign w:val="bottom"/>
            <w:tcBorders>
              <w:bottom w:val="single" w:sz="8" w:color="003A70"/>
            </w:tcBorders>
          </w:tcPr>
          <w:p>
            <w:pPr>
              <w:ind w:lef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3A70"/>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2,946</w:t>
            </w:r>
          </w:p>
        </w:tc>
        <w:tc>
          <w:tcPr>
            <w:tcW w:w="8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254,985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280" w:hanging="325"/>
        <w:spacing w:after="0" w:line="203"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“Bonus” refers to our Bonus Plan in which our named executive officers participated. “Performance,” “SARs” and “RSUs” refers to Performance Units, SARs and RSUs, respectively, granted under the 2020 Equity Plan with respect to equity awards granted in February 2024.</w:t>
      </w:r>
    </w:p>
    <w:p>
      <w:pPr>
        <w:spacing w:after="0" w:line="53" w:lineRule="exact"/>
        <w:rPr>
          <w:sz w:val="20"/>
          <w:szCs w:val="20"/>
          <w:color w:val="auto"/>
        </w:rPr>
      </w:pPr>
    </w:p>
    <w:p>
      <w:pPr>
        <w:ind w:left="460" w:right="380" w:hanging="325"/>
        <w:spacing w:after="0" w:line="213"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“Grant Date” applies to equity awards reported in the “Estimated Possible Payouts Under Equity Incentive Plan Awards,” “All Other Stock Awards” and “All Other Options/SAR Awards” columns. The CPC approved grants of annual Performance Units, SARs and RSUs for the named executive officers on February 15, 2024, and the grant date of these awards was February 29, 2024 consistent with the Company’s Equity Grant Policy.</w:t>
      </w:r>
    </w:p>
    <w:p>
      <w:pPr>
        <w:spacing w:after="0" w:line="55" w:lineRule="exact"/>
        <w:rPr>
          <w:sz w:val="20"/>
          <w:szCs w:val="20"/>
          <w:color w:val="auto"/>
        </w:rPr>
      </w:pPr>
    </w:p>
    <w:p>
      <w:pPr>
        <w:ind w:left="460" w:right="520" w:hanging="325"/>
        <w:spacing w:after="0" w:line="203"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These columns are intended to include potential payouts corresponding to the achievement of the threshold, target and maximum performance objectives under the Bonus Plan.</w:t>
      </w:r>
    </w:p>
    <w:p>
      <w:pPr>
        <w:ind w:left="460" w:hanging="325"/>
        <w:spacing w:after="0" w:line="230" w:lineRule="auto"/>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 awards were granted with an exercise or base price equal to the average of the high and low stock price on the NYSE on the date of grant.</w:t>
      </w:r>
    </w:p>
    <w:p>
      <w:pPr>
        <w:spacing w:after="0" w:line="116" w:lineRule="exact"/>
        <w:rPr>
          <w:sz w:val="20"/>
          <w:szCs w:val="20"/>
          <w:color w:val="auto"/>
        </w:rPr>
      </w:pPr>
    </w:p>
    <w:p>
      <w:pPr>
        <w:ind w:left="140"/>
        <w:spacing w:after="0"/>
        <w:tabs>
          <w:tab w:leader="none" w:pos="44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340"/>
          </w:cols>
          <w:pgMar w:left="320" w:top="4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p>
      <w:pPr>
        <w:ind w:left="460" w:right="280" w:hanging="325"/>
        <w:spacing w:after="0" w:line="223" w:lineRule="auto"/>
        <w:tabs>
          <w:tab w:leader="none" w:pos="46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value reported for Equity Incentive Plan Awards, Stock Awards and Option/SAR Awards is the aggregate grant date fair value of the awards granted in 2024 as determined in accordance with accounting standards for share-based payments. The value reported for the Performance Units is the grant date value assuming performance at the target level, which was the probable outcome of the performance conditions as of the grant date. The assumptions for making the valuation determinations are set forth in Footnote 18 “Share-Based Compensation” of the Notes to our annual Consolidated Financial Statements included in the 2024 Annual Report.</w:t>
      </w:r>
    </w:p>
    <w:p>
      <w:pPr>
        <w:spacing w:after="0" w:line="76"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at their threshold, target and maximum achievement levels, and the number and grant date fair value of Performance Units, SARs and RSUs granted under the 2020 Equity Plan, in each case granted to each named executive officer during the 2024 fiscal year. For cash incentives, this table reports the range of potential amounts that could have been earned by the executive under the Bonus Plans for 2024, whereas the Non-Equity Incentive Plan Compensation column in the Summary Compensation Table reports the actual value earned by the executive for 2024.</w:t>
      </w:r>
    </w:p>
    <w:p>
      <w:pPr>
        <w:spacing w:after="0" w:line="72" w:lineRule="exact"/>
        <w:rPr>
          <w:sz w:val="20"/>
          <w:szCs w:val="20"/>
          <w:color w:val="auto"/>
        </w:rPr>
      </w:pPr>
    </w:p>
    <w:p>
      <w:pPr>
        <w:ind w:left="140" w:right="60"/>
        <w:spacing w:after="0" w:line="252" w:lineRule="auto"/>
        <w:rPr>
          <w:sz w:val="20"/>
          <w:szCs w:val="20"/>
          <w:color w:val="auto"/>
        </w:rPr>
      </w:pPr>
      <w:r>
        <w:rPr>
          <w:rFonts w:ascii="Arial" w:cs="Arial" w:eastAsia="Arial" w:hAnsi="Arial"/>
          <w:sz w:val="16"/>
          <w:szCs w:val="16"/>
          <w:color w:val="auto"/>
        </w:rPr>
        <w:t>Annual RSU and SAR grants under the 2020 Equity Plan typically vest in four equal annual increments beginning approximately a year after the grant date, contingent on continued employment. Even when vested, an executive could lose the right to exercise or receive a distribution of any outstanding stock awards if the executive’s employment terminated due to serious misconduct as defined in the Equity Plans, if it is determined that the executive has engaged in competition or has engaged in criminal conduct or other behavior that was actually or potentially harmful or if the executive receives erroneously awarded incentive-based compensation in the event that we are required to prepare an accounting restatement due to our material noncompliance with any financial reporting requirement under the securities laws. These awards do not accrue or pay cash dividends and do not bear voting rights until they vest (in the case of RSUs) or are exercised (in the case of SARs) and shares are issued to the grantee.</w:t>
      </w:r>
    </w:p>
    <w:p>
      <w:pPr>
        <w:spacing w:after="0" w:line="74" w:lineRule="exact"/>
        <w:rPr>
          <w:sz w:val="20"/>
          <w:szCs w:val="20"/>
          <w:color w:val="auto"/>
        </w:rPr>
      </w:pPr>
    </w:p>
    <w:p>
      <w:pPr>
        <w:ind w:left="140" w:right="120"/>
        <w:spacing w:after="0" w:line="250" w:lineRule="auto"/>
        <w:rPr>
          <w:sz w:val="20"/>
          <w:szCs w:val="20"/>
          <w:color w:val="auto"/>
        </w:rPr>
      </w:pPr>
      <w:r>
        <w:rPr>
          <w:rFonts w:ascii="Arial" w:cs="Arial" w:eastAsia="Arial" w:hAnsi="Arial"/>
          <w:sz w:val="16"/>
          <w:szCs w:val="16"/>
          <w:color w:val="auto"/>
        </w:rPr>
        <w:t>Performance Units represent the right to receive shares of our common stock at the end of a performance period, which with respect to the Performance Units granted in 2024 began January 1, 2024 and will end on December 31, 2026, contingent on continued employment through such date. The number of shares that will be received following the end of the performance period will be based on the Company’s achievement over the period with respect to specified performance objectives and can range from zero to two times the number of Performance Units granted. Performance Units will be forfeited if the named executive officer engages in competition or acts that are or potentially are injurious to the Company’s operations, financial condition or business reputation during the performance period or if the executive receives erroneously awarded incentive-based compensation in the event that we are required to prepare an accounting restatement due to our material noncompliance with any financial reporting requirement under the securities laws; the named executive officers are also prohibited from soliciting any of our employees to leave our employment during the period from the grant date until the first anniversary of the termination of the officer’s employment for any reason. Performance Units do not accrue or pay cash dividends and do not bear voting rights until they vest and shares are issued to the grantee.</w:t>
      </w:r>
    </w:p>
    <w:p>
      <w:pPr>
        <w:spacing w:after="0" w:line="74" w:lineRule="exact"/>
        <w:rPr>
          <w:sz w:val="20"/>
          <w:szCs w:val="20"/>
          <w:color w:val="auto"/>
        </w:rPr>
      </w:pPr>
    </w:p>
    <w:p>
      <w:pPr>
        <w:ind w:left="140" w:right="360"/>
        <w:spacing w:after="0" w:line="284" w:lineRule="auto"/>
        <w:rPr>
          <w:sz w:val="20"/>
          <w:szCs w:val="20"/>
          <w:color w:val="auto"/>
        </w:rPr>
      </w:pPr>
      <w:r>
        <w:rPr>
          <w:rFonts w:ascii="Arial" w:cs="Arial" w:eastAsia="Arial" w:hAnsi="Arial"/>
          <w:sz w:val="16"/>
          <w:szCs w:val="16"/>
          <w:color w:val="auto"/>
        </w:rPr>
        <w:t>For information regarding treatment of the equity awards upon a termination of employment, see “Potential Payments Upon Termination or Change in Control.”</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Outstanding Equity Awards at 2024 Fiscal Year-End</w:t>
      </w:r>
    </w:p>
    <w:p>
      <w:pPr>
        <w:spacing w:after="0" w:line="102" w:lineRule="exact"/>
        <w:rPr>
          <w:sz w:val="20"/>
          <w:szCs w:val="20"/>
          <w:color w:val="auto"/>
        </w:rPr>
      </w:pPr>
    </w:p>
    <w:p>
      <w:pPr>
        <w:ind w:left="140" w:right="240"/>
        <w:spacing w:after="0" w:line="265" w:lineRule="auto"/>
        <w:rPr>
          <w:sz w:val="20"/>
          <w:szCs w:val="20"/>
          <w:color w:val="auto"/>
        </w:rPr>
      </w:pPr>
      <w:r>
        <w:rPr>
          <w:rFonts w:ascii="Arial" w:cs="Arial" w:eastAsia="Arial" w:hAnsi="Arial"/>
          <w:sz w:val="16"/>
          <w:szCs w:val="16"/>
          <w:color w:val="auto"/>
        </w:rPr>
        <w:t>The following table shows information about outstanding Performance Units, SARs and RSUs with respect to our common stock as of December 31, 2024, our fiscal year-end. The market values are based on the closing price of our common stock on the NYSE on December 31, 2024, the last trading day of our fiscal year, which was $89.80.</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Borders>
              <w:bottom w:val="single" w:sz="8" w:color="003A70"/>
            </w:tcBorders>
          </w:tcPr>
          <w:p>
            <w:pPr>
              <w:spacing w:after="0"/>
              <w:rPr>
                <w:sz w:val="14"/>
                <w:szCs w:val="14"/>
                <w:color w:val="auto"/>
              </w:rPr>
            </w:pPr>
          </w:p>
        </w:tc>
        <w:tc>
          <w:tcPr>
            <w:tcW w:w="1520" w:type="dxa"/>
            <w:vAlign w:val="bottom"/>
            <w:tcBorders>
              <w:bottom w:val="single" w:sz="8" w:color="003A70"/>
            </w:tcBorders>
            <w:gridSpan w:val="2"/>
          </w:tcPr>
          <w:p>
            <w:pPr>
              <w:jc w:val="right"/>
              <w:ind w:right="41"/>
              <w:spacing w:after="0"/>
              <w:rPr>
                <w:sz w:val="20"/>
                <w:szCs w:val="20"/>
                <w:color w:val="auto"/>
              </w:rPr>
            </w:pPr>
            <w:r>
              <w:rPr>
                <w:rFonts w:ascii="Arial" w:cs="Arial" w:eastAsia="Arial" w:hAnsi="Arial"/>
                <w:sz w:val="14"/>
                <w:szCs w:val="14"/>
                <w:b w:val="1"/>
                <w:bCs w:val="1"/>
                <w:color w:val="003A70"/>
              </w:rPr>
              <w:t>Option Awards</w:t>
            </w:r>
          </w:p>
        </w:tc>
        <w:tc>
          <w:tcPr>
            <w:tcW w:w="920" w:type="dxa"/>
            <w:vAlign w:val="bottom"/>
            <w:tcBorders>
              <w:bottom w:val="single" w:sz="8" w:color="003A70"/>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003A70"/>
            </w:tcBorders>
          </w:tcPr>
          <w:p>
            <w:pPr>
              <w:spacing w:after="0"/>
              <w:rPr>
                <w:sz w:val="14"/>
                <w:szCs w:val="14"/>
                <w:color w:val="auto"/>
              </w:rPr>
            </w:pPr>
          </w:p>
        </w:tc>
        <w:tc>
          <w:tcPr>
            <w:tcW w:w="2240" w:type="dxa"/>
            <w:vAlign w:val="bottom"/>
            <w:tcBorders>
              <w:bottom w:val="single" w:sz="8" w:color="003A70"/>
            </w:tcBorders>
            <w:gridSpan w:val="2"/>
          </w:tcPr>
          <w:p>
            <w:pPr>
              <w:ind w:left="800"/>
              <w:spacing w:after="0"/>
              <w:rPr>
                <w:sz w:val="20"/>
                <w:szCs w:val="20"/>
                <w:color w:val="auto"/>
              </w:rPr>
            </w:pPr>
            <w:r>
              <w:rPr>
                <w:rFonts w:ascii="Arial" w:cs="Arial" w:eastAsia="Arial" w:hAnsi="Arial"/>
                <w:sz w:val="14"/>
                <w:szCs w:val="14"/>
                <w:b w:val="1"/>
                <w:bCs w:val="1"/>
                <w:color w:val="003A70"/>
              </w:rPr>
              <w:t>Stock Awards</w:t>
            </w:r>
          </w:p>
        </w:tc>
        <w:tc>
          <w:tcPr>
            <w:tcW w:w="1180" w:type="dxa"/>
            <w:vAlign w:val="bottom"/>
            <w:tcBorders>
              <w:bottom w:val="single" w:sz="8" w:color="003A70"/>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003A70"/>
              </w:rPr>
              <w:t>Equity Incentive</w:t>
            </w:r>
          </w:p>
        </w:tc>
        <w:tc>
          <w:tcPr>
            <w:tcW w:w="1180" w:type="dxa"/>
            <w:vAlign w:val="bottom"/>
          </w:tcPr>
          <w:p>
            <w:pPr>
              <w:jc w:val="center"/>
              <w:spacing w:after="0" w:line="146" w:lineRule="exact"/>
              <w:rPr>
                <w:sz w:val="20"/>
                <w:szCs w:val="20"/>
                <w:color w:val="auto"/>
              </w:rPr>
            </w:pPr>
            <w:r>
              <w:rPr>
                <w:rFonts w:ascii="Arial" w:cs="Arial" w:eastAsia="Arial" w:hAnsi="Arial"/>
                <w:sz w:val="14"/>
                <w:szCs w:val="14"/>
                <w:b w:val="1"/>
                <w:bCs w:val="1"/>
                <w:color w:val="003A70"/>
              </w:rPr>
              <w:t>Equity Incentive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003A70"/>
              </w:rPr>
              <w:t>Plan Awards:</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Number of</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jc w:val="center"/>
              <w:ind w:left="21"/>
              <w:spacing w:after="0"/>
              <w:rPr>
                <w:sz w:val="20"/>
                <w:szCs w:val="20"/>
                <w:color w:val="auto"/>
              </w:rPr>
            </w:pPr>
            <w:r>
              <w:rPr>
                <w:rFonts w:ascii="Arial" w:cs="Arial" w:eastAsia="Arial" w:hAnsi="Arial"/>
                <w:sz w:val="14"/>
                <w:szCs w:val="14"/>
                <w:b w:val="1"/>
                <w:bCs w:val="1"/>
                <w:color w:val="003A70"/>
              </w:rPr>
              <w:t>Number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Market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Market or</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Securities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003A70"/>
              </w:rPr>
              <w:t>Shares 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w w:val="99"/>
              </w:rPr>
              <w:t>Value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A70"/>
              </w:rPr>
              <w:t>Payout Value</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Underlying</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w w:val="99"/>
              </w:rPr>
              <w:t>Units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Shares or</w:t>
            </w:r>
          </w:p>
        </w:tc>
        <w:tc>
          <w:tcPr>
            <w:tcW w:w="1260" w:type="dxa"/>
            <w:vAlign w:val="bottom"/>
          </w:tcPr>
          <w:p>
            <w:pPr>
              <w:jc w:val="center"/>
              <w:ind w:left="4"/>
              <w:spacing w:after="0"/>
              <w:rPr>
                <w:sz w:val="20"/>
                <w:szCs w:val="20"/>
                <w:color w:val="auto"/>
              </w:rPr>
            </w:pPr>
            <w:r>
              <w:rPr>
                <w:rFonts w:ascii="Arial" w:cs="Arial" w:eastAsia="Arial" w:hAnsi="Arial"/>
                <w:sz w:val="14"/>
                <w:szCs w:val="14"/>
                <w:b w:val="1"/>
                <w:bCs w:val="1"/>
                <w:color w:val="003A70"/>
              </w:rPr>
              <w:t>Unearned</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of Unearned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Unexercised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3A70"/>
              </w:rPr>
              <w:t>Option/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Units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Shares, Units</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Options/SARs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920" w:type="dxa"/>
            <w:vAlign w:val="bottom"/>
          </w:tcPr>
          <w:p>
            <w:pPr>
              <w:jc w:val="center"/>
              <w:ind w:left="41"/>
              <w:spacing w:after="0"/>
              <w:rPr>
                <w:sz w:val="20"/>
                <w:szCs w:val="20"/>
                <w:color w:val="auto"/>
              </w:rPr>
            </w:pPr>
            <w:r>
              <w:rPr>
                <w:rFonts w:ascii="Arial" w:cs="Arial" w:eastAsia="Arial" w:hAnsi="Arial"/>
                <w:sz w:val="14"/>
                <w:szCs w:val="14"/>
                <w:b w:val="1"/>
                <w:bCs w:val="1"/>
                <w:color w:val="003A70"/>
              </w:rPr>
              <w:t>Option/SAR</w:t>
            </w:r>
          </w:p>
        </w:tc>
        <w:tc>
          <w:tcPr>
            <w:tcW w:w="2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That Have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Stock That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A70"/>
              </w:rPr>
              <w:t>or Other Rights</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900" w:type="dxa"/>
            <w:vAlign w:val="bottom"/>
          </w:tcPr>
          <w:p>
            <w:pPr>
              <w:jc w:val="right"/>
              <w:ind w:right="521"/>
              <w:spacing w:after="0"/>
              <w:rPr>
                <w:sz w:val="20"/>
                <w:szCs w:val="20"/>
                <w:color w:val="auto"/>
              </w:rPr>
            </w:pPr>
            <w:r>
              <w:rPr>
                <w:rFonts w:ascii="Arial" w:cs="Arial" w:eastAsia="Arial" w:hAnsi="Arial"/>
                <w:sz w:val="14"/>
                <w:szCs w:val="14"/>
                <w:b w:val="1"/>
                <w:bCs w:val="1"/>
                <w:color w:val="003A70"/>
              </w:rPr>
              <w:t>Award</w:t>
            </w: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003A70"/>
              </w:rPr>
              <w:t>Exercisable/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3A70"/>
              </w:rPr>
              <w:t>Exercise</w:t>
            </w:r>
          </w:p>
        </w:tc>
        <w:tc>
          <w:tcPr>
            <w:tcW w:w="920" w:type="dxa"/>
            <w:vAlign w:val="bottom"/>
          </w:tcPr>
          <w:p>
            <w:pPr>
              <w:jc w:val="center"/>
              <w:ind w:left="21"/>
              <w:spacing w:after="0"/>
              <w:rPr>
                <w:sz w:val="20"/>
                <w:szCs w:val="20"/>
                <w:color w:val="auto"/>
              </w:rPr>
            </w:pPr>
            <w:r>
              <w:rPr>
                <w:rFonts w:ascii="Arial" w:cs="Arial" w:eastAsia="Arial" w:hAnsi="Arial"/>
                <w:sz w:val="14"/>
                <w:szCs w:val="14"/>
                <w:b w:val="1"/>
                <w:bCs w:val="1"/>
                <w:color w:val="003A70"/>
              </w:rPr>
              <w:t>Expiration</w:t>
            </w:r>
          </w:p>
        </w:tc>
        <w:tc>
          <w:tcPr>
            <w:tcW w:w="2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Not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Have Not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That Have Not</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900" w:type="dxa"/>
            <w:vAlign w:val="bottom"/>
            <w:tcBorders>
              <w:bottom w:val="single" w:sz="8" w:color="003A70"/>
            </w:tcBorders>
          </w:tcPr>
          <w:p>
            <w:pPr>
              <w:jc w:val="right"/>
              <w:ind w:right="541"/>
              <w:spacing w:after="0" w:line="185"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360" w:type="dxa"/>
            <w:vAlign w:val="bottom"/>
            <w:tcBorders>
              <w:bottom w:val="single" w:sz="8" w:color="003A70"/>
            </w:tcBorders>
            <w:gridSpan w:val="2"/>
          </w:tcPr>
          <w:p>
            <w:pPr>
              <w:jc w:val="center"/>
              <w:ind w:right="41"/>
              <w:spacing w:after="0" w:line="185"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8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Price</w:t>
            </w:r>
          </w:p>
        </w:tc>
        <w:tc>
          <w:tcPr>
            <w:tcW w:w="920" w:type="dxa"/>
            <w:vAlign w:val="bottom"/>
            <w:tcBorders>
              <w:bottom w:val="single" w:sz="8" w:color="003A70"/>
            </w:tcBorders>
          </w:tcPr>
          <w:p>
            <w:pPr>
              <w:jc w:val="center"/>
              <w:ind w:left="41"/>
              <w:spacing w:after="0"/>
              <w:rPr>
                <w:sz w:val="20"/>
                <w:szCs w:val="20"/>
                <w:color w:val="auto"/>
              </w:rPr>
            </w:pPr>
            <w:r>
              <w:rPr>
                <w:rFonts w:ascii="Arial" w:cs="Arial" w:eastAsia="Arial" w:hAnsi="Arial"/>
                <w:sz w:val="14"/>
                <w:szCs w:val="14"/>
                <w:b w:val="1"/>
                <w:bCs w:val="1"/>
                <w:color w:val="003A70"/>
              </w:rPr>
              <w:t>Date</w:t>
            </w:r>
          </w:p>
        </w:tc>
        <w:tc>
          <w:tcPr>
            <w:tcW w:w="220" w:type="dxa"/>
            <w:vAlign w:val="bottom"/>
            <w:tcBorders>
              <w:bottom w:val="single" w:sz="8" w:color="003A70"/>
            </w:tcBorders>
          </w:tcPr>
          <w:p>
            <w:pPr>
              <w:spacing w:after="0"/>
              <w:rPr>
                <w:sz w:val="16"/>
                <w:szCs w:val="16"/>
                <w:color w:val="auto"/>
              </w:rPr>
            </w:pPr>
          </w:p>
        </w:tc>
        <w:tc>
          <w:tcPr>
            <w:tcW w:w="840" w:type="dxa"/>
            <w:vAlign w:val="bottom"/>
            <w:tcBorders>
              <w:bottom w:val="single" w:sz="8" w:color="003A70"/>
            </w:tcBorders>
          </w:tcPr>
          <w:p>
            <w:pPr>
              <w:jc w:val="center"/>
              <w:ind w:right="42"/>
              <w:spacing w:after="0" w:line="185"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9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w:t>
            </w:r>
          </w:p>
        </w:tc>
        <w:tc>
          <w:tcPr>
            <w:tcW w:w="12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 (#)</w:t>
            </w:r>
          </w:p>
        </w:tc>
        <w:tc>
          <w:tcPr>
            <w:tcW w:w="1320" w:type="dxa"/>
            <w:vAlign w:val="bottom"/>
            <w:tcBorders>
              <w:bottom w:val="single" w:sz="8" w:color="003A70"/>
            </w:tcBorders>
            <w:gridSpan w:val="2"/>
          </w:tcPr>
          <w:p>
            <w:pPr>
              <w:jc w:val="center"/>
              <w:ind w:right="80"/>
              <w:spacing w:after="0"/>
              <w:rPr>
                <w:sz w:val="20"/>
                <w:szCs w:val="20"/>
                <w:color w:val="auto"/>
              </w:rPr>
            </w:pPr>
            <w:r>
              <w:rPr>
                <w:rFonts w:ascii="Arial" w:cs="Arial" w:eastAsia="Arial" w:hAnsi="Arial"/>
                <w:sz w:val="14"/>
                <w:szCs w:val="14"/>
                <w:b w:val="1"/>
                <w:bCs w:val="1"/>
                <w:color w:val="003A70"/>
              </w:rPr>
              <w:t>Vested ($)</w:t>
            </w:r>
          </w:p>
        </w:tc>
        <w:tc>
          <w:tcPr>
            <w:tcW w:w="0" w:type="dxa"/>
            <w:vAlign w:val="bottom"/>
          </w:tcPr>
          <w:p>
            <w:pPr>
              <w:spacing w:after="0"/>
              <w:rPr>
                <w:sz w:val="1"/>
                <w:szCs w:val="1"/>
                <w:color w:val="auto"/>
              </w:rPr>
            </w:pPr>
          </w:p>
        </w:tc>
      </w:tr>
      <w:tr>
        <w:trPr>
          <w:trHeight w:val="174"/>
        </w:trPr>
        <w:tc>
          <w:tcPr>
            <w:tcW w:w="1380" w:type="dxa"/>
            <w:vAlign w:val="bottom"/>
          </w:tcPr>
          <w:p>
            <w:pPr>
              <w:spacing w:after="0" w:line="175" w:lineRule="exact"/>
              <w:rPr>
                <w:sz w:val="20"/>
                <w:szCs w:val="20"/>
                <w:color w:val="auto"/>
              </w:rPr>
            </w:pPr>
            <w:r>
              <w:rPr>
                <w:rFonts w:ascii="Arial" w:cs="Arial" w:eastAsia="Arial" w:hAnsi="Arial"/>
                <w:sz w:val="16"/>
                <w:szCs w:val="16"/>
                <w:b w:val="1"/>
                <w:bCs w:val="1"/>
                <w:color w:val="003A70"/>
              </w:rPr>
              <w:t>J. Geller</w:t>
            </w: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2/27/2023</w:t>
            </w:r>
          </w:p>
        </w:tc>
        <w:tc>
          <w:tcPr>
            <w:tcW w:w="1900" w:type="dxa"/>
            <w:vAlign w:val="bottom"/>
          </w:tcPr>
          <w:p>
            <w:pPr>
              <w:jc w:val="right"/>
              <w:ind w:right="16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320" w:type="dxa"/>
            <w:vAlign w:val="bottom"/>
            <w:gridSpan w:val="2"/>
          </w:tcPr>
          <w:p>
            <w:pPr>
              <w:ind w:left="10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2/29/2024</w:t>
            </w:r>
          </w:p>
        </w:tc>
        <w:tc>
          <w:tcPr>
            <w:tcW w:w="1900" w:type="dxa"/>
            <w:vAlign w:val="bottom"/>
          </w:tcPr>
          <w:p>
            <w:pPr>
              <w:jc w:val="right"/>
              <w:ind w:right="16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480"/>
              <w:spacing w:after="0" w:line="189" w:lineRule="exact"/>
              <w:rPr>
                <w:sz w:val="20"/>
                <w:szCs w:val="20"/>
                <w:color w:val="auto"/>
              </w:rPr>
            </w:pPr>
            <w:r>
              <w:rPr>
                <w:rFonts w:ascii="Arial" w:cs="Arial" w:eastAsia="Arial" w:hAnsi="Arial"/>
                <w:sz w:val="14"/>
                <w:szCs w:val="14"/>
                <w:color w:val="auto"/>
              </w:rPr>
              <w:t>35,244</w:t>
            </w:r>
            <w:r>
              <w:rPr>
                <w:rFonts w:ascii="Arial" w:cs="Arial" w:eastAsia="Arial" w:hAnsi="Arial"/>
                <w:sz w:val="21"/>
                <w:szCs w:val="21"/>
                <w:color w:val="auto"/>
                <w:vertAlign w:val="superscript"/>
              </w:rPr>
              <w:t> 6</w:t>
            </w:r>
          </w:p>
        </w:tc>
        <w:tc>
          <w:tcPr>
            <w:tcW w:w="1320" w:type="dxa"/>
            <w:vAlign w:val="bottom"/>
            <w:gridSpan w:val="2"/>
          </w:tcPr>
          <w:p>
            <w:pPr>
              <w:ind w:left="460"/>
              <w:spacing w:after="0" w:line="189" w:lineRule="exact"/>
              <w:rPr>
                <w:sz w:val="20"/>
                <w:szCs w:val="20"/>
                <w:color w:val="auto"/>
              </w:rPr>
            </w:pPr>
            <w:r>
              <w:rPr>
                <w:rFonts w:ascii="Arial" w:cs="Arial" w:eastAsia="Arial" w:hAnsi="Arial"/>
                <w:sz w:val="14"/>
                <w:szCs w:val="14"/>
                <w:color w:val="auto"/>
              </w:rPr>
              <w:t>3,164,911</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3/2/2015</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9,076</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77.42</w:t>
            </w:r>
          </w:p>
        </w:tc>
        <w:tc>
          <w:tcPr>
            <w:tcW w:w="920" w:type="dxa"/>
            <w:vAlign w:val="bottom"/>
          </w:tcPr>
          <w:p>
            <w:pPr>
              <w:jc w:val="right"/>
              <w:spacing w:after="0"/>
              <w:rPr>
                <w:sz w:val="20"/>
                <w:szCs w:val="20"/>
                <w:color w:val="auto"/>
              </w:rPr>
            </w:pPr>
            <w:r>
              <w:rPr>
                <w:rFonts w:ascii="Arial" w:cs="Arial" w:eastAsia="Arial" w:hAnsi="Arial"/>
                <w:sz w:val="16"/>
                <w:szCs w:val="16"/>
                <w:color w:val="auto"/>
              </w:rPr>
              <w:t>3/2/2025</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2/29/2016</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20,471</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61.71</w:t>
            </w:r>
          </w:p>
        </w:tc>
        <w:tc>
          <w:tcPr>
            <w:tcW w:w="920" w:type="dxa"/>
            <w:vAlign w:val="bottom"/>
          </w:tcPr>
          <w:p>
            <w:pPr>
              <w:jc w:val="right"/>
              <w:spacing w:after="0"/>
              <w:rPr>
                <w:sz w:val="20"/>
                <w:szCs w:val="20"/>
                <w:color w:val="auto"/>
              </w:rPr>
            </w:pPr>
            <w:r>
              <w:rPr>
                <w:rFonts w:ascii="Arial" w:cs="Arial" w:eastAsia="Arial" w:hAnsi="Arial"/>
                <w:sz w:val="16"/>
                <w:szCs w:val="16"/>
                <w:color w:val="auto"/>
              </w:rPr>
              <w:t>2/28/2026</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2/27/2017</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11,944</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97.53</w:t>
            </w:r>
          </w:p>
        </w:tc>
        <w:tc>
          <w:tcPr>
            <w:tcW w:w="920" w:type="dxa"/>
            <w:vAlign w:val="bottom"/>
          </w:tcPr>
          <w:p>
            <w:pPr>
              <w:jc w:val="right"/>
              <w:spacing w:after="0"/>
              <w:rPr>
                <w:sz w:val="20"/>
                <w:szCs w:val="20"/>
                <w:color w:val="auto"/>
              </w:rPr>
            </w:pPr>
            <w:r>
              <w:rPr>
                <w:rFonts w:ascii="Arial" w:cs="Arial" w:eastAsia="Arial" w:hAnsi="Arial"/>
                <w:sz w:val="16"/>
                <w:szCs w:val="16"/>
                <w:color w:val="auto"/>
              </w:rPr>
              <w:t>2/27/2027</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3/1/2018</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9,050</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143.38</w:t>
            </w:r>
          </w:p>
        </w:tc>
        <w:tc>
          <w:tcPr>
            <w:tcW w:w="920" w:type="dxa"/>
            <w:vAlign w:val="bottom"/>
          </w:tcPr>
          <w:p>
            <w:pPr>
              <w:jc w:val="right"/>
              <w:spacing w:after="0"/>
              <w:rPr>
                <w:sz w:val="20"/>
                <w:szCs w:val="20"/>
                <w:color w:val="auto"/>
              </w:rPr>
            </w:pPr>
            <w:r>
              <w:rPr>
                <w:rFonts w:ascii="Arial" w:cs="Arial" w:eastAsia="Arial" w:hAnsi="Arial"/>
                <w:sz w:val="16"/>
                <w:szCs w:val="16"/>
                <w:color w:val="auto"/>
              </w:rPr>
              <w:t>3/1/2028</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3/4/2019</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15,576</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100.52</w:t>
            </w:r>
          </w:p>
        </w:tc>
        <w:tc>
          <w:tcPr>
            <w:tcW w:w="920" w:type="dxa"/>
            <w:vAlign w:val="bottom"/>
          </w:tcPr>
          <w:p>
            <w:pPr>
              <w:jc w:val="right"/>
              <w:spacing w:after="0"/>
              <w:rPr>
                <w:sz w:val="20"/>
                <w:szCs w:val="20"/>
                <w:color w:val="auto"/>
              </w:rPr>
            </w:pPr>
            <w:r>
              <w:rPr>
                <w:rFonts w:ascii="Arial" w:cs="Arial" w:eastAsia="Arial" w:hAnsi="Arial"/>
                <w:sz w:val="16"/>
                <w:szCs w:val="16"/>
                <w:color w:val="auto"/>
              </w:rPr>
              <w:t>3/4/2029</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3/2/2020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15,187</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96.82</w:t>
            </w:r>
          </w:p>
        </w:tc>
        <w:tc>
          <w:tcPr>
            <w:tcW w:w="920" w:type="dxa"/>
            <w:vAlign w:val="bottom"/>
          </w:tcPr>
          <w:p>
            <w:pPr>
              <w:jc w:val="right"/>
              <w:spacing w:after="0"/>
              <w:rPr>
                <w:sz w:val="20"/>
                <w:szCs w:val="20"/>
                <w:color w:val="auto"/>
              </w:rPr>
            </w:pPr>
            <w:r>
              <w:rPr>
                <w:rFonts w:ascii="Arial" w:cs="Arial" w:eastAsia="Arial" w:hAnsi="Arial"/>
                <w:sz w:val="16"/>
                <w:szCs w:val="16"/>
                <w:color w:val="auto"/>
              </w:rPr>
              <w:t>3/2/2030</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3/1/2021</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10,614</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3,538</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173.88</w:t>
            </w:r>
          </w:p>
        </w:tc>
        <w:tc>
          <w:tcPr>
            <w:tcW w:w="920" w:type="dxa"/>
            <w:vAlign w:val="bottom"/>
          </w:tcPr>
          <w:p>
            <w:pPr>
              <w:jc w:val="right"/>
              <w:spacing w:after="0"/>
              <w:rPr>
                <w:sz w:val="20"/>
                <w:szCs w:val="20"/>
                <w:color w:val="auto"/>
              </w:rPr>
            </w:pPr>
            <w:r>
              <w:rPr>
                <w:rFonts w:ascii="Arial" w:cs="Arial" w:eastAsia="Arial" w:hAnsi="Arial"/>
                <w:sz w:val="16"/>
                <w:szCs w:val="16"/>
                <w:color w:val="auto"/>
              </w:rPr>
              <w:t>3/1/2031</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2/28/2022</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5,027</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5,027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159.27</w:t>
            </w:r>
          </w:p>
        </w:tc>
        <w:tc>
          <w:tcPr>
            <w:tcW w:w="920" w:type="dxa"/>
            <w:vAlign w:val="bottom"/>
          </w:tcPr>
          <w:p>
            <w:pPr>
              <w:jc w:val="right"/>
              <w:spacing w:after="0"/>
              <w:rPr>
                <w:sz w:val="20"/>
                <w:szCs w:val="20"/>
                <w:color w:val="auto"/>
              </w:rPr>
            </w:pPr>
            <w:r>
              <w:rPr>
                <w:rFonts w:ascii="Arial" w:cs="Arial" w:eastAsia="Arial" w:hAnsi="Arial"/>
                <w:sz w:val="16"/>
                <w:szCs w:val="16"/>
                <w:color w:val="auto"/>
              </w:rPr>
              <w:t>2/28/2032</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2/27/2023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3,418</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10,257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153.10</w:t>
            </w:r>
          </w:p>
        </w:tc>
        <w:tc>
          <w:tcPr>
            <w:tcW w:w="920" w:type="dxa"/>
            <w:vAlign w:val="bottom"/>
          </w:tcPr>
          <w:p>
            <w:pPr>
              <w:jc w:val="right"/>
              <w:spacing w:after="0"/>
              <w:rPr>
                <w:sz w:val="20"/>
                <w:szCs w:val="20"/>
                <w:color w:val="auto"/>
              </w:rPr>
            </w:pPr>
            <w:r>
              <w:rPr>
                <w:rFonts w:ascii="Arial" w:cs="Arial" w:eastAsia="Arial" w:hAnsi="Arial"/>
                <w:sz w:val="16"/>
                <w:szCs w:val="16"/>
                <w:color w:val="auto"/>
              </w:rPr>
              <w:t>2/27/2033</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2/29/2024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SARs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34,704</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93.73</w:t>
            </w:r>
          </w:p>
        </w:tc>
        <w:tc>
          <w:tcPr>
            <w:tcW w:w="920" w:type="dxa"/>
            <w:vAlign w:val="bottom"/>
          </w:tcPr>
          <w:p>
            <w:pPr>
              <w:jc w:val="right"/>
              <w:spacing w:after="0"/>
              <w:rPr>
                <w:sz w:val="20"/>
                <w:szCs w:val="20"/>
                <w:color w:val="auto"/>
              </w:rPr>
            </w:pPr>
            <w:r>
              <w:rPr>
                <w:rFonts w:ascii="Arial" w:cs="Arial" w:eastAsia="Arial" w:hAnsi="Arial"/>
                <w:sz w:val="16"/>
                <w:szCs w:val="16"/>
                <w:color w:val="auto"/>
              </w:rPr>
              <w:t>2/28/2034</w:t>
            </w:r>
          </w:p>
        </w:tc>
        <w:tc>
          <w:tcPr>
            <w:tcW w:w="22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3/1/2021</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RSUs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2"/>
              <w:spacing w:after="0"/>
              <w:rPr>
                <w:sz w:val="20"/>
                <w:szCs w:val="20"/>
                <w:color w:val="auto"/>
              </w:rPr>
            </w:pPr>
            <w:r>
              <w:rPr>
                <w:rFonts w:ascii="Arial" w:cs="Arial" w:eastAsia="Arial" w:hAnsi="Arial"/>
                <w:sz w:val="16"/>
                <w:szCs w:val="16"/>
                <w:color w:val="auto"/>
              </w:rPr>
              <w:t>1,478</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132,724</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2/28/2022</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RSUs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2"/>
              <w:spacing w:after="0"/>
              <w:rPr>
                <w:sz w:val="20"/>
                <w:szCs w:val="20"/>
                <w:color w:val="auto"/>
              </w:rPr>
            </w:pPr>
            <w:r>
              <w:rPr>
                <w:rFonts w:ascii="Arial" w:cs="Arial" w:eastAsia="Arial" w:hAnsi="Arial"/>
                <w:sz w:val="16"/>
                <w:szCs w:val="16"/>
                <w:color w:val="auto"/>
              </w:rPr>
              <w:t>1,305</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117,189</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Arial" w:cs="Arial" w:eastAsia="Arial" w:hAnsi="Arial"/>
                <w:sz w:val="16"/>
                <w:szCs w:val="16"/>
                <w:color w:val="auto"/>
              </w:rPr>
              <w:t>2/27/2023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VAC RSUs</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2"/>
              <w:spacing w:after="0"/>
              <w:rPr>
                <w:sz w:val="20"/>
                <w:szCs w:val="20"/>
                <w:color w:val="auto"/>
              </w:rPr>
            </w:pPr>
            <w:r>
              <w:rPr>
                <w:rFonts w:ascii="Arial" w:cs="Arial" w:eastAsia="Arial" w:hAnsi="Arial"/>
                <w:sz w:val="16"/>
                <w:szCs w:val="16"/>
                <w:color w:val="auto"/>
              </w:rPr>
              <w:t>6,159</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553,078</w:t>
            </w: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9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VAC RSUs</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20,797</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1,867,571</w:t>
            </w: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38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40</w:t>
            </w:r>
          </w:p>
        </w:tc>
        <w:tc>
          <w:tcPr>
            <w:tcW w:w="1900" w:type="dxa"/>
            <w:vAlign w:val="bottom"/>
            <w:tcBorders>
              <w:bottom w:val="single" w:sz="8" w:color="003A70"/>
            </w:tcBorders>
          </w:tcPr>
          <w:p>
            <w:pPr>
              <w:spacing w:after="0"/>
              <w:rPr>
                <w:sz w:val="22"/>
                <w:szCs w:val="22"/>
                <w:color w:val="auto"/>
              </w:rPr>
            </w:pPr>
          </w:p>
        </w:tc>
        <w:tc>
          <w:tcPr>
            <w:tcW w:w="640" w:type="dxa"/>
            <w:vAlign w:val="bottom"/>
            <w:tcBorders>
              <w:bottom w:val="single" w:sz="8" w:color="003A70"/>
            </w:tcBorders>
          </w:tcPr>
          <w:p>
            <w:pPr>
              <w:spacing w:after="0"/>
              <w:rPr>
                <w:sz w:val="22"/>
                <w:szCs w:val="22"/>
                <w:color w:val="auto"/>
              </w:rPr>
            </w:pPr>
          </w:p>
        </w:tc>
        <w:tc>
          <w:tcPr>
            <w:tcW w:w="3500" w:type="dxa"/>
            <w:vAlign w:val="bottom"/>
            <w:tcBorders>
              <w:bottom w:val="single" w:sz="8" w:color="003A70"/>
            </w:tcBorders>
            <w:gridSpan w:val="5"/>
          </w:tcPr>
          <w:p>
            <w:pPr>
              <w:jc w:val="right"/>
              <w:ind w:right="702"/>
              <w:spacing w:after="0"/>
              <w:rPr>
                <w:sz w:val="20"/>
                <w:szCs w:val="20"/>
                <w:color w:val="auto"/>
              </w:rPr>
            </w:pPr>
            <w:r>
              <w:rPr>
                <w:rFonts w:ascii="Arial" w:cs="Arial" w:eastAsia="Arial" w:hAnsi="Arial"/>
                <w:sz w:val="11"/>
                <w:szCs w:val="11"/>
                <w:color w:val="auto"/>
              </w:rPr>
              <w:t>Executive Compensation Tables and Discussion</w:t>
            </w:r>
          </w:p>
        </w:tc>
        <w:tc>
          <w:tcPr>
            <w:tcW w:w="3560" w:type="dxa"/>
            <w:vAlign w:val="bottom"/>
            <w:tcBorders>
              <w:bottom w:val="single" w:sz="8" w:color="003A70"/>
            </w:tcBorders>
            <w:gridSpan w:val="4"/>
          </w:tcPr>
          <w:p>
            <w:pPr>
              <w:ind w:left="280"/>
              <w:spacing w:after="0"/>
              <w:rPr>
                <w:sz w:val="20"/>
                <w:szCs w:val="20"/>
                <w:color w:val="auto"/>
              </w:rPr>
            </w:pPr>
            <w:r>
              <w:rPr>
                <w:rFonts w:ascii="Arial" w:cs="Arial" w:eastAsia="Arial" w:hAnsi="Arial"/>
                <w:sz w:val="11"/>
                <w:szCs w:val="11"/>
                <w:color w:val="auto"/>
                <w:w w:val="96"/>
              </w:rPr>
              <w:t xml:space="preserve">2025 PROXY STATEMENT </w:t>
            </w:r>
            <w:r>
              <w:rPr>
                <w:rFonts w:ascii="Arial" w:cs="Arial" w:eastAsia="Arial" w:hAnsi="Arial"/>
                <w:sz w:val="11"/>
                <w:szCs w:val="11"/>
                <w:b w:val="1"/>
                <w:bCs w:val="1"/>
                <w:color w:val="003A70"/>
                <w:w w:val="96"/>
              </w:rPr>
              <w:t>MARRIOTT VACATIONS WORLDWIDE</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0"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Borders>
              <w:bottom w:val="single" w:sz="8" w:color="003A70"/>
            </w:tcBorders>
          </w:tcPr>
          <w:p>
            <w:pPr>
              <w:spacing w:after="0"/>
              <w:rPr>
                <w:sz w:val="14"/>
                <w:szCs w:val="14"/>
                <w:color w:val="auto"/>
              </w:rPr>
            </w:pPr>
          </w:p>
        </w:tc>
        <w:tc>
          <w:tcPr>
            <w:tcW w:w="1600" w:type="dxa"/>
            <w:vAlign w:val="bottom"/>
            <w:tcBorders>
              <w:bottom w:val="single" w:sz="8" w:color="003A70"/>
            </w:tcBorders>
            <w:gridSpan w:val="2"/>
          </w:tcPr>
          <w:p>
            <w:pPr>
              <w:jc w:val="right"/>
              <w:ind w:right="60"/>
              <w:spacing w:after="0"/>
              <w:rPr>
                <w:sz w:val="20"/>
                <w:szCs w:val="20"/>
                <w:color w:val="auto"/>
              </w:rPr>
            </w:pPr>
            <w:r>
              <w:rPr>
                <w:rFonts w:ascii="Arial" w:cs="Arial" w:eastAsia="Arial" w:hAnsi="Arial"/>
                <w:sz w:val="14"/>
                <w:szCs w:val="14"/>
                <w:b w:val="1"/>
                <w:bCs w:val="1"/>
                <w:color w:val="003A70"/>
              </w:rPr>
              <w:t>Option Awards</w:t>
            </w:r>
          </w:p>
        </w:tc>
        <w:tc>
          <w:tcPr>
            <w:tcW w:w="940" w:type="dxa"/>
            <w:vAlign w:val="bottom"/>
            <w:tcBorders>
              <w:bottom w:val="single" w:sz="8" w:color="003A70"/>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2320" w:type="dxa"/>
            <w:vAlign w:val="bottom"/>
            <w:tcBorders>
              <w:bottom w:val="single" w:sz="8" w:color="003A70"/>
            </w:tcBorders>
            <w:gridSpan w:val="2"/>
          </w:tcPr>
          <w:p>
            <w:pPr>
              <w:jc w:val="right"/>
              <w:ind w:right="543"/>
              <w:spacing w:after="0"/>
              <w:rPr>
                <w:sz w:val="20"/>
                <w:szCs w:val="20"/>
                <w:color w:val="auto"/>
              </w:rPr>
            </w:pPr>
            <w:r>
              <w:rPr>
                <w:rFonts w:ascii="Arial" w:cs="Arial" w:eastAsia="Arial" w:hAnsi="Arial"/>
                <w:sz w:val="14"/>
                <w:szCs w:val="14"/>
                <w:b w:val="1"/>
                <w:bCs w:val="1"/>
                <w:color w:val="003A70"/>
              </w:rPr>
              <w:t>Stock Awards</w:t>
            </w:r>
          </w:p>
        </w:tc>
        <w:tc>
          <w:tcPr>
            <w:tcW w:w="120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Equity Incentive</w:t>
            </w:r>
          </w:p>
        </w:tc>
        <w:tc>
          <w:tcPr>
            <w:tcW w:w="1200" w:type="dxa"/>
            <w:vAlign w:val="bottom"/>
          </w:tcPr>
          <w:p>
            <w:pPr>
              <w:jc w:val="center"/>
              <w:ind w:left="24"/>
              <w:spacing w:after="0" w:line="146" w:lineRule="exact"/>
              <w:rPr>
                <w:sz w:val="20"/>
                <w:szCs w:val="20"/>
                <w:color w:val="auto"/>
              </w:rPr>
            </w:pPr>
            <w:r>
              <w:rPr>
                <w:rFonts w:ascii="Arial" w:cs="Arial" w:eastAsia="Arial" w:hAnsi="Arial"/>
                <w:sz w:val="14"/>
                <w:szCs w:val="14"/>
                <w:b w:val="1"/>
                <w:bCs w:val="1"/>
                <w:color w:val="003A70"/>
              </w:rPr>
              <w:t>Equity Incentive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0" w:type="dxa"/>
            <w:vAlign w:val="bottom"/>
          </w:tcPr>
          <w:p>
            <w:pPr>
              <w:jc w:val="center"/>
              <w:ind w:left="4"/>
              <w:spacing w:after="0" w:line="148" w:lineRule="exact"/>
              <w:rPr>
                <w:sz w:val="20"/>
                <w:szCs w:val="20"/>
                <w:color w:val="auto"/>
              </w:rPr>
            </w:pPr>
            <w:r>
              <w:rPr>
                <w:rFonts w:ascii="Arial" w:cs="Arial" w:eastAsia="Arial" w:hAnsi="Arial"/>
                <w:sz w:val="14"/>
                <w:szCs w:val="14"/>
                <w:b w:val="1"/>
                <w:bCs w:val="1"/>
                <w:color w:val="003A70"/>
              </w:rPr>
              <w:t>Plan Awards:</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Number of</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003A70"/>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Market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Market or</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Securities</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rPr>
              <w:t>Shares 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w w:val="99"/>
              </w:rPr>
              <w:t>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Payout Value</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Underlying</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rPr>
              <w:t>Units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Shares or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Unearned</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of Unearned</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Unexercised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Option/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003A70"/>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Units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Shares, Units</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Options/SARs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940" w:type="dxa"/>
            <w:vAlign w:val="bottom"/>
          </w:tcPr>
          <w:p>
            <w:pPr>
              <w:jc w:val="center"/>
              <w:ind w:left="40"/>
              <w:spacing w:after="0"/>
              <w:rPr>
                <w:sz w:val="20"/>
                <w:szCs w:val="20"/>
                <w:color w:val="auto"/>
              </w:rPr>
            </w:pPr>
            <w:r>
              <w:rPr>
                <w:rFonts w:ascii="Arial" w:cs="Arial" w:eastAsia="Arial" w:hAnsi="Arial"/>
                <w:sz w:val="14"/>
                <w:szCs w:val="14"/>
                <w:b w:val="1"/>
                <w:bCs w:val="1"/>
                <w:color w:val="003A70"/>
              </w:rPr>
              <w:t>Option/SAR</w:t>
            </w:r>
          </w:p>
        </w:tc>
        <w:tc>
          <w:tcPr>
            <w:tcW w:w="26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003A70"/>
              </w:rPr>
              <w:t>That Have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Stock That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or Other Rights</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840" w:type="dxa"/>
            <w:vAlign w:val="bottom"/>
          </w:tcPr>
          <w:p>
            <w:pPr>
              <w:ind w:left="760"/>
              <w:spacing w:after="0"/>
              <w:rPr>
                <w:sz w:val="20"/>
                <w:szCs w:val="20"/>
                <w:color w:val="auto"/>
              </w:rPr>
            </w:pPr>
            <w:r>
              <w:rPr>
                <w:rFonts w:ascii="Arial" w:cs="Arial" w:eastAsia="Arial" w:hAnsi="Arial"/>
                <w:sz w:val="14"/>
                <w:szCs w:val="14"/>
                <w:b w:val="1"/>
                <w:bCs w:val="1"/>
                <w:color w:val="003A70"/>
              </w:rPr>
              <w:t>Award</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Exercise</w:t>
            </w:r>
          </w:p>
        </w:tc>
        <w:tc>
          <w:tcPr>
            <w:tcW w:w="940" w:type="dxa"/>
            <w:vAlign w:val="bottom"/>
          </w:tcPr>
          <w:p>
            <w:pPr>
              <w:jc w:val="center"/>
              <w:ind w:left="40"/>
              <w:spacing w:after="0"/>
              <w:rPr>
                <w:sz w:val="20"/>
                <w:szCs w:val="20"/>
                <w:color w:val="auto"/>
              </w:rPr>
            </w:pPr>
            <w:r>
              <w:rPr>
                <w:rFonts w:ascii="Arial" w:cs="Arial" w:eastAsia="Arial" w:hAnsi="Arial"/>
                <w:sz w:val="14"/>
                <w:szCs w:val="14"/>
                <w:b w:val="1"/>
                <w:bCs w:val="1"/>
                <w:color w:val="003A70"/>
              </w:rPr>
              <w:t>Expiration</w:t>
            </w:r>
          </w:p>
        </w:tc>
        <w:tc>
          <w:tcPr>
            <w:tcW w:w="26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003A70"/>
              </w:rPr>
              <w:t>Not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Have Not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003A70"/>
              </w:rPr>
              <w:t>That Have Not</w:t>
            </w:r>
          </w:p>
        </w:tc>
        <w:tc>
          <w:tcPr>
            <w:tcW w:w="0" w:type="dxa"/>
            <w:vAlign w:val="bottom"/>
          </w:tcPr>
          <w:p>
            <w:pPr>
              <w:spacing w:after="0"/>
              <w:rPr>
                <w:sz w:val="1"/>
                <w:szCs w:val="1"/>
                <w:color w:val="auto"/>
              </w:rPr>
            </w:pPr>
          </w:p>
        </w:tc>
      </w:tr>
      <w:tr>
        <w:trPr>
          <w:trHeight w:val="191"/>
        </w:trPr>
        <w:tc>
          <w:tcPr>
            <w:tcW w:w="13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840" w:type="dxa"/>
            <w:vAlign w:val="bottom"/>
            <w:tcBorders>
              <w:bottom w:val="single" w:sz="8" w:color="003A70"/>
            </w:tcBorders>
          </w:tcPr>
          <w:p>
            <w:pPr>
              <w:ind w:left="800"/>
              <w:spacing w:after="0" w:line="185"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340" w:type="dxa"/>
            <w:vAlign w:val="bottom"/>
            <w:tcBorders>
              <w:bottom w:val="single" w:sz="8" w:color="003A70"/>
            </w:tcBorders>
            <w:gridSpan w:val="2"/>
          </w:tcPr>
          <w:p>
            <w:pPr>
              <w:jc w:val="center"/>
              <w:ind w:right="60"/>
              <w:spacing w:after="0" w:line="185"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8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9"/>
              </w:rPr>
              <w:t>Price</w:t>
            </w:r>
          </w:p>
        </w:tc>
        <w:tc>
          <w:tcPr>
            <w:tcW w:w="940" w:type="dxa"/>
            <w:vAlign w:val="bottom"/>
            <w:tcBorders>
              <w:bottom w:val="single" w:sz="8" w:color="003A70"/>
            </w:tcBorders>
          </w:tcPr>
          <w:p>
            <w:pPr>
              <w:jc w:val="center"/>
              <w:ind w:left="40"/>
              <w:spacing w:after="0"/>
              <w:rPr>
                <w:sz w:val="20"/>
                <w:szCs w:val="20"/>
                <w:color w:val="auto"/>
              </w:rPr>
            </w:pPr>
            <w:r>
              <w:rPr>
                <w:rFonts w:ascii="Arial" w:cs="Arial" w:eastAsia="Arial" w:hAnsi="Arial"/>
                <w:sz w:val="14"/>
                <w:szCs w:val="14"/>
                <w:b w:val="1"/>
                <w:bCs w:val="1"/>
                <w:color w:val="003A70"/>
                <w:w w:val="98"/>
              </w:rPr>
              <w:t>Date</w:t>
            </w:r>
          </w:p>
        </w:tc>
        <w:tc>
          <w:tcPr>
            <w:tcW w:w="260" w:type="dxa"/>
            <w:vAlign w:val="bottom"/>
            <w:tcBorders>
              <w:bottom w:val="single" w:sz="8" w:color="003A70"/>
            </w:tcBorders>
          </w:tcPr>
          <w:p>
            <w:pPr>
              <w:spacing w:after="0"/>
              <w:rPr>
                <w:sz w:val="16"/>
                <w:szCs w:val="16"/>
                <w:color w:val="auto"/>
              </w:rPr>
            </w:pPr>
          </w:p>
        </w:tc>
        <w:tc>
          <w:tcPr>
            <w:tcW w:w="860" w:type="dxa"/>
            <w:vAlign w:val="bottom"/>
            <w:tcBorders>
              <w:bottom w:val="single" w:sz="8" w:color="003A70"/>
            </w:tcBorders>
          </w:tcPr>
          <w:p>
            <w:pPr>
              <w:jc w:val="center"/>
              <w:ind w:right="61"/>
              <w:spacing w:after="0" w:line="185"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10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w:t>
            </w:r>
          </w:p>
        </w:tc>
        <w:tc>
          <w:tcPr>
            <w:tcW w:w="13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 (#)</w:t>
            </w:r>
          </w:p>
        </w:tc>
        <w:tc>
          <w:tcPr>
            <w:tcW w:w="1200" w:type="dxa"/>
            <w:vAlign w:val="bottom"/>
            <w:tcBorders>
              <w:bottom w:val="single" w:sz="8" w:color="003A70"/>
            </w:tcBorders>
          </w:tcPr>
          <w:p>
            <w:pPr>
              <w:jc w:val="center"/>
              <w:ind w:left="4"/>
              <w:spacing w:after="0"/>
              <w:rPr>
                <w:sz w:val="20"/>
                <w:szCs w:val="20"/>
                <w:color w:val="auto"/>
              </w:rPr>
            </w:pPr>
            <w:r>
              <w:rPr>
                <w:rFonts w:ascii="Arial" w:cs="Arial" w:eastAsia="Arial" w:hAnsi="Arial"/>
                <w:sz w:val="14"/>
                <w:szCs w:val="14"/>
                <w:b w:val="1"/>
                <w:bCs w:val="1"/>
                <w:color w:val="003A70"/>
              </w:rPr>
              <w:t>Vested ($)</w:t>
            </w:r>
          </w:p>
        </w:tc>
        <w:tc>
          <w:tcPr>
            <w:tcW w:w="0" w:type="dxa"/>
            <w:vAlign w:val="bottom"/>
          </w:tcPr>
          <w:p>
            <w:pPr>
              <w:spacing w:after="0"/>
              <w:rPr>
                <w:sz w:val="1"/>
                <w:szCs w:val="1"/>
                <w:color w:val="auto"/>
              </w:rPr>
            </w:pPr>
          </w:p>
        </w:tc>
      </w:tr>
      <w:tr>
        <w:trPr>
          <w:trHeight w:val="174"/>
        </w:trPr>
        <w:tc>
          <w:tcPr>
            <w:tcW w:w="1360" w:type="dxa"/>
            <w:vAlign w:val="bottom"/>
          </w:tcPr>
          <w:p>
            <w:pPr>
              <w:spacing w:after="0" w:line="175" w:lineRule="exact"/>
              <w:rPr>
                <w:sz w:val="20"/>
                <w:szCs w:val="20"/>
                <w:color w:val="auto"/>
              </w:rPr>
            </w:pPr>
            <w:r>
              <w:rPr>
                <w:rFonts w:ascii="Arial" w:cs="Arial" w:eastAsia="Arial" w:hAnsi="Arial"/>
                <w:sz w:val="16"/>
                <w:szCs w:val="16"/>
                <w:b w:val="1"/>
                <w:bCs w:val="1"/>
                <w:color w:val="003A70"/>
              </w:rPr>
              <w:t>J. Marino</w:t>
            </w:r>
          </w:p>
        </w:tc>
        <w:tc>
          <w:tcPr>
            <w:tcW w:w="1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2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3"/>
              <w:spacing w:after="0" w:line="189" w:lineRule="exact"/>
              <w:rPr>
                <w:sz w:val="20"/>
                <w:szCs w:val="20"/>
                <w:color w:val="auto"/>
              </w:rPr>
            </w:pPr>
            <w:r>
              <w:rPr>
                <w:rFonts w:ascii="Arial" w:cs="Arial" w:eastAsia="Arial" w:hAnsi="Arial"/>
                <w:sz w:val="14"/>
                <w:szCs w:val="14"/>
                <w:color w:val="auto"/>
              </w:rPr>
              <w:t>9,398</w:t>
            </w:r>
            <w:r>
              <w:rPr>
                <w:rFonts w:ascii="Arial" w:cs="Arial" w:eastAsia="Arial" w:hAnsi="Arial"/>
                <w:sz w:val="21"/>
                <w:szCs w:val="21"/>
                <w:color w:val="auto"/>
                <w:vertAlign w:val="superscript"/>
              </w:rPr>
              <w:t> 6</w:t>
            </w:r>
          </w:p>
        </w:tc>
        <w:tc>
          <w:tcPr>
            <w:tcW w:w="1200" w:type="dxa"/>
            <w:vAlign w:val="bottom"/>
          </w:tcPr>
          <w:p>
            <w:pPr>
              <w:ind w:left="400"/>
              <w:spacing w:after="0" w:line="189" w:lineRule="exact"/>
              <w:rPr>
                <w:sz w:val="20"/>
                <w:szCs w:val="20"/>
                <w:color w:val="auto"/>
              </w:rPr>
            </w:pPr>
            <w:r>
              <w:rPr>
                <w:rFonts w:ascii="Arial" w:cs="Arial" w:eastAsia="Arial" w:hAnsi="Arial"/>
                <w:sz w:val="14"/>
                <w:szCs w:val="14"/>
                <w:color w:val="auto"/>
              </w:rPr>
              <w:t>843,940</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531</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173.88</w:t>
            </w:r>
          </w:p>
        </w:tc>
        <w:tc>
          <w:tcPr>
            <w:tcW w:w="940" w:type="dxa"/>
            <w:vAlign w:val="bottom"/>
          </w:tcPr>
          <w:p>
            <w:pPr>
              <w:jc w:val="right"/>
              <w:spacing w:after="0"/>
              <w:rPr>
                <w:sz w:val="20"/>
                <w:szCs w:val="20"/>
                <w:color w:val="auto"/>
              </w:rPr>
            </w:pPr>
            <w:r>
              <w:rPr>
                <w:rFonts w:ascii="Arial" w:cs="Arial" w:eastAsia="Arial" w:hAnsi="Arial"/>
                <w:sz w:val="16"/>
                <w:szCs w:val="16"/>
                <w:color w:val="auto"/>
              </w:rPr>
              <w:t>3/1/2031</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9,254</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2/28/2034</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222</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19,936</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12/15/2021</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225</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20,205</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343</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30,801</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771</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69,236</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11/15/2023</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3,338</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299,752</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84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5,546</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498,031</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Arial" w:cs="Arial" w:eastAsia="Arial" w:hAnsi="Arial"/>
                <w:sz w:val="16"/>
                <w:szCs w:val="16"/>
                <w:b w:val="1"/>
                <w:bCs w:val="1"/>
                <w:color w:val="003A70"/>
              </w:rPr>
              <w:t>B. Miller</w:t>
            </w: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2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3"/>
              <w:spacing w:after="0" w:line="189" w:lineRule="exact"/>
              <w:rPr>
                <w:sz w:val="20"/>
                <w:szCs w:val="20"/>
                <w:color w:val="auto"/>
              </w:rPr>
            </w:pPr>
            <w:r>
              <w:rPr>
                <w:rFonts w:ascii="Arial" w:cs="Arial" w:eastAsia="Arial" w:hAnsi="Arial"/>
                <w:sz w:val="14"/>
                <w:szCs w:val="14"/>
                <w:color w:val="auto"/>
              </w:rPr>
              <w:t>10,280</w:t>
            </w:r>
            <w:r>
              <w:rPr>
                <w:rFonts w:ascii="Arial" w:cs="Arial" w:eastAsia="Arial" w:hAnsi="Arial"/>
                <w:sz w:val="21"/>
                <w:szCs w:val="21"/>
                <w:color w:val="auto"/>
                <w:vertAlign w:val="superscript"/>
              </w:rPr>
              <w:t> 6</w:t>
            </w:r>
          </w:p>
        </w:tc>
        <w:tc>
          <w:tcPr>
            <w:tcW w:w="1200" w:type="dxa"/>
            <w:vAlign w:val="bottom"/>
          </w:tcPr>
          <w:p>
            <w:pPr>
              <w:ind w:left="400"/>
              <w:spacing w:after="0" w:line="189" w:lineRule="exact"/>
              <w:rPr>
                <w:sz w:val="20"/>
                <w:szCs w:val="20"/>
                <w:color w:val="auto"/>
              </w:rPr>
            </w:pPr>
            <w:r>
              <w:rPr>
                <w:rFonts w:ascii="Arial" w:cs="Arial" w:eastAsia="Arial" w:hAnsi="Arial"/>
                <w:sz w:val="14"/>
                <w:szCs w:val="14"/>
                <w:color w:val="auto"/>
              </w:rPr>
              <w:t>923,144</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3/1/2018</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4,358</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143.38</w:t>
            </w:r>
          </w:p>
        </w:tc>
        <w:tc>
          <w:tcPr>
            <w:tcW w:w="940" w:type="dxa"/>
            <w:vAlign w:val="bottom"/>
          </w:tcPr>
          <w:p>
            <w:pPr>
              <w:jc w:val="right"/>
              <w:spacing w:after="0"/>
              <w:rPr>
                <w:sz w:val="20"/>
                <w:szCs w:val="20"/>
                <w:color w:val="auto"/>
              </w:rPr>
            </w:pPr>
            <w:r>
              <w:rPr>
                <w:rFonts w:ascii="Arial" w:cs="Arial" w:eastAsia="Arial" w:hAnsi="Arial"/>
                <w:sz w:val="16"/>
                <w:szCs w:val="16"/>
                <w:color w:val="auto"/>
              </w:rPr>
              <w:t>3/1/2028</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3/4/2019</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3,635</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100.52</w:t>
            </w:r>
          </w:p>
        </w:tc>
        <w:tc>
          <w:tcPr>
            <w:tcW w:w="940" w:type="dxa"/>
            <w:vAlign w:val="bottom"/>
          </w:tcPr>
          <w:p>
            <w:pPr>
              <w:jc w:val="right"/>
              <w:spacing w:after="0"/>
              <w:rPr>
                <w:sz w:val="20"/>
                <w:szCs w:val="20"/>
                <w:color w:val="auto"/>
              </w:rPr>
            </w:pPr>
            <w:r>
              <w:rPr>
                <w:rFonts w:ascii="Arial" w:cs="Arial" w:eastAsia="Arial" w:hAnsi="Arial"/>
                <w:sz w:val="16"/>
                <w:szCs w:val="16"/>
                <w:color w:val="auto"/>
              </w:rPr>
              <w:t>3/4/2029</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3/2/2020</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6,834</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96.82</w:t>
            </w:r>
          </w:p>
        </w:tc>
        <w:tc>
          <w:tcPr>
            <w:tcW w:w="940" w:type="dxa"/>
            <w:vAlign w:val="bottom"/>
          </w:tcPr>
          <w:p>
            <w:pPr>
              <w:jc w:val="right"/>
              <w:spacing w:after="0"/>
              <w:rPr>
                <w:sz w:val="20"/>
                <w:szCs w:val="20"/>
                <w:color w:val="auto"/>
              </w:rPr>
            </w:pPr>
            <w:r>
              <w:rPr>
                <w:rFonts w:ascii="Arial" w:cs="Arial" w:eastAsia="Arial" w:hAnsi="Arial"/>
                <w:sz w:val="16"/>
                <w:szCs w:val="16"/>
                <w:color w:val="auto"/>
              </w:rPr>
              <w:t>3/2/2030</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5,838</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1,946</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173.88</w:t>
            </w:r>
          </w:p>
        </w:tc>
        <w:tc>
          <w:tcPr>
            <w:tcW w:w="940" w:type="dxa"/>
            <w:vAlign w:val="bottom"/>
          </w:tcPr>
          <w:p>
            <w:pPr>
              <w:jc w:val="right"/>
              <w:spacing w:after="0"/>
              <w:rPr>
                <w:sz w:val="20"/>
                <w:szCs w:val="20"/>
                <w:color w:val="auto"/>
              </w:rPr>
            </w:pPr>
            <w:r>
              <w:rPr>
                <w:rFonts w:ascii="Arial" w:cs="Arial" w:eastAsia="Arial" w:hAnsi="Arial"/>
                <w:sz w:val="16"/>
                <w:szCs w:val="16"/>
                <w:color w:val="auto"/>
              </w:rPr>
              <w:t>3/1/2031</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3,016</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3,016</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159.27</w:t>
            </w:r>
          </w:p>
        </w:tc>
        <w:tc>
          <w:tcPr>
            <w:tcW w:w="940" w:type="dxa"/>
            <w:vAlign w:val="bottom"/>
          </w:tcPr>
          <w:p>
            <w:pPr>
              <w:jc w:val="right"/>
              <w:spacing w:after="0"/>
              <w:rPr>
                <w:sz w:val="20"/>
                <w:szCs w:val="20"/>
                <w:color w:val="auto"/>
              </w:rPr>
            </w:pPr>
            <w:r>
              <w:rPr>
                <w:rFonts w:ascii="Arial" w:cs="Arial" w:eastAsia="Arial" w:hAnsi="Arial"/>
                <w:sz w:val="16"/>
                <w:szCs w:val="16"/>
                <w:color w:val="auto"/>
              </w:rPr>
              <w:t>2/28/2032</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1,282</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3,846</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153.10</w:t>
            </w:r>
          </w:p>
        </w:tc>
        <w:tc>
          <w:tcPr>
            <w:tcW w:w="940" w:type="dxa"/>
            <w:vAlign w:val="bottom"/>
          </w:tcPr>
          <w:p>
            <w:pPr>
              <w:jc w:val="right"/>
              <w:spacing w:after="0"/>
              <w:rPr>
                <w:sz w:val="20"/>
                <w:szCs w:val="20"/>
                <w:color w:val="auto"/>
              </w:rPr>
            </w:pPr>
            <w:r>
              <w:rPr>
                <w:rFonts w:ascii="Arial" w:cs="Arial" w:eastAsia="Arial" w:hAnsi="Arial"/>
                <w:sz w:val="16"/>
                <w:szCs w:val="16"/>
                <w:color w:val="auto"/>
              </w:rPr>
              <w:t>2/27/2033</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10,122</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2/28/2034</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813</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73,007</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783</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70,313</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2,310</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207,438</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84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6,066</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544,727</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Arial" w:cs="Arial" w:eastAsia="Arial" w:hAnsi="Arial"/>
                <w:sz w:val="16"/>
                <w:szCs w:val="16"/>
                <w:b w:val="1"/>
                <w:bCs w:val="1"/>
                <w:color w:val="003A70"/>
              </w:rPr>
              <w:t>J. Hunter</w:t>
            </w: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2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3"/>
              <w:spacing w:after="0" w:line="189" w:lineRule="exact"/>
              <w:rPr>
                <w:sz w:val="20"/>
                <w:szCs w:val="20"/>
                <w:color w:val="auto"/>
              </w:rPr>
            </w:pPr>
            <w:r>
              <w:rPr>
                <w:rFonts w:ascii="Arial" w:cs="Arial" w:eastAsia="Arial" w:hAnsi="Arial"/>
                <w:sz w:val="14"/>
                <w:szCs w:val="14"/>
                <w:color w:val="auto"/>
              </w:rPr>
              <w:t>7,343</w:t>
            </w:r>
            <w:r>
              <w:rPr>
                <w:rFonts w:ascii="Arial" w:cs="Arial" w:eastAsia="Arial" w:hAnsi="Arial"/>
                <w:sz w:val="21"/>
                <w:szCs w:val="21"/>
                <w:color w:val="auto"/>
                <w:vertAlign w:val="superscript"/>
              </w:rPr>
              <w:t> 6</w:t>
            </w:r>
          </w:p>
        </w:tc>
        <w:tc>
          <w:tcPr>
            <w:tcW w:w="1200" w:type="dxa"/>
            <w:vAlign w:val="bottom"/>
          </w:tcPr>
          <w:p>
            <w:pPr>
              <w:ind w:left="400"/>
              <w:spacing w:after="0" w:line="189" w:lineRule="exact"/>
              <w:rPr>
                <w:sz w:val="20"/>
                <w:szCs w:val="20"/>
                <w:color w:val="auto"/>
              </w:rPr>
            </w:pPr>
            <w:r>
              <w:rPr>
                <w:rFonts w:ascii="Arial" w:cs="Arial" w:eastAsia="Arial" w:hAnsi="Arial"/>
                <w:sz w:val="14"/>
                <w:szCs w:val="14"/>
                <w:color w:val="auto"/>
              </w:rPr>
              <w:t>659,401</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2/29/2016</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7,444</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61.71</w:t>
            </w:r>
          </w:p>
        </w:tc>
        <w:tc>
          <w:tcPr>
            <w:tcW w:w="940" w:type="dxa"/>
            <w:vAlign w:val="bottom"/>
          </w:tcPr>
          <w:p>
            <w:pPr>
              <w:jc w:val="right"/>
              <w:spacing w:after="0"/>
              <w:rPr>
                <w:sz w:val="20"/>
                <w:szCs w:val="20"/>
                <w:color w:val="auto"/>
              </w:rPr>
            </w:pPr>
            <w:r>
              <w:rPr>
                <w:rFonts w:ascii="Arial" w:cs="Arial" w:eastAsia="Arial" w:hAnsi="Arial"/>
                <w:sz w:val="16"/>
                <w:szCs w:val="16"/>
                <w:color w:val="auto"/>
              </w:rPr>
              <w:t>2/28/2026</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2/27/2017</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4,886</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97.53</w:t>
            </w:r>
          </w:p>
        </w:tc>
        <w:tc>
          <w:tcPr>
            <w:tcW w:w="940" w:type="dxa"/>
            <w:vAlign w:val="bottom"/>
          </w:tcPr>
          <w:p>
            <w:pPr>
              <w:jc w:val="right"/>
              <w:spacing w:after="0"/>
              <w:rPr>
                <w:sz w:val="20"/>
                <w:szCs w:val="20"/>
                <w:color w:val="auto"/>
              </w:rPr>
            </w:pPr>
            <w:r>
              <w:rPr>
                <w:rFonts w:ascii="Arial" w:cs="Arial" w:eastAsia="Arial" w:hAnsi="Arial"/>
                <w:sz w:val="16"/>
                <w:szCs w:val="16"/>
                <w:color w:val="auto"/>
              </w:rPr>
              <w:t>2/27/2027</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3/1/2018</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4,190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143.38</w:t>
            </w:r>
          </w:p>
        </w:tc>
        <w:tc>
          <w:tcPr>
            <w:tcW w:w="940" w:type="dxa"/>
            <w:vAlign w:val="bottom"/>
          </w:tcPr>
          <w:p>
            <w:pPr>
              <w:jc w:val="right"/>
              <w:spacing w:after="0"/>
              <w:rPr>
                <w:sz w:val="20"/>
                <w:szCs w:val="20"/>
                <w:color w:val="auto"/>
              </w:rPr>
            </w:pPr>
            <w:r>
              <w:rPr>
                <w:rFonts w:ascii="Arial" w:cs="Arial" w:eastAsia="Arial" w:hAnsi="Arial"/>
                <w:sz w:val="16"/>
                <w:szCs w:val="16"/>
                <w:color w:val="auto"/>
              </w:rPr>
              <w:t>3/1/2028</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3/4/2019</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6,750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100.52</w:t>
            </w:r>
          </w:p>
        </w:tc>
        <w:tc>
          <w:tcPr>
            <w:tcW w:w="940" w:type="dxa"/>
            <w:vAlign w:val="bottom"/>
          </w:tcPr>
          <w:p>
            <w:pPr>
              <w:jc w:val="right"/>
              <w:spacing w:after="0"/>
              <w:rPr>
                <w:sz w:val="20"/>
                <w:szCs w:val="20"/>
                <w:color w:val="auto"/>
              </w:rPr>
            </w:pPr>
            <w:r>
              <w:rPr>
                <w:rFonts w:ascii="Arial" w:cs="Arial" w:eastAsia="Arial" w:hAnsi="Arial"/>
                <w:sz w:val="16"/>
                <w:szCs w:val="16"/>
                <w:color w:val="auto"/>
              </w:rPr>
              <w:t>3/4/2029</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3/2/2020</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7,594</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96.82</w:t>
            </w:r>
          </w:p>
        </w:tc>
        <w:tc>
          <w:tcPr>
            <w:tcW w:w="940" w:type="dxa"/>
            <w:vAlign w:val="bottom"/>
          </w:tcPr>
          <w:p>
            <w:pPr>
              <w:jc w:val="right"/>
              <w:spacing w:after="0"/>
              <w:rPr>
                <w:sz w:val="20"/>
                <w:szCs w:val="20"/>
                <w:color w:val="auto"/>
              </w:rPr>
            </w:pPr>
            <w:r>
              <w:rPr>
                <w:rFonts w:ascii="Arial" w:cs="Arial" w:eastAsia="Arial" w:hAnsi="Arial"/>
                <w:sz w:val="16"/>
                <w:szCs w:val="16"/>
                <w:color w:val="auto"/>
              </w:rPr>
              <w:t>3/2/2030</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4,511</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1,504</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173.88</w:t>
            </w:r>
          </w:p>
        </w:tc>
        <w:tc>
          <w:tcPr>
            <w:tcW w:w="940" w:type="dxa"/>
            <w:vAlign w:val="bottom"/>
          </w:tcPr>
          <w:p>
            <w:pPr>
              <w:jc w:val="right"/>
              <w:spacing w:after="0"/>
              <w:rPr>
                <w:sz w:val="20"/>
                <w:szCs w:val="20"/>
                <w:color w:val="auto"/>
              </w:rPr>
            </w:pPr>
            <w:r>
              <w:rPr>
                <w:rFonts w:ascii="Arial" w:cs="Arial" w:eastAsia="Arial" w:hAnsi="Arial"/>
                <w:sz w:val="16"/>
                <w:szCs w:val="16"/>
                <w:color w:val="auto"/>
              </w:rPr>
              <w:t>3/1/2031</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2,262</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2,262</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159.27</w:t>
            </w:r>
          </w:p>
        </w:tc>
        <w:tc>
          <w:tcPr>
            <w:tcW w:w="940" w:type="dxa"/>
            <w:vAlign w:val="bottom"/>
          </w:tcPr>
          <w:p>
            <w:pPr>
              <w:jc w:val="right"/>
              <w:spacing w:after="0"/>
              <w:rPr>
                <w:sz w:val="20"/>
                <w:szCs w:val="20"/>
                <w:color w:val="auto"/>
              </w:rPr>
            </w:pPr>
            <w:r>
              <w:rPr>
                <w:rFonts w:ascii="Arial" w:cs="Arial" w:eastAsia="Arial" w:hAnsi="Arial"/>
                <w:sz w:val="16"/>
                <w:szCs w:val="16"/>
                <w:color w:val="auto"/>
              </w:rPr>
              <w:t>2/28/2032</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854</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2,565</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153.10</w:t>
            </w:r>
          </w:p>
        </w:tc>
        <w:tc>
          <w:tcPr>
            <w:tcW w:w="940" w:type="dxa"/>
            <w:vAlign w:val="bottom"/>
          </w:tcPr>
          <w:p>
            <w:pPr>
              <w:jc w:val="right"/>
              <w:spacing w:after="0"/>
              <w:rPr>
                <w:sz w:val="20"/>
                <w:szCs w:val="20"/>
                <w:color w:val="auto"/>
              </w:rPr>
            </w:pPr>
            <w:r>
              <w:rPr>
                <w:rFonts w:ascii="Arial" w:cs="Arial" w:eastAsia="Arial" w:hAnsi="Arial"/>
                <w:sz w:val="16"/>
                <w:szCs w:val="16"/>
                <w:color w:val="auto"/>
              </w:rPr>
              <w:t>2/27/2033</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7,230</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2/28/2034</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628</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56,394</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587</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52,713</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1,540</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138,292</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84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4,333</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389,103</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Arial" w:cs="Arial" w:eastAsia="Arial" w:hAnsi="Arial"/>
                <w:sz w:val="16"/>
                <w:szCs w:val="16"/>
                <w:b w:val="1"/>
                <w:bCs w:val="1"/>
                <w:color w:val="003A70"/>
              </w:rPr>
              <w:t>J. Marbert</w:t>
            </w: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2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18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3"/>
              <w:spacing w:after="0" w:line="189" w:lineRule="exact"/>
              <w:rPr>
                <w:sz w:val="20"/>
                <w:szCs w:val="20"/>
                <w:color w:val="auto"/>
              </w:rPr>
            </w:pPr>
            <w:r>
              <w:rPr>
                <w:rFonts w:ascii="Arial" w:cs="Arial" w:eastAsia="Arial" w:hAnsi="Arial"/>
                <w:sz w:val="14"/>
                <w:szCs w:val="14"/>
                <w:color w:val="auto"/>
              </w:rPr>
              <w:t>1,434</w:t>
            </w:r>
            <w:r>
              <w:rPr>
                <w:rFonts w:ascii="Arial" w:cs="Arial" w:eastAsia="Arial" w:hAnsi="Arial"/>
                <w:sz w:val="21"/>
                <w:szCs w:val="21"/>
                <w:color w:val="auto"/>
                <w:vertAlign w:val="superscript"/>
              </w:rPr>
              <w:t> 6</w:t>
            </w:r>
          </w:p>
        </w:tc>
        <w:tc>
          <w:tcPr>
            <w:tcW w:w="1200" w:type="dxa"/>
            <w:vAlign w:val="bottom"/>
          </w:tcPr>
          <w:p>
            <w:pPr>
              <w:ind w:left="400"/>
              <w:spacing w:after="0" w:line="189" w:lineRule="exact"/>
              <w:rPr>
                <w:sz w:val="20"/>
                <w:szCs w:val="20"/>
                <w:color w:val="auto"/>
              </w:rPr>
            </w:pPr>
            <w:r>
              <w:rPr>
                <w:rFonts w:ascii="Arial" w:cs="Arial" w:eastAsia="Arial" w:hAnsi="Arial"/>
                <w:sz w:val="14"/>
                <w:szCs w:val="14"/>
                <w:color w:val="auto"/>
              </w:rPr>
              <w:t>128,773</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3/4/2019</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8,827</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100.52</w:t>
            </w:r>
          </w:p>
        </w:tc>
        <w:tc>
          <w:tcPr>
            <w:tcW w:w="940" w:type="dxa"/>
            <w:vAlign w:val="bottom"/>
          </w:tcPr>
          <w:p>
            <w:pPr>
              <w:jc w:val="right"/>
              <w:spacing w:after="0"/>
              <w:rPr>
                <w:sz w:val="20"/>
                <w:szCs w:val="20"/>
                <w:color w:val="auto"/>
              </w:rPr>
            </w:pPr>
            <w:r>
              <w:rPr>
                <w:rFonts w:ascii="Arial" w:cs="Arial" w:eastAsia="Arial" w:hAnsi="Arial"/>
                <w:sz w:val="16"/>
                <w:szCs w:val="16"/>
                <w:color w:val="auto"/>
              </w:rPr>
              <w:t>3/4/2029</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3/2/2020</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9,112</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96.82</w:t>
            </w:r>
          </w:p>
        </w:tc>
        <w:tc>
          <w:tcPr>
            <w:tcW w:w="940" w:type="dxa"/>
            <w:vAlign w:val="bottom"/>
          </w:tcPr>
          <w:p>
            <w:pPr>
              <w:jc w:val="right"/>
              <w:spacing w:after="0"/>
              <w:rPr>
                <w:sz w:val="20"/>
                <w:szCs w:val="20"/>
                <w:color w:val="auto"/>
              </w:rPr>
            </w:pPr>
            <w:r>
              <w:rPr>
                <w:rFonts w:ascii="Arial" w:cs="Arial" w:eastAsia="Arial" w:hAnsi="Arial"/>
                <w:sz w:val="16"/>
                <w:szCs w:val="16"/>
                <w:color w:val="auto"/>
              </w:rPr>
              <w:t>3/2/2030</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5,307</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1,769</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173.88</w:t>
            </w:r>
          </w:p>
        </w:tc>
        <w:tc>
          <w:tcPr>
            <w:tcW w:w="940" w:type="dxa"/>
            <w:vAlign w:val="bottom"/>
          </w:tcPr>
          <w:p>
            <w:pPr>
              <w:jc w:val="right"/>
              <w:spacing w:after="0"/>
              <w:rPr>
                <w:sz w:val="20"/>
                <w:szCs w:val="20"/>
                <w:color w:val="auto"/>
              </w:rPr>
            </w:pPr>
            <w:r>
              <w:rPr>
                <w:rFonts w:ascii="Arial" w:cs="Arial" w:eastAsia="Arial" w:hAnsi="Arial"/>
                <w:sz w:val="16"/>
                <w:szCs w:val="16"/>
                <w:color w:val="auto"/>
              </w:rPr>
              <w:t>3/1/2031</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2,513</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2,514</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159.27</w:t>
            </w:r>
          </w:p>
        </w:tc>
        <w:tc>
          <w:tcPr>
            <w:tcW w:w="940" w:type="dxa"/>
            <w:vAlign w:val="bottom"/>
          </w:tcPr>
          <w:p>
            <w:pPr>
              <w:jc w:val="right"/>
              <w:spacing w:after="0"/>
              <w:rPr>
                <w:sz w:val="20"/>
                <w:szCs w:val="20"/>
                <w:color w:val="auto"/>
              </w:rPr>
            </w:pPr>
            <w:r>
              <w:rPr>
                <w:rFonts w:ascii="Arial" w:cs="Arial" w:eastAsia="Arial" w:hAnsi="Arial"/>
                <w:sz w:val="16"/>
                <w:szCs w:val="16"/>
                <w:color w:val="auto"/>
              </w:rPr>
              <w:t>2/28/2032</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940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2,821</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153.10</w:t>
            </w:r>
          </w:p>
        </w:tc>
        <w:tc>
          <w:tcPr>
            <w:tcW w:w="940" w:type="dxa"/>
            <w:vAlign w:val="bottom"/>
          </w:tcPr>
          <w:p>
            <w:pPr>
              <w:jc w:val="right"/>
              <w:spacing w:after="0"/>
              <w:rPr>
                <w:sz w:val="20"/>
                <w:szCs w:val="20"/>
                <w:color w:val="auto"/>
              </w:rPr>
            </w:pPr>
            <w:r>
              <w:rPr>
                <w:rFonts w:ascii="Arial" w:cs="Arial" w:eastAsia="Arial" w:hAnsi="Arial"/>
                <w:sz w:val="16"/>
                <w:szCs w:val="16"/>
                <w:color w:val="auto"/>
              </w:rPr>
              <w:t>2/27/2033</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2/29/2024</w:t>
            </w:r>
          </w:p>
        </w:tc>
        <w:tc>
          <w:tcPr>
            <w:tcW w:w="1840" w:type="dxa"/>
            <w:vAlign w:val="bottom"/>
          </w:tcPr>
          <w:p>
            <w:pPr>
              <w:jc w:val="center"/>
              <w:ind w:left="261"/>
              <w:spacing w:after="0"/>
              <w:rPr>
                <w:sz w:val="20"/>
                <w:szCs w:val="20"/>
                <w:color w:val="auto"/>
              </w:rPr>
            </w:pPr>
            <w:r>
              <w:rPr>
                <w:rFonts w:ascii="Arial" w:cs="Arial" w:eastAsia="Arial" w:hAnsi="Arial"/>
                <w:sz w:val="16"/>
                <w:szCs w:val="16"/>
                <w:color w:val="auto"/>
                <w:w w:val="99"/>
              </w:rPr>
              <w:t>VAC SARs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3,326</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2/28/2034</w:t>
            </w:r>
          </w:p>
        </w:tc>
        <w:tc>
          <w:tcPr>
            <w:tcW w:w="2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3/1/2021</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739</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66,362</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2/28/2022</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653</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58,639</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20"/>
                <w:szCs w:val="20"/>
                <w:color w:val="auto"/>
              </w:rPr>
            </w:pPr>
            <w:r>
              <w:rPr>
                <w:rFonts w:ascii="Arial" w:cs="Arial" w:eastAsia="Arial" w:hAnsi="Arial"/>
                <w:sz w:val="16"/>
                <w:szCs w:val="16"/>
                <w:color w:val="auto"/>
              </w:rPr>
              <w:t>2/27/2023</w:t>
            </w:r>
          </w:p>
        </w:tc>
        <w:tc>
          <w:tcPr>
            <w:tcW w:w="1840" w:type="dxa"/>
            <w:vAlign w:val="bottom"/>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1,694</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152,121</w:t>
            </w:r>
          </w:p>
        </w:tc>
        <w:tc>
          <w:tcPr>
            <w:tcW w:w="1300" w:type="dxa"/>
            <w:vAlign w:val="bottom"/>
          </w:tcPr>
          <w:p>
            <w:pPr>
              <w:ind w:left="82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84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1,993</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178,971</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p>
        </w:tc>
        <w:tc>
          <w:tcPr>
            <w:tcW w:w="3660" w:type="dxa"/>
            <w:vAlign w:val="bottom"/>
            <w:tcBorders>
              <w:bottom w:val="single" w:sz="8" w:color="003A70"/>
            </w:tcBorders>
            <w:gridSpan w:val="5"/>
          </w:tcPr>
          <w:p>
            <w:pPr>
              <w:jc w:val="right"/>
              <w:ind w:right="741"/>
              <w:spacing w:after="0"/>
              <w:rPr>
                <w:sz w:val="20"/>
                <w:szCs w:val="20"/>
                <w:color w:val="auto"/>
              </w:rPr>
            </w:pPr>
            <w:r>
              <w:rPr>
                <w:rFonts w:ascii="Arial" w:cs="Arial" w:eastAsia="Arial" w:hAnsi="Arial"/>
                <w:sz w:val="11"/>
                <w:szCs w:val="11"/>
                <w:color w:val="auto"/>
              </w:rPr>
              <w:t>Executive Compensation Tables and Discussion</w:t>
            </w:r>
          </w:p>
        </w:tc>
        <w:tc>
          <w:tcPr>
            <w:tcW w:w="1020" w:type="dxa"/>
            <w:vAlign w:val="bottom"/>
            <w:tcBorders>
              <w:bottom w:val="single" w:sz="8" w:color="003A70"/>
            </w:tcBorders>
          </w:tcPr>
          <w:p>
            <w:pPr>
              <w:spacing w:after="0"/>
              <w:rPr>
                <w:sz w:val="22"/>
                <w:szCs w:val="22"/>
                <w:color w:val="auto"/>
              </w:rPr>
            </w:pPr>
          </w:p>
        </w:tc>
        <w:tc>
          <w:tcPr>
            <w:tcW w:w="1300" w:type="dxa"/>
            <w:vAlign w:val="bottom"/>
            <w:tcBorders>
              <w:bottom w:val="single" w:sz="8" w:color="003A70"/>
            </w:tcBorders>
          </w:tcPr>
          <w:p>
            <w:pPr>
              <w:spacing w:after="0"/>
              <w:rPr>
                <w:sz w:val="22"/>
                <w:szCs w:val="22"/>
                <w:color w:val="auto"/>
              </w:rPr>
            </w:pPr>
          </w:p>
        </w:tc>
        <w:tc>
          <w:tcPr>
            <w:tcW w:w="1200" w:type="dxa"/>
            <w:vAlign w:val="bottom"/>
            <w:tcBorders>
              <w:bottom w:val="single" w:sz="8" w:color="003A70"/>
            </w:tcBorders>
          </w:tcPr>
          <w:p>
            <w:pPr>
              <w:ind w:left="1080"/>
              <w:spacing w:after="0"/>
              <w:rPr>
                <w:sz w:val="20"/>
                <w:szCs w:val="20"/>
                <w:color w:val="auto"/>
              </w:rPr>
            </w:pPr>
            <w:r>
              <w:rPr>
                <w:rFonts w:ascii="Arial" w:cs="Arial" w:eastAsia="Arial" w:hAnsi="Arial"/>
                <w:sz w:val="11"/>
                <w:szCs w:val="11"/>
                <w:b w:val="1"/>
                <w:bCs w:val="1"/>
                <w:color w:val="003A70"/>
                <w:w w:val="81"/>
              </w:rPr>
              <w:t>41</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0"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Borders>
              <w:bottom w:val="single" w:sz="8" w:color="003A70"/>
            </w:tcBorders>
          </w:tcPr>
          <w:p>
            <w:pPr>
              <w:spacing w:after="0"/>
              <w:rPr>
                <w:sz w:val="14"/>
                <w:szCs w:val="14"/>
                <w:color w:val="auto"/>
              </w:rPr>
            </w:pPr>
          </w:p>
        </w:tc>
        <w:tc>
          <w:tcPr>
            <w:tcW w:w="1540" w:type="dxa"/>
            <w:vAlign w:val="bottom"/>
            <w:tcBorders>
              <w:bottom w:val="single" w:sz="8" w:color="003A70"/>
            </w:tcBorders>
            <w:gridSpan w:val="2"/>
          </w:tcPr>
          <w:p>
            <w:pPr>
              <w:jc w:val="right"/>
              <w:ind w:right="22"/>
              <w:spacing w:after="0"/>
              <w:rPr>
                <w:sz w:val="20"/>
                <w:szCs w:val="20"/>
                <w:color w:val="auto"/>
              </w:rPr>
            </w:pPr>
            <w:r>
              <w:rPr>
                <w:rFonts w:ascii="Arial" w:cs="Arial" w:eastAsia="Arial" w:hAnsi="Arial"/>
                <w:sz w:val="14"/>
                <w:szCs w:val="14"/>
                <w:b w:val="1"/>
                <w:bCs w:val="1"/>
                <w:color w:val="003A70"/>
              </w:rPr>
              <w:t>Option Awards</w:t>
            </w:r>
          </w:p>
        </w:tc>
        <w:tc>
          <w:tcPr>
            <w:tcW w:w="940" w:type="dxa"/>
            <w:vAlign w:val="bottom"/>
            <w:tcBorders>
              <w:bottom w:val="single" w:sz="8" w:color="003A70"/>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2320" w:type="dxa"/>
            <w:vAlign w:val="bottom"/>
            <w:tcBorders>
              <w:bottom w:val="single" w:sz="8" w:color="003A70"/>
            </w:tcBorders>
            <w:gridSpan w:val="2"/>
          </w:tcPr>
          <w:p>
            <w:pPr>
              <w:ind w:left="740"/>
              <w:spacing w:after="0"/>
              <w:rPr>
                <w:sz w:val="20"/>
                <w:szCs w:val="20"/>
                <w:color w:val="auto"/>
              </w:rPr>
            </w:pPr>
            <w:r>
              <w:rPr>
                <w:rFonts w:ascii="Arial" w:cs="Arial" w:eastAsia="Arial" w:hAnsi="Arial"/>
                <w:sz w:val="14"/>
                <w:szCs w:val="14"/>
                <w:b w:val="1"/>
                <w:bCs w:val="1"/>
                <w:color w:val="003A70"/>
              </w:rPr>
              <w:t>Stock Awards</w:t>
            </w:r>
          </w:p>
        </w:tc>
        <w:tc>
          <w:tcPr>
            <w:tcW w:w="120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Equity Incentive</w:t>
            </w:r>
          </w:p>
        </w:tc>
        <w:tc>
          <w:tcPr>
            <w:tcW w:w="1200" w:type="dxa"/>
            <w:vAlign w:val="bottom"/>
          </w:tcPr>
          <w:p>
            <w:pPr>
              <w:jc w:val="center"/>
              <w:ind w:left="26"/>
              <w:spacing w:after="0" w:line="146" w:lineRule="exact"/>
              <w:rPr>
                <w:sz w:val="20"/>
                <w:szCs w:val="20"/>
                <w:color w:val="auto"/>
              </w:rPr>
            </w:pPr>
            <w:r>
              <w:rPr>
                <w:rFonts w:ascii="Arial" w:cs="Arial" w:eastAsia="Arial" w:hAnsi="Arial"/>
                <w:sz w:val="14"/>
                <w:szCs w:val="14"/>
                <w:b w:val="1"/>
                <w:bCs w:val="1"/>
                <w:color w:val="003A70"/>
              </w:rPr>
              <w:t>Equity Incentive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0" w:type="dxa"/>
            <w:vAlign w:val="bottom"/>
          </w:tcPr>
          <w:p>
            <w:pPr>
              <w:jc w:val="center"/>
              <w:ind w:left="6"/>
              <w:spacing w:after="0" w:line="148" w:lineRule="exact"/>
              <w:rPr>
                <w:sz w:val="20"/>
                <w:szCs w:val="20"/>
                <w:color w:val="auto"/>
              </w:rPr>
            </w:pPr>
            <w:r>
              <w:rPr>
                <w:rFonts w:ascii="Arial" w:cs="Arial" w:eastAsia="Arial" w:hAnsi="Arial"/>
                <w:sz w:val="14"/>
                <w:szCs w:val="14"/>
                <w:b w:val="1"/>
                <w:bCs w:val="1"/>
                <w:color w:val="003A70"/>
              </w:rPr>
              <w:t>Plan Awards: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Number of</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4"/>
                <w:szCs w:val="14"/>
                <w:b w:val="1"/>
                <w:bCs w:val="1"/>
                <w:color w:val="003A70"/>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Market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Market or</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Securities</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003A70"/>
              </w:rPr>
              <w:t>Shares 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w w:val="99"/>
              </w:rPr>
              <w:t>Value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Payout Value</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Underlying</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003A70"/>
              </w:rPr>
              <w:t>Units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Shares or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Unearned</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of Unearned</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Unexercised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Option/</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003A70"/>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Units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Shares, Units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Options/SARs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940" w:type="dxa"/>
            <w:vAlign w:val="bottom"/>
          </w:tcPr>
          <w:p>
            <w:pPr>
              <w:jc w:val="center"/>
              <w:ind w:left="21"/>
              <w:spacing w:after="0"/>
              <w:rPr>
                <w:sz w:val="20"/>
                <w:szCs w:val="20"/>
                <w:color w:val="auto"/>
              </w:rPr>
            </w:pPr>
            <w:r>
              <w:rPr>
                <w:rFonts w:ascii="Arial" w:cs="Arial" w:eastAsia="Arial" w:hAnsi="Arial"/>
                <w:sz w:val="14"/>
                <w:szCs w:val="14"/>
                <w:b w:val="1"/>
                <w:bCs w:val="1"/>
                <w:color w:val="003A70"/>
              </w:rPr>
              <w:t>Option/SAR</w:t>
            </w:r>
          </w:p>
        </w:tc>
        <w:tc>
          <w:tcPr>
            <w:tcW w:w="24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003A70"/>
              </w:rPr>
              <w:t>That Have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Stock That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or Other Rights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780" w:type="dxa"/>
            <w:vAlign w:val="bottom"/>
          </w:tcPr>
          <w:p>
            <w:pPr>
              <w:jc w:val="right"/>
              <w:ind w:right="542"/>
              <w:spacing w:after="0"/>
              <w:rPr>
                <w:sz w:val="20"/>
                <w:szCs w:val="20"/>
                <w:color w:val="auto"/>
              </w:rPr>
            </w:pPr>
            <w:r>
              <w:rPr>
                <w:rFonts w:ascii="Arial" w:cs="Arial" w:eastAsia="Arial" w:hAnsi="Arial"/>
                <w:sz w:val="14"/>
                <w:szCs w:val="14"/>
                <w:b w:val="1"/>
                <w:bCs w:val="1"/>
                <w:color w:val="003A70"/>
              </w:rPr>
              <w:t>Award</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Exercise</w:t>
            </w:r>
          </w:p>
        </w:tc>
        <w:tc>
          <w:tcPr>
            <w:tcW w:w="940" w:type="dxa"/>
            <w:vAlign w:val="bottom"/>
          </w:tcPr>
          <w:p>
            <w:pPr>
              <w:jc w:val="center"/>
              <w:ind w:left="41"/>
              <w:spacing w:after="0"/>
              <w:rPr>
                <w:sz w:val="20"/>
                <w:szCs w:val="20"/>
                <w:color w:val="auto"/>
              </w:rPr>
            </w:pPr>
            <w:r>
              <w:rPr>
                <w:rFonts w:ascii="Arial" w:cs="Arial" w:eastAsia="Arial" w:hAnsi="Arial"/>
                <w:sz w:val="14"/>
                <w:szCs w:val="14"/>
                <w:b w:val="1"/>
                <w:bCs w:val="1"/>
                <w:color w:val="003A70"/>
              </w:rPr>
              <w:t>Expiration</w:t>
            </w:r>
          </w:p>
        </w:tc>
        <w:tc>
          <w:tcPr>
            <w:tcW w:w="24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003A70"/>
              </w:rPr>
              <w:t>Not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A70"/>
              </w:rPr>
              <w:t>Have Not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200" w:type="dxa"/>
            <w:vAlign w:val="bottom"/>
          </w:tcPr>
          <w:p>
            <w:pPr>
              <w:jc w:val="center"/>
              <w:ind w:left="6"/>
              <w:spacing w:after="0"/>
              <w:rPr>
                <w:sz w:val="20"/>
                <w:szCs w:val="20"/>
                <w:color w:val="auto"/>
              </w:rPr>
            </w:pPr>
            <w:r>
              <w:rPr>
                <w:rFonts w:ascii="Arial" w:cs="Arial" w:eastAsia="Arial" w:hAnsi="Arial"/>
                <w:sz w:val="14"/>
                <w:szCs w:val="14"/>
                <w:b w:val="1"/>
                <w:bCs w:val="1"/>
                <w:color w:val="003A70"/>
              </w:rPr>
              <w:t>That Have Not</w:t>
            </w:r>
          </w:p>
        </w:tc>
        <w:tc>
          <w:tcPr>
            <w:tcW w:w="0" w:type="dxa"/>
            <w:vAlign w:val="bottom"/>
          </w:tcPr>
          <w:p>
            <w:pPr>
              <w:spacing w:after="0"/>
              <w:rPr>
                <w:sz w:val="1"/>
                <w:szCs w:val="1"/>
                <w:color w:val="auto"/>
              </w:rPr>
            </w:pPr>
          </w:p>
        </w:tc>
      </w:tr>
      <w:tr>
        <w:trPr>
          <w:trHeight w:val="191"/>
        </w:trPr>
        <w:tc>
          <w:tcPr>
            <w:tcW w:w="15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780" w:type="dxa"/>
            <w:vAlign w:val="bottom"/>
            <w:tcBorders>
              <w:bottom w:val="single" w:sz="8" w:color="003A70"/>
            </w:tcBorders>
          </w:tcPr>
          <w:p>
            <w:pPr>
              <w:jc w:val="right"/>
              <w:ind w:right="582"/>
              <w:spacing w:after="0" w:line="185"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280" w:type="dxa"/>
            <w:vAlign w:val="bottom"/>
            <w:tcBorders>
              <w:bottom w:val="single" w:sz="8" w:color="003A70"/>
            </w:tcBorders>
            <w:gridSpan w:val="2"/>
          </w:tcPr>
          <w:p>
            <w:pPr>
              <w:jc w:val="center"/>
              <w:ind w:right="40"/>
              <w:spacing w:after="0" w:line="185"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8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9"/>
              </w:rPr>
              <w:t>Price</w:t>
            </w:r>
          </w:p>
        </w:tc>
        <w:tc>
          <w:tcPr>
            <w:tcW w:w="940" w:type="dxa"/>
            <w:vAlign w:val="bottom"/>
            <w:tcBorders>
              <w:bottom w:val="single" w:sz="8" w:color="003A70"/>
            </w:tcBorders>
          </w:tcPr>
          <w:p>
            <w:pPr>
              <w:jc w:val="center"/>
              <w:ind w:left="21"/>
              <w:spacing w:after="0"/>
              <w:rPr>
                <w:sz w:val="20"/>
                <w:szCs w:val="20"/>
                <w:color w:val="auto"/>
              </w:rPr>
            </w:pPr>
            <w:r>
              <w:rPr>
                <w:rFonts w:ascii="Arial" w:cs="Arial" w:eastAsia="Arial" w:hAnsi="Arial"/>
                <w:sz w:val="14"/>
                <w:szCs w:val="14"/>
                <w:b w:val="1"/>
                <w:bCs w:val="1"/>
                <w:color w:val="003A70"/>
              </w:rPr>
              <w:t>Date</w:t>
            </w:r>
          </w:p>
        </w:tc>
        <w:tc>
          <w:tcPr>
            <w:tcW w:w="240" w:type="dxa"/>
            <w:vAlign w:val="bottom"/>
            <w:tcBorders>
              <w:bottom w:val="single" w:sz="8" w:color="003A70"/>
            </w:tcBorders>
          </w:tcPr>
          <w:p>
            <w:pPr>
              <w:spacing w:after="0"/>
              <w:rPr>
                <w:sz w:val="16"/>
                <w:szCs w:val="16"/>
                <w:color w:val="auto"/>
              </w:rPr>
            </w:pPr>
          </w:p>
        </w:tc>
        <w:tc>
          <w:tcPr>
            <w:tcW w:w="860" w:type="dxa"/>
            <w:vAlign w:val="bottom"/>
            <w:tcBorders>
              <w:bottom w:val="single" w:sz="8" w:color="003A70"/>
            </w:tcBorders>
          </w:tcPr>
          <w:p>
            <w:pPr>
              <w:jc w:val="center"/>
              <w:ind w:right="64"/>
              <w:spacing w:after="0" w:line="185"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10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w:t>
            </w:r>
          </w:p>
        </w:tc>
        <w:tc>
          <w:tcPr>
            <w:tcW w:w="13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 (#)</w:t>
            </w:r>
          </w:p>
        </w:tc>
        <w:tc>
          <w:tcPr>
            <w:tcW w:w="1200" w:type="dxa"/>
            <w:vAlign w:val="bottom"/>
            <w:tcBorders>
              <w:bottom w:val="single" w:sz="8" w:color="003A70"/>
            </w:tcBorders>
          </w:tcPr>
          <w:p>
            <w:pPr>
              <w:jc w:val="center"/>
              <w:ind w:left="6"/>
              <w:spacing w:after="0"/>
              <w:rPr>
                <w:sz w:val="20"/>
                <w:szCs w:val="20"/>
                <w:color w:val="auto"/>
              </w:rPr>
            </w:pPr>
            <w:r>
              <w:rPr>
                <w:rFonts w:ascii="Arial" w:cs="Arial" w:eastAsia="Arial" w:hAnsi="Arial"/>
                <w:sz w:val="14"/>
                <w:szCs w:val="14"/>
                <w:b w:val="1"/>
                <w:bCs w:val="1"/>
                <w:color w:val="003A70"/>
              </w:rPr>
              <w:t>Vested ($)</w:t>
            </w:r>
          </w:p>
        </w:tc>
        <w:tc>
          <w:tcPr>
            <w:tcW w:w="0" w:type="dxa"/>
            <w:vAlign w:val="bottom"/>
          </w:tcPr>
          <w:p>
            <w:pPr>
              <w:spacing w:after="0"/>
              <w:rPr>
                <w:sz w:val="1"/>
                <w:szCs w:val="1"/>
                <w:color w:val="auto"/>
              </w:rPr>
            </w:pPr>
          </w:p>
        </w:tc>
      </w:tr>
      <w:tr>
        <w:trPr>
          <w:trHeight w:val="174"/>
        </w:trPr>
        <w:tc>
          <w:tcPr>
            <w:tcW w:w="1500" w:type="dxa"/>
            <w:vAlign w:val="bottom"/>
          </w:tcPr>
          <w:p>
            <w:pPr>
              <w:spacing w:after="0" w:line="175" w:lineRule="exact"/>
              <w:rPr>
                <w:sz w:val="20"/>
                <w:szCs w:val="20"/>
                <w:color w:val="auto"/>
              </w:rPr>
            </w:pPr>
            <w:r>
              <w:rPr>
                <w:rFonts w:ascii="Arial" w:cs="Arial" w:eastAsia="Arial" w:hAnsi="Arial"/>
                <w:sz w:val="16"/>
                <w:szCs w:val="16"/>
                <w:b w:val="1"/>
                <w:bCs w:val="1"/>
                <w:color w:val="003A70"/>
              </w:rPr>
              <w:t>L. Gustafson</w:t>
            </w: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2/27/2023</w:t>
            </w:r>
          </w:p>
        </w:tc>
        <w:tc>
          <w:tcPr>
            <w:tcW w:w="1780" w:type="dxa"/>
            <w:vAlign w:val="bottom"/>
          </w:tcPr>
          <w:p>
            <w:pPr>
              <w:jc w:val="right"/>
              <w:ind w:right="182"/>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8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4</w:t>
            </w:r>
          </w:p>
        </w:tc>
        <w:tc>
          <w:tcPr>
            <w:tcW w:w="1200" w:type="dxa"/>
            <w:vAlign w:val="bottom"/>
          </w:tcPr>
          <w:p>
            <w:pPr>
              <w:ind w:left="8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2/29/2024</w:t>
            </w:r>
          </w:p>
        </w:tc>
        <w:tc>
          <w:tcPr>
            <w:tcW w:w="1780" w:type="dxa"/>
            <w:vAlign w:val="bottom"/>
          </w:tcPr>
          <w:p>
            <w:pPr>
              <w:jc w:val="right"/>
              <w:ind w:right="182"/>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560"/>
              <w:spacing w:after="0" w:line="189" w:lineRule="exact"/>
              <w:rPr>
                <w:sz w:val="20"/>
                <w:szCs w:val="20"/>
                <w:color w:val="auto"/>
              </w:rPr>
            </w:pPr>
            <w:r>
              <w:rPr>
                <w:rFonts w:ascii="Arial" w:cs="Arial" w:eastAsia="Arial" w:hAnsi="Arial"/>
                <w:sz w:val="14"/>
                <w:szCs w:val="14"/>
                <w:color w:val="auto"/>
              </w:rPr>
              <w:t>4,993</w:t>
            </w:r>
            <w:r>
              <w:rPr>
                <w:rFonts w:ascii="Arial" w:cs="Arial" w:eastAsia="Arial" w:hAnsi="Arial"/>
                <w:sz w:val="21"/>
                <w:szCs w:val="21"/>
                <w:color w:val="auto"/>
                <w:vertAlign w:val="superscript"/>
              </w:rPr>
              <w:t> 6</w:t>
            </w:r>
          </w:p>
        </w:tc>
        <w:tc>
          <w:tcPr>
            <w:tcW w:w="1200" w:type="dxa"/>
            <w:vAlign w:val="bottom"/>
          </w:tcPr>
          <w:p>
            <w:pPr>
              <w:ind w:left="400"/>
              <w:spacing w:after="0" w:line="189" w:lineRule="exact"/>
              <w:rPr>
                <w:sz w:val="20"/>
                <w:szCs w:val="20"/>
                <w:color w:val="auto"/>
              </w:rPr>
            </w:pPr>
            <w:r>
              <w:rPr>
                <w:rFonts w:ascii="Arial" w:cs="Arial" w:eastAsia="Arial" w:hAnsi="Arial"/>
                <w:sz w:val="14"/>
                <w:szCs w:val="14"/>
                <w:color w:val="auto"/>
              </w:rPr>
              <w:t>448,371</w:t>
            </w:r>
            <w:r>
              <w:rPr>
                <w:rFonts w:ascii="Arial" w:cs="Arial" w:eastAsia="Arial" w:hAnsi="Arial"/>
                <w:sz w:val="21"/>
                <w:szCs w:val="21"/>
                <w:color w:val="auto"/>
                <w:vertAlign w:val="superscript"/>
              </w:rPr>
              <w:t> 7</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3/1/2021</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1,326</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173.88</w:t>
            </w:r>
          </w:p>
        </w:tc>
        <w:tc>
          <w:tcPr>
            <w:tcW w:w="940" w:type="dxa"/>
            <w:vAlign w:val="bottom"/>
          </w:tcPr>
          <w:p>
            <w:pPr>
              <w:jc w:val="right"/>
              <w:spacing w:after="0"/>
              <w:rPr>
                <w:sz w:val="20"/>
                <w:szCs w:val="20"/>
                <w:color w:val="auto"/>
              </w:rPr>
            </w:pPr>
            <w:r>
              <w:rPr>
                <w:rFonts w:ascii="Arial" w:cs="Arial" w:eastAsia="Arial" w:hAnsi="Arial"/>
                <w:sz w:val="16"/>
                <w:szCs w:val="16"/>
                <w:color w:val="auto"/>
              </w:rPr>
              <w:t>3/1/2031</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2/28/2022</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1,005</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1,006</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159.27</w:t>
            </w:r>
          </w:p>
        </w:tc>
        <w:tc>
          <w:tcPr>
            <w:tcW w:w="940" w:type="dxa"/>
            <w:vAlign w:val="bottom"/>
          </w:tcPr>
          <w:p>
            <w:pPr>
              <w:jc w:val="right"/>
              <w:spacing w:after="0"/>
              <w:rPr>
                <w:sz w:val="20"/>
                <w:szCs w:val="20"/>
                <w:color w:val="auto"/>
              </w:rPr>
            </w:pPr>
            <w:r>
              <w:rPr>
                <w:rFonts w:ascii="Arial" w:cs="Arial" w:eastAsia="Arial" w:hAnsi="Arial"/>
                <w:sz w:val="16"/>
                <w:szCs w:val="16"/>
                <w:color w:val="auto"/>
              </w:rPr>
              <w:t>2/28/2032</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2/27/2023</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470</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1,410</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153.10</w:t>
            </w:r>
          </w:p>
        </w:tc>
        <w:tc>
          <w:tcPr>
            <w:tcW w:w="940" w:type="dxa"/>
            <w:vAlign w:val="bottom"/>
          </w:tcPr>
          <w:p>
            <w:pPr>
              <w:jc w:val="right"/>
              <w:spacing w:after="0"/>
              <w:rPr>
                <w:sz w:val="20"/>
                <w:szCs w:val="20"/>
                <w:color w:val="auto"/>
              </w:rPr>
            </w:pPr>
            <w:r>
              <w:rPr>
                <w:rFonts w:ascii="Arial" w:cs="Arial" w:eastAsia="Arial" w:hAnsi="Arial"/>
                <w:sz w:val="16"/>
                <w:szCs w:val="16"/>
                <w:color w:val="auto"/>
              </w:rPr>
              <w:t>2/27/2033</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2/29/2024</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4,916</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93.73</w:t>
            </w:r>
          </w:p>
        </w:tc>
        <w:tc>
          <w:tcPr>
            <w:tcW w:w="940" w:type="dxa"/>
            <w:vAlign w:val="bottom"/>
          </w:tcPr>
          <w:p>
            <w:pPr>
              <w:jc w:val="right"/>
              <w:spacing w:after="0"/>
              <w:rPr>
                <w:sz w:val="20"/>
                <w:szCs w:val="20"/>
                <w:color w:val="auto"/>
              </w:rPr>
            </w:pPr>
            <w:r>
              <w:rPr>
                <w:rFonts w:ascii="Arial" w:cs="Arial" w:eastAsia="Arial" w:hAnsi="Arial"/>
                <w:sz w:val="16"/>
                <w:szCs w:val="16"/>
                <w:color w:val="auto"/>
              </w:rPr>
              <w:t>2/28/2034</w:t>
            </w:r>
          </w:p>
        </w:tc>
        <w:tc>
          <w:tcPr>
            <w:tcW w:w="240" w:type="dxa"/>
            <w:vAlign w:val="bottom"/>
          </w:tcPr>
          <w:p>
            <w:pPr>
              <w:spacing w:after="0"/>
              <w:rPr>
                <w:sz w:val="16"/>
                <w:szCs w:val="16"/>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3/1/2021</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4"/>
              <w:spacing w:after="0"/>
              <w:rPr>
                <w:sz w:val="20"/>
                <w:szCs w:val="20"/>
                <w:color w:val="auto"/>
              </w:rPr>
            </w:pPr>
            <w:r>
              <w:rPr>
                <w:rFonts w:ascii="Arial" w:cs="Arial" w:eastAsia="Arial" w:hAnsi="Arial"/>
                <w:sz w:val="16"/>
                <w:szCs w:val="16"/>
                <w:color w:val="auto"/>
              </w:rPr>
              <w:t>185</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16,613</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2/28/2022</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4"/>
              <w:spacing w:after="0"/>
              <w:rPr>
                <w:sz w:val="20"/>
                <w:szCs w:val="20"/>
                <w:color w:val="auto"/>
              </w:rPr>
            </w:pPr>
            <w:r>
              <w:rPr>
                <w:rFonts w:ascii="Arial" w:cs="Arial" w:eastAsia="Arial" w:hAnsi="Arial"/>
                <w:sz w:val="16"/>
                <w:szCs w:val="16"/>
                <w:color w:val="auto"/>
              </w:rPr>
              <w:t>261</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23,438</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2/27/2023</w:t>
            </w:r>
          </w:p>
        </w:tc>
        <w:tc>
          <w:tcPr>
            <w:tcW w:w="1780" w:type="dxa"/>
            <w:vAlign w:val="bottom"/>
          </w:tcPr>
          <w:p>
            <w:pPr>
              <w:jc w:val="right"/>
              <w:ind w:right="282"/>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4"/>
              <w:spacing w:after="0"/>
              <w:rPr>
                <w:sz w:val="20"/>
                <w:szCs w:val="20"/>
                <w:color w:val="auto"/>
              </w:rPr>
            </w:pPr>
            <w:r>
              <w:rPr>
                <w:rFonts w:ascii="Arial" w:cs="Arial" w:eastAsia="Arial" w:hAnsi="Arial"/>
                <w:sz w:val="16"/>
                <w:szCs w:val="16"/>
                <w:color w:val="auto"/>
              </w:rPr>
              <w:t>847</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76,061</w:t>
            </w:r>
          </w:p>
        </w:tc>
        <w:tc>
          <w:tcPr>
            <w:tcW w:w="1300" w:type="dxa"/>
            <w:vAlign w:val="bottom"/>
          </w:tcPr>
          <w:p>
            <w:pPr>
              <w:ind w:left="800"/>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2/29/2024</w:t>
            </w:r>
          </w:p>
        </w:tc>
        <w:tc>
          <w:tcPr>
            <w:tcW w:w="17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6"/>
                <w:szCs w:val="16"/>
                <w:color w:val="auto"/>
              </w:rPr>
              <w:t>2,946</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264,551</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100" w:hanging="325"/>
        <w:spacing w:after="0" w:line="213" w:lineRule="auto"/>
        <w:tabs>
          <w:tab w:leader="none" w:pos="4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“Performance,” “SARs” and “RSUs” refer to Performance Units, SARs and RSUs, respectively, granted under the 2020 Equity Plan with respect to equity awards granted after March 2020. Prior grants were awarded under the Marriott Vacations Worldwide Corporation Amended and Restated Stock and Cash Incentive Plan, and in the case of Ms. Marbert, grants awarded in 2019 and prior were under the Interval Leisure Group, Inc. 2013 Stock and Incentive Compensation Plan.</w:t>
      </w:r>
    </w:p>
    <w:p>
      <w:pPr>
        <w:ind w:left="460" w:hanging="325"/>
        <w:spacing w:after="0" w:line="231"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SARs vest and become exercisable in four equal annual increments beginning on the February 15th following the grant date.</w:t>
      </w:r>
    </w:p>
    <w:p>
      <w:pPr>
        <w:spacing w:after="0" w:line="59" w:lineRule="exact"/>
        <w:rPr>
          <w:sz w:val="20"/>
          <w:szCs w:val="20"/>
          <w:color w:val="auto"/>
        </w:rPr>
      </w:pPr>
    </w:p>
    <w:p>
      <w:pPr>
        <w:ind w:left="460" w:right="120" w:hanging="325"/>
        <w:spacing w:after="0" w:line="211"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RSUs vest in four equal annual increments beginning on the February 15th following the grant date, however, RSUs granted to Mr. Marino on December 15, 2021 vest over four years in equal annual increments beginning on the December 15th following the grant date and RSUs granted to Mr. Marino on November 15, 2023 are subject to a three-year cliff vesting.</w:t>
      </w:r>
    </w:p>
    <w:p>
      <w:pPr>
        <w:spacing w:after="0" w:line="53" w:lineRule="exact"/>
        <w:rPr>
          <w:sz w:val="20"/>
          <w:szCs w:val="20"/>
          <w:color w:val="auto"/>
        </w:rPr>
      </w:pPr>
    </w:p>
    <w:p>
      <w:pPr>
        <w:ind w:left="460" w:right="60" w:hanging="325"/>
        <w:spacing w:after="0" w:line="228" w:lineRule="auto"/>
        <w:tabs>
          <w:tab w:leader="none" w:pos="46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With respect to Performance Units granted on February 27, 2023, the number of shares that the named executive officer will receive will be determined after the end of the performance period on December 31, 2025 and will be based upon the achievement of specified levels of performance during that performance period, as modified. Number of shares shown represents the number of shares of our common stock that can be issued after the end of the performance period on December 31, 2025, based on threshold level of achievement with respect to the performance targets. The number of shares of our common stock that can be issued ranges from 0 shares to 27,638 shares for Mr. Geller (13,819 shares for performance at target level), 1,382 shares for Mr. Marino (691 shares for performance at target level), 10,364 shares for Mr. Miller (5,182 shares for performance at target level), 6,910 shares for Mr. Hunter (3,455 shares for performance at target level), 4,220 shares for Ms. Marbert (2,110 shares for performance at target level), and 3,800 shares for Ms. Gustafson (1,900 shares for performance at target level).</w:t>
      </w:r>
    </w:p>
    <w:p>
      <w:pPr>
        <w:spacing w:after="0" w:line="53" w:lineRule="exact"/>
        <w:rPr>
          <w:sz w:val="20"/>
          <w:szCs w:val="20"/>
          <w:color w:val="auto"/>
        </w:rPr>
      </w:pPr>
    </w:p>
    <w:p>
      <w:pPr>
        <w:ind w:left="460" w:right="100" w:hanging="325"/>
        <w:spacing w:after="0" w:line="226" w:lineRule="auto"/>
        <w:tabs>
          <w:tab w:leader="none" w:pos="4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$89.80, the closing market price of our common stock on December 31, 2024, by the number of Performance Units granted, assuming achievement at the threshold level of performance. The market value of the shares of our common stock that can be issued on the vesting date, based on the Company’s achievement of the performance targets, ranges from $0 (if the minimum number of shares, 0 shares, were to be received) to $2,481,892 for Mr. Geller ($1,240,946 for performance at target level), $124,104 for Mr. Marino ($62,052 for performance at target level), $930,687 for Mr. Miller ($465,344 for performance at target level), $620,518 for Mr. Hunter ($310,259 for performance at target level), $378,956 for Ms. Marbert ($189,478 for performance at target level), and $341,240 for Ms. Gustafson ($170,620 for performance at target level).</w:t>
      </w:r>
    </w:p>
    <w:p>
      <w:pPr>
        <w:spacing w:after="0" w:line="53" w:lineRule="exact"/>
        <w:rPr>
          <w:sz w:val="20"/>
          <w:szCs w:val="20"/>
          <w:color w:val="auto"/>
        </w:rPr>
      </w:pPr>
    </w:p>
    <w:p>
      <w:pPr>
        <w:ind w:left="460" w:right="60" w:hanging="325"/>
        <w:spacing w:after="0" w:line="228" w:lineRule="auto"/>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With respect to Performance Units granted on February 29, 2024, the number of shares that the named executive officer will receive will be determined after the end of the performance period on December 31, 2026 and will be based upon the achievement of specified levels of performance during that performance period, as modified. Number of shares shown represents the number of shares of our common stock that can be issued after the end of the performance period on December 31, 2026, based on target level of achievement with respect to certain performance targets discussed above. The number of shares of our common stock that can be issued ranges from 0 shares to 70,488 shares for Mr. Geller (35,244 shares for performance at target level), 18,796 shares for Mr. Marino (9,398 shares for performance at target level), 20,560 shares for Mr. Miller (10,280 shares for performance at target level), 14,686 shares for Mr. Hunter (7,343 shares for performance at target level), 2,868 shares for Ms. Marbert (1,434 shares for performance at target level), and 9,986 shares for Ms. Gustafson (4,993 shares for performance at target level).</w:t>
      </w:r>
    </w:p>
    <w:p>
      <w:pPr>
        <w:spacing w:after="0" w:line="53" w:lineRule="exact"/>
        <w:rPr>
          <w:sz w:val="20"/>
          <w:szCs w:val="20"/>
          <w:color w:val="auto"/>
        </w:rPr>
      </w:pPr>
    </w:p>
    <w:p>
      <w:pPr>
        <w:ind w:left="460" w:right="100" w:hanging="325"/>
        <w:spacing w:after="0" w:line="226" w:lineRule="auto"/>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$89.80, the closing market price of our common stock on December 31, 2024, by the number of Performance Units granted, assuming achievement at the target level of performance. The market value of the shares of our common stock that can be issued on the vesting date, based on the Company’s achievement of certain performance targets discussed above, ranges from $0 (if the minimum number of shares, 0 shares, were to be received) to $6,329,822 for Mr. Geller ($3,164,911 for performance at target level), $1,687,881 for Mr. Marino ($843,940 for performance at target level), $1,846,288 for Mr. Miller ($923,144 for performance at target level), $1,318,803 for Mr. Hunter ($659,401 for performance at target level), $257,546 for Ms. Marbert ($128,773 for performance at target level), and $896,743 for Ms. Gustafson ($448,371 for performance at target level).</w:t>
      </w:r>
    </w:p>
    <w:p>
      <w:pPr>
        <w:spacing w:after="0" w:line="116"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42</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Option Exercises and Stock Vested During Fiscal Year 2024</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shows information about option and SAR exercises and vesting of Performance Units and RSUs during fiscal year 2024.</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0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003A70"/>
              </w:rPr>
              <w:t>Option/SAR Awards</w:t>
            </w:r>
          </w:p>
        </w:tc>
        <w:tc>
          <w:tcPr>
            <w:tcW w:w="640" w:type="dxa"/>
            <w:vAlign w:val="bottom"/>
          </w:tcPr>
          <w:p>
            <w:pPr>
              <w:spacing w:after="0"/>
              <w:rPr>
                <w:sz w:val="14"/>
                <w:szCs w:val="14"/>
                <w:color w:val="auto"/>
              </w:rPr>
            </w:pPr>
          </w:p>
        </w:tc>
        <w:tc>
          <w:tcPr>
            <w:tcW w:w="2960" w:type="dxa"/>
            <w:vAlign w:val="bottom"/>
            <w:gridSpan w:val="3"/>
          </w:tcPr>
          <w:p>
            <w:pPr>
              <w:ind w:left="980"/>
              <w:spacing w:after="0"/>
              <w:rPr>
                <w:sz w:val="20"/>
                <w:szCs w:val="20"/>
                <w:color w:val="auto"/>
              </w:rPr>
            </w:pPr>
            <w:r>
              <w:rPr>
                <w:rFonts w:ascii="Arial" w:cs="Arial" w:eastAsia="Arial" w:hAnsi="Arial"/>
                <w:sz w:val="14"/>
                <w:szCs w:val="14"/>
                <w:b w:val="1"/>
                <w:bCs w:val="1"/>
                <w:color w:val="003A70"/>
              </w:rPr>
              <w:t>Stock Awards</w:t>
            </w: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Borders>
              <w:top w:val="single" w:sz="8" w:color="003A70"/>
            </w:tcBorders>
          </w:tcPr>
          <w:p>
            <w:pPr>
              <w:jc w:val="right"/>
              <w:ind w:right="262"/>
              <w:spacing w:after="0" w:line="142" w:lineRule="exact"/>
              <w:rPr>
                <w:sz w:val="20"/>
                <w:szCs w:val="20"/>
                <w:color w:val="auto"/>
              </w:rPr>
            </w:pPr>
            <w:r>
              <w:rPr>
                <w:rFonts w:ascii="Arial" w:cs="Arial" w:eastAsia="Arial" w:hAnsi="Arial"/>
                <w:sz w:val="14"/>
                <w:szCs w:val="14"/>
                <w:b w:val="1"/>
                <w:bCs w:val="1"/>
                <w:color w:val="003A70"/>
              </w:rPr>
              <w:t>Number of Shares</w:t>
            </w:r>
          </w:p>
        </w:tc>
        <w:tc>
          <w:tcPr>
            <w:tcW w:w="1220" w:type="dxa"/>
            <w:vAlign w:val="bottom"/>
            <w:tcBorders>
              <w:top w:val="single" w:sz="8" w:color="003A70"/>
            </w:tcBorders>
          </w:tcPr>
          <w:p>
            <w:pPr>
              <w:jc w:val="center"/>
              <w:ind w:left="142"/>
              <w:spacing w:after="0" w:line="142" w:lineRule="exact"/>
              <w:rPr>
                <w:sz w:val="20"/>
                <w:szCs w:val="20"/>
                <w:color w:val="auto"/>
              </w:rPr>
            </w:pPr>
            <w:r>
              <w:rPr>
                <w:rFonts w:ascii="Arial" w:cs="Arial" w:eastAsia="Arial" w:hAnsi="Arial"/>
                <w:sz w:val="14"/>
                <w:szCs w:val="14"/>
                <w:b w:val="1"/>
                <w:bCs w:val="1"/>
                <w:color w:val="003A70"/>
              </w:rPr>
              <w:t>Value Realized</w:t>
            </w:r>
          </w:p>
        </w:tc>
        <w:tc>
          <w:tcPr>
            <w:tcW w:w="640" w:type="dxa"/>
            <w:vAlign w:val="bottom"/>
          </w:tcPr>
          <w:p>
            <w:pPr>
              <w:spacing w:after="0"/>
              <w:rPr>
                <w:sz w:val="12"/>
                <w:szCs w:val="12"/>
                <w:color w:val="auto"/>
              </w:rPr>
            </w:pPr>
          </w:p>
        </w:tc>
        <w:tc>
          <w:tcPr>
            <w:tcW w:w="1660" w:type="dxa"/>
            <w:vAlign w:val="bottom"/>
            <w:tcBorders>
              <w:top w:val="single" w:sz="8" w:color="003A70"/>
            </w:tcBorders>
          </w:tcPr>
          <w:p>
            <w:pPr>
              <w:jc w:val="center"/>
              <w:ind w:right="142"/>
              <w:spacing w:after="0" w:line="142" w:lineRule="exact"/>
              <w:rPr>
                <w:sz w:val="20"/>
                <w:szCs w:val="20"/>
                <w:color w:val="auto"/>
              </w:rPr>
            </w:pPr>
            <w:r>
              <w:rPr>
                <w:rFonts w:ascii="Arial" w:cs="Arial" w:eastAsia="Arial" w:hAnsi="Arial"/>
                <w:sz w:val="14"/>
                <w:szCs w:val="14"/>
                <w:b w:val="1"/>
                <w:bCs w:val="1"/>
                <w:color w:val="003A70"/>
              </w:rPr>
              <w:t>Number of Shares</w:t>
            </w:r>
          </w:p>
        </w:tc>
        <w:tc>
          <w:tcPr>
            <w:tcW w:w="1240" w:type="dxa"/>
            <w:vAlign w:val="bottom"/>
            <w:tcBorders>
              <w:top w:val="single" w:sz="8" w:color="003A70"/>
            </w:tcBorders>
          </w:tcPr>
          <w:p>
            <w:pPr>
              <w:jc w:val="center"/>
              <w:ind w:left="162"/>
              <w:spacing w:after="0" w:line="142" w:lineRule="exact"/>
              <w:rPr>
                <w:sz w:val="20"/>
                <w:szCs w:val="20"/>
                <w:color w:val="auto"/>
              </w:rPr>
            </w:pPr>
            <w:r>
              <w:rPr>
                <w:rFonts w:ascii="Arial" w:cs="Arial" w:eastAsia="Arial" w:hAnsi="Arial"/>
                <w:sz w:val="14"/>
                <w:szCs w:val="14"/>
                <w:b w:val="1"/>
                <w:bCs w:val="1"/>
                <w:color w:val="003A70"/>
              </w:rPr>
              <w:t>Value Realized</w:t>
            </w:r>
          </w:p>
        </w:tc>
        <w:tc>
          <w:tcPr>
            <w:tcW w:w="6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680" w:type="dxa"/>
            <w:vAlign w:val="bottom"/>
            <w:tcBorders>
              <w:bottom w:val="single" w:sz="8" w:color="003A70"/>
            </w:tcBorders>
          </w:tcPr>
          <w:p>
            <w:pPr>
              <w:spacing w:after="0"/>
              <w:rPr>
                <w:sz w:val="16"/>
                <w:szCs w:val="16"/>
                <w:color w:val="auto"/>
              </w:rPr>
            </w:pPr>
          </w:p>
        </w:tc>
        <w:tc>
          <w:tcPr>
            <w:tcW w:w="3460" w:type="dxa"/>
            <w:vAlign w:val="bottom"/>
            <w:tcBorders>
              <w:bottom w:val="single" w:sz="8" w:color="003A70"/>
            </w:tcBorders>
            <w:gridSpan w:val="2"/>
          </w:tcPr>
          <w:p>
            <w:pPr>
              <w:jc w:val="right"/>
              <w:ind w:right="142"/>
              <w:spacing w:after="0"/>
              <w:rPr>
                <w:sz w:val="20"/>
                <w:szCs w:val="20"/>
                <w:color w:val="auto"/>
              </w:rPr>
            </w:pPr>
            <w:r>
              <w:rPr>
                <w:rFonts w:ascii="Arial" w:cs="Arial" w:eastAsia="Arial" w:hAnsi="Arial"/>
                <w:sz w:val="14"/>
                <w:szCs w:val="14"/>
                <w:b w:val="1"/>
                <w:bCs w:val="1"/>
                <w:color w:val="003A70"/>
              </w:rPr>
              <w:t>Acquired on Exercise</w:t>
            </w:r>
          </w:p>
        </w:tc>
        <w:tc>
          <w:tcPr>
            <w:tcW w:w="1220" w:type="dxa"/>
            <w:vAlign w:val="bottom"/>
            <w:tcBorders>
              <w:bottom w:val="single" w:sz="8" w:color="003A70"/>
            </w:tcBorders>
          </w:tcPr>
          <w:p>
            <w:pPr>
              <w:jc w:val="center"/>
              <w:ind w:left="122"/>
              <w:spacing w:after="0" w:line="188" w:lineRule="exact"/>
              <w:rPr>
                <w:sz w:val="20"/>
                <w:szCs w:val="20"/>
                <w:color w:val="auto"/>
              </w:rPr>
            </w:pPr>
            <w:r>
              <w:rPr>
                <w:rFonts w:ascii="Arial" w:cs="Arial" w:eastAsia="Arial" w:hAnsi="Arial"/>
                <w:sz w:val="14"/>
                <w:szCs w:val="14"/>
                <w:b w:val="1"/>
                <w:bCs w:val="1"/>
                <w:color w:val="003A70"/>
                <w:w w:val="99"/>
              </w:rPr>
              <w:t>on Exercise</w:t>
            </w:r>
            <w:r>
              <w:rPr>
                <w:rFonts w:ascii="Arial" w:cs="Arial" w:eastAsia="Arial" w:hAnsi="Arial"/>
                <w:sz w:val="21"/>
                <w:szCs w:val="21"/>
                <w:color w:val="003A70"/>
                <w:w w:val="99"/>
                <w:vertAlign w:val="superscript"/>
              </w:rPr>
              <w:t>1</w:t>
            </w:r>
          </w:p>
        </w:tc>
        <w:tc>
          <w:tcPr>
            <w:tcW w:w="2300" w:type="dxa"/>
            <w:vAlign w:val="bottom"/>
            <w:tcBorders>
              <w:bottom w:val="single" w:sz="8" w:color="003A70"/>
            </w:tcBorders>
            <w:gridSpan w:val="2"/>
          </w:tcPr>
          <w:p>
            <w:pPr>
              <w:jc w:val="center"/>
              <w:ind w:left="344"/>
              <w:spacing w:after="0" w:line="188" w:lineRule="exact"/>
              <w:rPr>
                <w:sz w:val="20"/>
                <w:szCs w:val="20"/>
                <w:color w:val="auto"/>
              </w:rPr>
            </w:pPr>
            <w:r>
              <w:rPr>
                <w:rFonts w:ascii="Arial" w:cs="Arial" w:eastAsia="Arial" w:hAnsi="Arial"/>
                <w:sz w:val="14"/>
                <w:szCs w:val="14"/>
                <w:b w:val="1"/>
                <w:bCs w:val="1"/>
                <w:color w:val="003A70"/>
              </w:rPr>
              <w:t>Acquired on Vesting</w:t>
            </w:r>
            <w:r>
              <w:rPr>
                <w:rFonts w:ascii="Arial" w:cs="Arial" w:eastAsia="Arial" w:hAnsi="Arial"/>
                <w:sz w:val="21"/>
                <w:szCs w:val="21"/>
                <w:color w:val="003A70"/>
                <w:vertAlign w:val="superscript"/>
              </w:rPr>
              <w:t>2</w:t>
            </w:r>
          </w:p>
        </w:tc>
        <w:tc>
          <w:tcPr>
            <w:tcW w:w="1300" w:type="dxa"/>
            <w:vAlign w:val="bottom"/>
            <w:tcBorders>
              <w:bottom w:val="single" w:sz="8" w:color="003A70"/>
            </w:tcBorders>
            <w:gridSpan w:val="2"/>
          </w:tcPr>
          <w:p>
            <w:pPr>
              <w:jc w:val="center"/>
              <w:ind w:left="82"/>
              <w:spacing w:after="0" w:line="188" w:lineRule="exact"/>
              <w:rPr>
                <w:sz w:val="20"/>
                <w:szCs w:val="20"/>
                <w:color w:val="auto"/>
              </w:rPr>
            </w:pPr>
            <w:r>
              <w:rPr>
                <w:rFonts w:ascii="Arial" w:cs="Arial" w:eastAsia="Arial" w:hAnsi="Arial"/>
                <w:sz w:val="14"/>
                <w:szCs w:val="14"/>
                <w:b w:val="1"/>
                <w:bCs w:val="1"/>
                <w:color w:val="003A70"/>
                <w:w w:val="98"/>
              </w:rPr>
              <w:t>on Vesting</w:t>
            </w:r>
            <w:r>
              <w:rPr>
                <w:rFonts w:ascii="Arial" w:cs="Arial" w:eastAsia="Arial" w:hAnsi="Arial"/>
                <w:sz w:val="21"/>
                <w:szCs w:val="21"/>
                <w:color w:val="003A70"/>
                <w:w w:val="98"/>
                <w:vertAlign w:val="superscript"/>
              </w:rPr>
              <w:t>2</w:t>
            </w:r>
          </w:p>
        </w:tc>
      </w:tr>
      <w:tr>
        <w:trPr>
          <w:trHeight w:val="188"/>
        </w:trPr>
        <w:tc>
          <w:tcPr>
            <w:tcW w:w="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 Geller</w:t>
            </w:r>
          </w:p>
        </w:tc>
        <w:tc>
          <w:tcPr>
            <w:tcW w:w="17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       —</w:t>
            </w:r>
          </w:p>
        </w:tc>
        <w:tc>
          <w:tcPr>
            <w:tcW w:w="230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6"/>
                <w:szCs w:val="16"/>
                <w:color w:val="auto"/>
                <w:w w:val="98"/>
              </w:rPr>
              <w:t>13,158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$1,203,605</w:t>
            </w:r>
          </w:p>
        </w:tc>
        <w:tc>
          <w:tcPr>
            <w:tcW w:w="60" w:type="dxa"/>
            <w:vAlign w:val="bottom"/>
            <w:tcBorders>
              <w:bottom w:val="single" w:sz="8" w:color="auto"/>
            </w:tcBorders>
          </w:tcPr>
          <w:p>
            <w:pPr>
              <w:spacing w:after="0"/>
              <w:rPr>
                <w:sz w:val="16"/>
                <w:szCs w:val="16"/>
                <w:color w:val="auto"/>
              </w:rPr>
            </w:pPr>
          </w:p>
        </w:tc>
      </w:tr>
      <w:tr>
        <w:trPr>
          <w:trHeight w:val="182"/>
        </w:trPr>
        <w:tc>
          <w:tcPr>
            <w:tcW w:w="270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J. Marino</w:t>
            </w:r>
          </w:p>
        </w:tc>
        <w:tc>
          <w:tcPr>
            <w:tcW w:w="1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22"/>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2"/>
              <w:spacing w:after="0" w:line="182"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42"/>
              <w:spacing w:after="0" w:line="182" w:lineRule="exact"/>
              <w:rPr>
                <w:sz w:val="20"/>
                <w:szCs w:val="20"/>
                <w:color w:val="auto"/>
              </w:rPr>
            </w:pPr>
            <w:r>
              <w:rPr>
                <w:rFonts w:ascii="Arial" w:cs="Arial" w:eastAsia="Arial" w:hAnsi="Arial"/>
                <w:sz w:val="16"/>
                <w:szCs w:val="16"/>
                <w:color w:val="auto"/>
                <w:w w:val="89"/>
              </w:rPr>
              <w:t>  1,161</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103,223</w:t>
            </w:r>
          </w:p>
        </w:tc>
        <w:tc>
          <w:tcPr>
            <w:tcW w:w="60" w:type="dxa"/>
            <w:vAlign w:val="bottom"/>
            <w:tcBorders>
              <w:bottom w:val="single" w:sz="8" w:color="auto"/>
            </w:tcBorders>
          </w:tcPr>
          <w:p>
            <w:pPr>
              <w:spacing w:after="0"/>
              <w:rPr>
                <w:sz w:val="15"/>
                <w:szCs w:val="15"/>
                <w:color w:val="auto"/>
              </w:rPr>
            </w:pPr>
          </w:p>
        </w:tc>
      </w:tr>
      <w:tr>
        <w:trPr>
          <w:trHeight w:val="182"/>
        </w:trPr>
        <w:tc>
          <w:tcPr>
            <w:tcW w:w="270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B. Miller</w:t>
            </w:r>
          </w:p>
        </w:tc>
        <w:tc>
          <w:tcPr>
            <w:tcW w:w="1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82"/>
              <w:spacing w:after="0" w:line="182" w:lineRule="exact"/>
              <w:rPr>
                <w:sz w:val="20"/>
                <w:szCs w:val="20"/>
                <w:color w:val="auto"/>
              </w:rPr>
            </w:pPr>
            <w:r>
              <w:rPr>
                <w:rFonts w:ascii="Arial" w:cs="Arial" w:eastAsia="Arial" w:hAnsi="Arial"/>
                <w:sz w:val="16"/>
                <w:szCs w:val="16"/>
                <w:color w:val="auto"/>
              </w:rPr>
              <w:t>— </w:t>
            </w:r>
          </w:p>
        </w:tc>
        <w:tc>
          <w:tcPr>
            <w:tcW w:w="1220" w:type="dxa"/>
            <w:vAlign w:val="bottom"/>
            <w:tcBorders>
              <w:bottom w:val="single" w:sz="8" w:color="auto"/>
            </w:tcBorders>
          </w:tcPr>
          <w:p>
            <w:pPr>
              <w:jc w:val="right"/>
              <w:ind w:right="182"/>
              <w:spacing w:after="0" w:line="182"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42"/>
              <w:spacing w:after="0" w:line="182" w:lineRule="exact"/>
              <w:rPr>
                <w:sz w:val="20"/>
                <w:szCs w:val="20"/>
                <w:color w:val="auto"/>
              </w:rPr>
            </w:pPr>
            <w:r>
              <w:rPr>
                <w:rFonts w:ascii="Arial" w:cs="Arial" w:eastAsia="Arial" w:hAnsi="Arial"/>
                <w:sz w:val="16"/>
                <w:szCs w:val="16"/>
                <w:color w:val="auto"/>
                <w:w w:val="89"/>
              </w:rPr>
              <w:t>  7,016</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642,884</w:t>
            </w:r>
          </w:p>
        </w:tc>
        <w:tc>
          <w:tcPr>
            <w:tcW w:w="60" w:type="dxa"/>
            <w:vAlign w:val="bottom"/>
            <w:tcBorders>
              <w:bottom w:val="single" w:sz="8" w:color="auto"/>
            </w:tcBorders>
          </w:tcPr>
          <w:p>
            <w:pPr>
              <w:spacing w:after="0"/>
              <w:rPr>
                <w:sz w:val="15"/>
                <w:szCs w:val="15"/>
                <w:color w:val="auto"/>
              </w:rPr>
            </w:pPr>
          </w:p>
        </w:tc>
      </w:tr>
      <w:tr>
        <w:trPr>
          <w:trHeight w:val="182"/>
        </w:trPr>
        <w:tc>
          <w:tcPr>
            <w:tcW w:w="270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J. Hunter</w:t>
            </w:r>
          </w:p>
        </w:tc>
        <w:tc>
          <w:tcPr>
            <w:tcW w:w="3460" w:type="dxa"/>
            <w:vAlign w:val="bottom"/>
            <w:tcBorders>
              <w:bottom w:val="single" w:sz="8" w:color="auto"/>
            </w:tcBorders>
            <w:gridSpan w:val="2"/>
          </w:tcPr>
          <w:p>
            <w:pPr>
              <w:jc w:val="right"/>
              <w:ind w:right="722"/>
              <w:spacing w:after="0" w:line="182" w:lineRule="exact"/>
              <w:rPr>
                <w:sz w:val="20"/>
                <w:szCs w:val="20"/>
                <w:color w:val="auto"/>
              </w:rPr>
            </w:pPr>
            <w:r>
              <w:rPr>
                <w:rFonts w:ascii="Arial" w:cs="Arial" w:eastAsia="Arial" w:hAnsi="Arial"/>
                <w:sz w:val="16"/>
                <w:szCs w:val="16"/>
                <w:color w:val="auto"/>
              </w:rPr>
              <w:t>762</w:t>
            </w:r>
          </w:p>
        </w:tc>
        <w:tc>
          <w:tcPr>
            <w:tcW w:w="1220" w:type="dxa"/>
            <w:vAlign w:val="bottom"/>
            <w:tcBorders>
              <w:bottom w:val="single" w:sz="8" w:color="auto"/>
            </w:tcBorders>
          </w:tcPr>
          <w:p>
            <w:pPr>
              <w:jc w:val="center"/>
              <w:ind w:left="162"/>
              <w:spacing w:after="0" w:line="182" w:lineRule="exact"/>
              <w:rPr>
                <w:sz w:val="20"/>
                <w:szCs w:val="20"/>
                <w:color w:val="auto"/>
              </w:rPr>
            </w:pPr>
            <w:r>
              <w:rPr>
                <w:rFonts w:ascii="Arial" w:cs="Arial" w:eastAsia="Arial" w:hAnsi="Arial"/>
                <w:sz w:val="16"/>
                <w:szCs w:val="16"/>
                <w:color w:val="auto"/>
                <w:w w:val="83"/>
              </w:rPr>
              <w:t>72,777 </w:t>
            </w: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42"/>
              <w:spacing w:after="0" w:line="182" w:lineRule="exact"/>
              <w:rPr>
                <w:sz w:val="20"/>
                <w:szCs w:val="20"/>
                <w:color w:val="auto"/>
              </w:rPr>
            </w:pPr>
            <w:r>
              <w:rPr>
                <w:rFonts w:ascii="Arial" w:cs="Arial" w:eastAsia="Arial" w:hAnsi="Arial"/>
                <w:sz w:val="16"/>
                <w:szCs w:val="16"/>
                <w:color w:val="auto"/>
                <w:w w:val="89"/>
              </w:rPr>
              <w:t>  5,343</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489,881</w:t>
            </w:r>
          </w:p>
        </w:tc>
        <w:tc>
          <w:tcPr>
            <w:tcW w:w="60" w:type="dxa"/>
            <w:vAlign w:val="bottom"/>
            <w:tcBorders>
              <w:bottom w:val="single" w:sz="8" w:color="auto"/>
            </w:tcBorders>
          </w:tcPr>
          <w:p>
            <w:pPr>
              <w:spacing w:after="0"/>
              <w:rPr>
                <w:sz w:val="15"/>
                <w:szCs w:val="15"/>
                <w:color w:val="auto"/>
              </w:rPr>
            </w:pPr>
          </w:p>
        </w:tc>
      </w:tr>
      <w:tr>
        <w:trPr>
          <w:trHeight w:val="182"/>
        </w:trPr>
        <w:tc>
          <w:tcPr>
            <w:tcW w:w="270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J. Marbert</w:t>
            </w:r>
          </w:p>
        </w:tc>
        <w:tc>
          <w:tcPr>
            <w:tcW w:w="1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22"/>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2"/>
              <w:spacing w:after="0" w:line="182"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42"/>
              <w:spacing w:after="0" w:line="182" w:lineRule="exact"/>
              <w:rPr>
                <w:sz w:val="20"/>
                <w:szCs w:val="20"/>
                <w:color w:val="auto"/>
              </w:rPr>
            </w:pPr>
            <w:r>
              <w:rPr>
                <w:rFonts w:ascii="Arial" w:cs="Arial" w:eastAsia="Arial" w:hAnsi="Arial"/>
                <w:sz w:val="16"/>
                <w:szCs w:val="16"/>
                <w:color w:val="auto"/>
                <w:w w:val="89"/>
              </w:rPr>
              <w:t>  5,794</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530,603</w:t>
            </w:r>
          </w:p>
        </w:tc>
        <w:tc>
          <w:tcPr>
            <w:tcW w:w="60" w:type="dxa"/>
            <w:vAlign w:val="bottom"/>
            <w:tcBorders>
              <w:bottom w:val="single" w:sz="8" w:color="auto"/>
            </w:tcBorders>
          </w:tcPr>
          <w:p>
            <w:pPr>
              <w:spacing w:after="0"/>
              <w:rPr>
                <w:sz w:val="15"/>
                <w:szCs w:val="15"/>
                <w:color w:val="auto"/>
              </w:rPr>
            </w:pPr>
          </w:p>
        </w:tc>
      </w:tr>
      <w:tr>
        <w:trPr>
          <w:trHeight w:val="182"/>
        </w:trPr>
        <w:tc>
          <w:tcPr>
            <w:tcW w:w="2700" w:type="dxa"/>
            <w:vAlign w:val="bottom"/>
            <w:tcBorders>
              <w:bottom w:val="single" w:sz="8" w:color="003A70"/>
            </w:tcBorders>
            <w:gridSpan w:val="2"/>
          </w:tcPr>
          <w:p>
            <w:pPr>
              <w:spacing w:after="0" w:line="182" w:lineRule="exact"/>
              <w:rPr>
                <w:sz w:val="20"/>
                <w:szCs w:val="20"/>
                <w:color w:val="auto"/>
              </w:rPr>
            </w:pPr>
            <w:r>
              <w:rPr>
                <w:rFonts w:ascii="Arial" w:cs="Arial" w:eastAsia="Arial" w:hAnsi="Arial"/>
                <w:sz w:val="16"/>
                <w:szCs w:val="16"/>
                <w:color w:val="auto"/>
              </w:rPr>
              <w:t>L. Gustafson</w:t>
            </w:r>
          </w:p>
        </w:tc>
        <w:tc>
          <w:tcPr>
            <w:tcW w:w="1780" w:type="dxa"/>
            <w:vAlign w:val="bottom"/>
            <w:tcBorders>
              <w:bottom w:val="single" w:sz="8" w:color="003A70"/>
            </w:tcBorders>
          </w:tcPr>
          <w:p>
            <w:pPr>
              <w:spacing w:after="0"/>
              <w:rPr>
                <w:sz w:val="15"/>
                <w:szCs w:val="15"/>
                <w:color w:val="auto"/>
              </w:rPr>
            </w:pPr>
          </w:p>
        </w:tc>
        <w:tc>
          <w:tcPr>
            <w:tcW w:w="1680" w:type="dxa"/>
            <w:vAlign w:val="bottom"/>
            <w:tcBorders>
              <w:bottom w:val="single" w:sz="8" w:color="003A70"/>
            </w:tcBorders>
          </w:tcPr>
          <w:p>
            <w:pPr>
              <w:jc w:val="right"/>
              <w:ind w:right="722"/>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003A70"/>
            </w:tcBorders>
          </w:tcPr>
          <w:p>
            <w:pPr>
              <w:jc w:val="right"/>
              <w:ind w:right="182"/>
              <w:spacing w:after="0" w:line="182"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003A70"/>
            </w:tcBorders>
          </w:tcPr>
          <w:p>
            <w:pPr>
              <w:spacing w:after="0"/>
              <w:rPr>
                <w:sz w:val="15"/>
                <w:szCs w:val="15"/>
                <w:color w:val="auto"/>
              </w:rPr>
            </w:pPr>
          </w:p>
        </w:tc>
        <w:tc>
          <w:tcPr>
            <w:tcW w:w="1660" w:type="dxa"/>
            <w:vAlign w:val="bottom"/>
            <w:tcBorders>
              <w:bottom w:val="single" w:sz="8" w:color="003A70"/>
            </w:tcBorders>
          </w:tcPr>
          <w:p>
            <w:pPr>
              <w:jc w:val="center"/>
              <w:ind w:right="142"/>
              <w:spacing w:after="0" w:line="182" w:lineRule="exact"/>
              <w:rPr>
                <w:sz w:val="20"/>
                <w:szCs w:val="20"/>
                <w:color w:val="auto"/>
              </w:rPr>
            </w:pPr>
            <w:r>
              <w:rPr>
                <w:rFonts w:ascii="Arial" w:cs="Arial" w:eastAsia="Arial" w:hAnsi="Arial"/>
                <w:sz w:val="16"/>
                <w:szCs w:val="16"/>
                <w:color w:val="auto"/>
                <w:w w:val="89"/>
              </w:rPr>
              <w:t>  2,230</w:t>
            </w:r>
          </w:p>
        </w:tc>
        <w:tc>
          <w:tcPr>
            <w:tcW w:w="124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205,695</w:t>
            </w:r>
          </w:p>
        </w:tc>
        <w:tc>
          <w:tcPr>
            <w:tcW w:w="60" w:type="dxa"/>
            <w:vAlign w:val="bottom"/>
            <w:tcBorders>
              <w:bottom w:val="single" w:sz="8" w:color="003A70"/>
            </w:tcBorders>
          </w:tcPr>
          <w:p>
            <w:pPr>
              <w:spacing w:after="0"/>
              <w:rPr>
                <w:sz w:val="15"/>
                <w:szCs w:val="15"/>
                <w:color w:val="auto"/>
              </w:rPr>
            </w:pPr>
          </w:p>
        </w:tc>
      </w:tr>
    </w:tbl>
    <w:p>
      <w:pPr>
        <w:spacing w:after="0" w:line="8" w:lineRule="exact"/>
        <w:rPr>
          <w:sz w:val="20"/>
          <w:szCs w:val="20"/>
          <w:color w:val="auto"/>
        </w:rPr>
      </w:pPr>
    </w:p>
    <w:p>
      <w:pPr>
        <w:ind w:left="460" w:hanging="325"/>
        <w:spacing w:after="0"/>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The value realized upon exercise is based on the current trading price at the time of exercise.</w:t>
      </w:r>
    </w:p>
    <w:p>
      <w:pPr>
        <w:spacing w:after="0" w:line="58" w:lineRule="exact"/>
        <w:rPr>
          <w:sz w:val="20"/>
          <w:szCs w:val="20"/>
          <w:color w:val="auto"/>
        </w:rPr>
      </w:pPr>
    </w:p>
    <w:p>
      <w:pPr>
        <w:ind w:left="460" w:right="180" w:hanging="325"/>
        <w:spacing w:after="0" w:line="200" w:lineRule="auto"/>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For the Performance Units, the value realized upon vesting is based on the closing price of our common stock on the vesting date. For RSUs, the value realized upon vesting is based on the average of the high and low stock price on the vesting date.</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Nonqualified Deferred Compensation for Fiscal Year 2024</w:t>
      </w:r>
    </w:p>
    <w:p>
      <w:pPr>
        <w:spacing w:after="0" w:line="102" w:lineRule="exact"/>
        <w:rPr>
          <w:sz w:val="20"/>
          <w:szCs w:val="20"/>
          <w:color w:val="auto"/>
        </w:rPr>
      </w:pPr>
    </w:p>
    <w:p>
      <w:pPr>
        <w:ind w:left="140" w:right="60"/>
        <w:spacing w:after="0" w:line="255" w:lineRule="auto"/>
        <w:rPr>
          <w:sz w:val="20"/>
          <w:szCs w:val="20"/>
          <w:color w:val="auto"/>
        </w:rPr>
      </w:pPr>
      <w:r>
        <w:rPr>
          <w:rFonts w:ascii="Arial" w:cs="Arial" w:eastAsia="Arial" w:hAnsi="Arial"/>
          <w:sz w:val="16"/>
          <w:szCs w:val="16"/>
          <w:color w:val="auto"/>
        </w:rPr>
        <w:t>The following table discloses contributions, earnings, distributions and balances under the MVW Deferred Compensation Plan and the Marriott Deferred Compensation Plan for the 2024 fiscal year. Our executives ceased to be eligible to make further contributions under the Marriott Deferred Compensation Plan as of the Spin-Off. We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3A70"/>
              </w:rPr>
              <w:t>Executive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Company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A70"/>
              </w:rPr>
              <w:t>Aggregate</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003A70"/>
              </w:rPr>
              <w:t>Aggregate</w:t>
            </w:r>
          </w:p>
        </w:tc>
        <w:tc>
          <w:tcPr>
            <w:tcW w:w="980" w:type="dxa"/>
            <w:vAlign w:val="bottom"/>
          </w:tcPr>
          <w:p>
            <w:pPr>
              <w:jc w:val="right"/>
              <w:ind w:right="90"/>
              <w:spacing w:after="0"/>
              <w:rPr>
                <w:sz w:val="20"/>
                <w:szCs w:val="20"/>
                <w:color w:val="auto"/>
              </w:rPr>
            </w:pPr>
            <w:r>
              <w:rPr>
                <w:rFonts w:ascii="Arial" w:cs="Arial" w:eastAsia="Arial" w:hAnsi="Arial"/>
                <w:sz w:val="14"/>
                <w:szCs w:val="14"/>
                <w:b w:val="1"/>
                <w:bCs w:val="1"/>
                <w:color w:val="003A70"/>
              </w:rPr>
              <w:t>Aggregate</w:t>
            </w: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3A70"/>
              </w:rPr>
              <w:t>Contributions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Contributions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A70"/>
              </w:rPr>
              <w:t>Earnings</w:t>
            </w:r>
          </w:p>
        </w:tc>
        <w:tc>
          <w:tcPr>
            <w:tcW w:w="1020" w:type="dxa"/>
            <w:vAlign w:val="bottom"/>
          </w:tcPr>
          <w:p>
            <w:pPr>
              <w:ind w:left="80"/>
              <w:spacing w:after="0"/>
              <w:rPr>
                <w:sz w:val="20"/>
                <w:szCs w:val="20"/>
                <w:color w:val="auto"/>
              </w:rPr>
            </w:pPr>
            <w:r>
              <w:rPr>
                <w:rFonts w:ascii="Arial" w:cs="Arial" w:eastAsia="Arial" w:hAnsi="Arial"/>
                <w:sz w:val="14"/>
                <w:szCs w:val="14"/>
                <w:b w:val="1"/>
                <w:bCs w:val="1"/>
                <w:color w:val="003A70"/>
              </w:rPr>
              <w:t>Withdrawals/</w:t>
            </w:r>
          </w:p>
        </w:tc>
        <w:tc>
          <w:tcPr>
            <w:tcW w:w="980" w:type="dxa"/>
            <w:vAlign w:val="bottom"/>
          </w:tcPr>
          <w:p>
            <w:pPr>
              <w:jc w:val="right"/>
              <w:ind w:right="90"/>
              <w:spacing w:after="0"/>
              <w:rPr>
                <w:sz w:val="20"/>
                <w:szCs w:val="20"/>
                <w:color w:val="auto"/>
              </w:rPr>
            </w:pPr>
            <w:r>
              <w:rPr>
                <w:rFonts w:ascii="Arial" w:cs="Arial" w:eastAsia="Arial" w:hAnsi="Arial"/>
                <w:sz w:val="14"/>
                <w:szCs w:val="14"/>
                <w:b w:val="1"/>
                <w:bCs w:val="1"/>
                <w:color w:val="003A70"/>
              </w:rPr>
              <w:t>Balance at</w:t>
            </w:r>
          </w:p>
        </w:tc>
      </w:tr>
      <w:tr>
        <w:trPr>
          <w:trHeight w:val="191"/>
        </w:trPr>
        <w:tc>
          <w:tcPr>
            <w:tcW w:w="314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Name</w:t>
            </w:r>
          </w:p>
        </w:tc>
        <w:tc>
          <w:tcPr>
            <w:tcW w:w="2780" w:type="dxa"/>
            <w:vAlign w:val="bottom"/>
            <w:tcBorders>
              <w:bottom w:val="single" w:sz="8" w:color="003A70"/>
            </w:tcBorders>
          </w:tcPr>
          <w:p>
            <w:pPr>
              <w:jc w:val="center"/>
              <w:ind w:left="2100"/>
              <w:spacing w:after="0" w:line="185" w:lineRule="exact"/>
              <w:rPr>
                <w:sz w:val="20"/>
                <w:szCs w:val="20"/>
                <w:color w:val="auto"/>
              </w:rPr>
            </w:pPr>
            <w:r>
              <w:rPr>
                <w:rFonts w:ascii="Arial" w:cs="Arial" w:eastAsia="Arial" w:hAnsi="Arial"/>
                <w:sz w:val="14"/>
                <w:szCs w:val="14"/>
                <w:b w:val="1"/>
                <w:bCs w:val="1"/>
                <w:color w:val="003A70"/>
                <w:w w:val="96"/>
              </w:rPr>
              <w:t>Plan</w:t>
            </w:r>
            <w:r>
              <w:rPr>
                <w:rFonts w:ascii="Arial" w:cs="Arial" w:eastAsia="Arial" w:hAnsi="Arial"/>
                <w:sz w:val="21"/>
                <w:szCs w:val="21"/>
                <w:color w:val="003A70"/>
                <w:w w:val="96"/>
                <w:vertAlign w:val="superscript"/>
              </w:rPr>
              <w:t>1</w:t>
            </w:r>
          </w:p>
        </w:tc>
        <w:tc>
          <w:tcPr>
            <w:tcW w:w="1040" w:type="dxa"/>
            <w:vAlign w:val="bottom"/>
            <w:tcBorders>
              <w:bottom w:val="single" w:sz="8" w:color="003A70"/>
            </w:tcBorders>
          </w:tcPr>
          <w:p>
            <w:pPr>
              <w:jc w:val="center"/>
              <w:spacing w:after="0" w:line="185" w:lineRule="exact"/>
              <w:rPr>
                <w:sz w:val="20"/>
                <w:szCs w:val="20"/>
                <w:color w:val="auto"/>
              </w:rPr>
            </w:pPr>
            <w:r>
              <w:rPr>
                <w:rFonts w:ascii="Arial" w:cs="Arial" w:eastAsia="Arial" w:hAnsi="Arial"/>
                <w:sz w:val="14"/>
                <w:szCs w:val="14"/>
                <w:b w:val="1"/>
                <w:bCs w:val="1"/>
                <w:color w:val="003A70"/>
              </w:rPr>
              <w:t>in Last FY</w:t>
            </w:r>
            <w:r>
              <w:rPr>
                <w:rFonts w:ascii="Arial" w:cs="Arial" w:eastAsia="Arial" w:hAnsi="Arial"/>
                <w:sz w:val="21"/>
                <w:szCs w:val="21"/>
                <w:color w:val="003A70"/>
                <w:vertAlign w:val="superscript"/>
              </w:rPr>
              <w:t>2</w:t>
            </w:r>
          </w:p>
        </w:tc>
        <w:tc>
          <w:tcPr>
            <w:tcW w:w="1080" w:type="dxa"/>
            <w:vAlign w:val="bottom"/>
            <w:tcBorders>
              <w:bottom w:val="single" w:sz="8" w:color="003A70"/>
            </w:tcBorders>
          </w:tcPr>
          <w:p>
            <w:pPr>
              <w:jc w:val="center"/>
              <w:spacing w:after="0" w:line="185" w:lineRule="exact"/>
              <w:rPr>
                <w:sz w:val="20"/>
                <w:szCs w:val="20"/>
                <w:color w:val="auto"/>
              </w:rPr>
            </w:pPr>
            <w:r>
              <w:rPr>
                <w:rFonts w:ascii="Arial" w:cs="Arial" w:eastAsia="Arial" w:hAnsi="Arial"/>
                <w:sz w:val="14"/>
                <w:szCs w:val="14"/>
                <w:b w:val="1"/>
                <w:bCs w:val="1"/>
                <w:color w:val="003A70"/>
                <w:w w:val="99"/>
              </w:rPr>
              <w:t>in Last FY</w:t>
            </w:r>
            <w:r>
              <w:rPr>
                <w:rFonts w:ascii="Arial" w:cs="Arial" w:eastAsia="Arial" w:hAnsi="Arial"/>
                <w:sz w:val="21"/>
                <w:szCs w:val="21"/>
                <w:color w:val="003A70"/>
                <w:w w:val="99"/>
                <w:vertAlign w:val="superscript"/>
              </w:rPr>
              <w:t>3</w:t>
            </w:r>
          </w:p>
        </w:tc>
        <w:tc>
          <w:tcPr>
            <w:tcW w:w="9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in Last FY</w:t>
            </w:r>
          </w:p>
        </w:tc>
        <w:tc>
          <w:tcPr>
            <w:tcW w:w="102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Distributions</w:t>
            </w:r>
          </w:p>
        </w:tc>
        <w:tc>
          <w:tcPr>
            <w:tcW w:w="980" w:type="dxa"/>
            <w:vAlign w:val="bottom"/>
            <w:tcBorders>
              <w:bottom w:val="single" w:sz="8" w:color="003A70"/>
            </w:tcBorders>
          </w:tcPr>
          <w:p>
            <w:pPr>
              <w:jc w:val="right"/>
              <w:ind w:right="90"/>
              <w:spacing w:after="0" w:line="185" w:lineRule="exact"/>
              <w:rPr>
                <w:sz w:val="20"/>
                <w:szCs w:val="20"/>
                <w:color w:val="auto"/>
              </w:rPr>
            </w:pPr>
            <w:r>
              <w:rPr>
                <w:rFonts w:ascii="Arial" w:cs="Arial" w:eastAsia="Arial" w:hAnsi="Arial"/>
                <w:sz w:val="14"/>
                <w:szCs w:val="14"/>
                <w:b w:val="1"/>
                <w:bCs w:val="1"/>
                <w:color w:val="003A70"/>
              </w:rPr>
              <w:t>Last FYE</w:t>
            </w:r>
            <w:r>
              <w:rPr>
                <w:rFonts w:ascii="Arial" w:cs="Arial" w:eastAsia="Arial" w:hAnsi="Arial"/>
                <w:sz w:val="21"/>
                <w:szCs w:val="21"/>
                <w:color w:val="003A70"/>
                <w:vertAlign w:val="superscript"/>
              </w:rPr>
              <w:t>4</w:t>
            </w:r>
          </w:p>
        </w:tc>
      </w:tr>
      <w:tr>
        <w:trPr>
          <w:trHeight w:val="174"/>
        </w:trPr>
        <w:tc>
          <w:tcPr>
            <w:tcW w:w="3140" w:type="dxa"/>
            <w:vAlign w:val="bottom"/>
            <w:gridSpan w:val="2"/>
          </w:tcPr>
          <w:p>
            <w:pPr>
              <w:spacing w:after="0" w:line="175" w:lineRule="exact"/>
              <w:rPr>
                <w:sz w:val="20"/>
                <w:szCs w:val="20"/>
                <w:color w:val="auto"/>
              </w:rPr>
            </w:pPr>
            <w:r>
              <w:rPr>
                <w:rFonts w:ascii="Arial" w:cs="Arial" w:eastAsia="Arial" w:hAnsi="Arial"/>
                <w:sz w:val="16"/>
                <w:szCs w:val="16"/>
                <w:color w:val="auto"/>
              </w:rPr>
              <w:t>J. Geller</w:t>
            </w:r>
          </w:p>
        </w:tc>
        <w:tc>
          <w:tcPr>
            <w:tcW w:w="2780" w:type="dxa"/>
            <w:vAlign w:val="bottom"/>
          </w:tcPr>
          <w:p>
            <w:pPr>
              <w:jc w:val="center"/>
              <w:ind w:left="2080"/>
              <w:spacing w:after="0" w:line="175" w:lineRule="exact"/>
              <w:rPr>
                <w:sz w:val="20"/>
                <w:szCs w:val="20"/>
                <w:color w:val="auto"/>
              </w:rPr>
            </w:pPr>
            <w:r>
              <w:rPr>
                <w:rFonts w:ascii="Arial" w:cs="Arial" w:eastAsia="Arial" w:hAnsi="Arial"/>
                <w:sz w:val="16"/>
                <w:szCs w:val="16"/>
                <w:color w:val="auto"/>
              </w:rPr>
              <w:t>DCP</w:t>
            </w:r>
          </w:p>
        </w:tc>
        <w:tc>
          <w:tcPr>
            <w:tcW w:w="1040" w:type="dxa"/>
            <w:vAlign w:val="bottom"/>
          </w:tcPr>
          <w:p>
            <w:pPr>
              <w:jc w:val="right"/>
              <w:ind w:right="2"/>
              <w:spacing w:after="0" w:line="175" w:lineRule="exact"/>
              <w:rPr>
                <w:sz w:val="20"/>
                <w:szCs w:val="20"/>
                <w:color w:val="auto"/>
              </w:rPr>
            </w:pPr>
            <w:r>
              <w:rPr>
                <w:rFonts w:ascii="Arial" w:cs="Arial" w:eastAsia="Arial" w:hAnsi="Arial"/>
                <w:sz w:val="16"/>
                <w:szCs w:val="16"/>
                <w:color w:val="auto"/>
              </w:rPr>
              <w:t>$163,223  </w:t>
            </w:r>
          </w:p>
        </w:tc>
        <w:tc>
          <w:tcPr>
            <w:tcW w:w="108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$15,389  </w:t>
            </w:r>
          </w:p>
        </w:tc>
        <w:tc>
          <w:tcPr>
            <w:tcW w:w="940" w:type="dxa"/>
            <w:vAlign w:val="bottom"/>
          </w:tcPr>
          <w:p>
            <w:pPr>
              <w:jc w:val="right"/>
              <w:ind w:right="10"/>
              <w:spacing w:after="0" w:line="174" w:lineRule="exact"/>
              <w:rPr>
                <w:sz w:val="20"/>
                <w:szCs w:val="20"/>
                <w:color w:val="auto"/>
              </w:rPr>
            </w:pPr>
            <w:r>
              <w:rPr>
                <w:rFonts w:ascii="Arial" w:cs="Arial" w:eastAsia="Arial" w:hAnsi="Arial"/>
                <w:sz w:val="14"/>
                <w:szCs w:val="14"/>
                <w:color w:val="auto"/>
              </w:rPr>
              <w:t>$  58,555</w:t>
            </w:r>
            <w:r>
              <w:rPr>
                <w:rFonts w:ascii="Arial" w:cs="Arial" w:eastAsia="Arial" w:hAnsi="Arial"/>
                <w:sz w:val="20"/>
                <w:szCs w:val="20"/>
                <w:color w:val="auto"/>
                <w:vertAlign w:val="superscript"/>
              </w:rPr>
              <w:t> 5</w:t>
            </w:r>
          </w:p>
        </w:tc>
        <w:tc>
          <w:tcPr>
            <w:tcW w:w="1020" w:type="dxa"/>
            <w:vAlign w:val="bottom"/>
          </w:tcPr>
          <w:p>
            <w:pPr>
              <w:ind w:left="180"/>
              <w:spacing w:after="0" w:line="175" w:lineRule="exact"/>
              <w:rPr>
                <w:sz w:val="20"/>
                <w:szCs w:val="20"/>
                <w:color w:val="auto"/>
              </w:rPr>
            </w:pPr>
            <w:r>
              <w:rPr>
                <w:rFonts w:ascii="Arial" w:cs="Arial" w:eastAsia="Arial" w:hAnsi="Arial"/>
                <w:sz w:val="16"/>
                <w:szCs w:val="16"/>
                <w:color w:val="auto"/>
              </w:rPr>
              <w:t>$134,534  </w:t>
            </w:r>
          </w:p>
        </w:tc>
        <w:tc>
          <w:tcPr>
            <w:tcW w:w="980" w:type="dxa"/>
            <w:vAlign w:val="bottom"/>
          </w:tcPr>
          <w:p>
            <w:pPr>
              <w:jc w:val="right"/>
              <w:spacing w:after="0" w:line="174" w:lineRule="exact"/>
              <w:rPr>
                <w:sz w:val="20"/>
                <w:szCs w:val="20"/>
                <w:color w:val="auto"/>
              </w:rPr>
            </w:pPr>
            <w:r>
              <w:rPr>
                <w:rFonts w:ascii="Arial" w:cs="Arial" w:eastAsia="Arial" w:hAnsi="Arial"/>
                <w:sz w:val="14"/>
                <w:szCs w:val="14"/>
                <w:color w:val="auto"/>
              </w:rPr>
              <w:t>$  863,335</w:t>
            </w:r>
            <w:r>
              <w:rPr>
                <w:rFonts w:ascii="Arial" w:cs="Arial" w:eastAsia="Arial" w:hAnsi="Arial"/>
                <w:sz w:val="20"/>
                <w:szCs w:val="20"/>
                <w:color w:val="auto"/>
                <w:vertAlign w:val="superscript"/>
              </w:rPr>
              <w:t> 6</w:t>
            </w:r>
          </w:p>
        </w:tc>
      </w:tr>
      <w:tr>
        <w:trPr>
          <w:trHeight w:val="202"/>
        </w:trPr>
        <w:tc>
          <w:tcPr>
            <w:tcW w:w="2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left="2100"/>
              <w:spacing w:after="0"/>
              <w:rPr>
                <w:sz w:val="20"/>
                <w:szCs w:val="20"/>
                <w:color w:val="auto"/>
              </w:rPr>
            </w:pPr>
            <w:r>
              <w:rPr>
                <w:rFonts w:ascii="Arial" w:cs="Arial" w:eastAsia="Arial" w:hAnsi="Arial"/>
                <w:sz w:val="16"/>
                <w:szCs w:val="16"/>
                <w:color w:val="auto"/>
              </w:rPr>
              <w:t>MDCP</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6"/>
                <w:szCs w:val="16"/>
                <w:color w:val="auto"/>
              </w:rPr>
              <w:t>11,427</w:t>
            </w:r>
            <w:r>
              <w:rPr>
                <w:rFonts w:ascii="Arial" w:cs="Arial" w:eastAsia="Arial" w:hAnsi="Arial"/>
                <w:sz w:val="23"/>
                <w:szCs w:val="23"/>
                <w:color w:val="auto"/>
                <w:vertAlign w:val="superscript"/>
              </w:rPr>
              <w:t> 5</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6"/>
                <w:szCs w:val="16"/>
                <w:color w:val="auto"/>
              </w:rPr>
              <w:t>314,621</w:t>
            </w:r>
            <w:r>
              <w:rPr>
                <w:rFonts w:ascii="Arial" w:cs="Arial" w:eastAsia="Arial" w:hAnsi="Arial"/>
                <w:sz w:val="23"/>
                <w:szCs w:val="23"/>
                <w:color w:val="auto"/>
                <w:vertAlign w:val="superscript"/>
              </w:rPr>
              <w:t> 7</w:t>
            </w:r>
          </w:p>
        </w:tc>
      </w:tr>
      <w:tr>
        <w:trPr>
          <w:trHeight w:val="182"/>
        </w:trPr>
        <w:tc>
          <w:tcPr>
            <w:tcW w:w="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J. Marino</w:t>
            </w:r>
          </w:p>
        </w:tc>
        <w:tc>
          <w:tcPr>
            <w:tcW w:w="2780" w:type="dxa"/>
            <w:vAlign w:val="bottom"/>
            <w:tcBorders>
              <w:bottom w:val="single" w:sz="8" w:color="auto"/>
            </w:tcBorders>
          </w:tcPr>
          <w:p>
            <w:pPr>
              <w:jc w:val="center"/>
              <w:ind w:left="2080"/>
              <w:spacing w:after="0" w:line="182" w:lineRule="exact"/>
              <w:rPr>
                <w:sz w:val="20"/>
                <w:szCs w:val="20"/>
                <w:color w:val="auto"/>
              </w:rPr>
            </w:pPr>
            <w:r>
              <w:rPr>
                <w:rFonts w:ascii="Arial" w:cs="Arial" w:eastAsia="Arial" w:hAnsi="Arial"/>
                <w:sz w:val="16"/>
                <w:szCs w:val="16"/>
                <w:color w:val="auto"/>
              </w:rPr>
              <w:t>DCP</w:t>
            </w:r>
          </w:p>
        </w:tc>
        <w:tc>
          <w:tcPr>
            <w:tcW w:w="1040" w:type="dxa"/>
            <w:vAlign w:val="bottom"/>
            <w:tcBorders>
              <w:bottom w:val="single" w:sz="8" w:color="auto"/>
            </w:tcBorders>
          </w:tcPr>
          <w:p>
            <w:pPr>
              <w:jc w:val="right"/>
              <w:ind w:right="102"/>
              <w:spacing w:after="0" w:line="182" w:lineRule="exact"/>
              <w:rPr>
                <w:sz w:val="20"/>
                <w:szCs w:val="20"/>
                <w:color w:val="auto"/>
              </w:rPr>
            </w:pPr>
            <w:r>
              <w:rPr>
                <w:rFonts w:ascii="Arial" w:cs="Arial" w:eastAsia="Arial" w:hAnsi="Arial"/>
                <w:sz w:val="16"/>
                <w:szCs w:val="16"/>
                <w:color w:val="auto"/>
              </w:rPr>
              <w:t>36,864</w:t>
            </w:r>
          </w:p>
        </w:tc>
        <w:tc>
          <w:tcPr>
            <w:tcW w:w="108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6"/>
                <w:szCs w:val="16"/>
                <w:color w:val="auto"/>
              </w:rPr>
              <w:t>6,468</w:t>
            </w:r>
          </w:p>
        </w:tc>
        <w:tc>
          <w:tcPr>
            <w:tcW w:w="94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4"/>
                <w:szCs w:val="14"/>
                <w:color w:val="auto"/>
              </w:rPr>
              <w:t>105,792</w:t>
            </w:r>
            <w:r>
              <w:rPr>
                <w:rFonts w:ascii="Arial" w:cs="Arial" w:eastAsia="Arial" w:hAnsi="Arial"/>
                <w:sz w:val="21"/>
                <w:szCs w:val="21"/>
                <w:color w:val="auto"/>
                <w:vertAlign w:val="superscript"/>
              </w:rPr>
              <w:t> 5</w:t>
            </w:r>
          </w:p>
        </w:tc>
        <w:tc>
          <w:tcPr>
            <w:tcW w:w="10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4"/>
                <w:szCs w:val="14"/>
                <w:color w:val="auto"/>
              </w:rPr>
              <w:t>696,369</w:t>
            </w:r>
            <w:r>
              <w:rPr>
                <w:rFonts w:ascii="Arial" w:cs="Arial" w:eastAsia="Arial" w:hAnsi="Arial"/>
                <w:sz w:val="21"/>
                <w:szCs w:val="21"/>
                <w:color w:val="auto"/>
                <w:vertAlign w:val="superscript"/>
              </w:rPr>
              <w:t> 6</w:t>
            </w:r>
          </w:p>
        </w:tc>
      </w:tr>
      <w:tr>
        <w:trPr>
          <w:trHeight w:val="168"/>
        </w:trPr>
        <w:tc>
          <w:tcPr>
            <w:tcW w:w="3140" w:type="dxa"/>
            <w:vAlign w:val="bottom"/>
            <w:gridSpan w:val="2"/>
          </w:tcPr>
          <w:p>
            <w:pPr>
              <w:spacing w:after="0" w:line="168" w:lineRule="exact"/>
              <w:rPr>
                <w:sz w:val="20"/>
                <w:szCs w:val="20"/>
                <w:color w:val="auto"/>
              </w:rPr>
            </w:pPr>
            <w:r>
              <w:rPr>
                <w:rFonts w:ascii="Arial" w:cs="Arial" w:eastAsia="Arial" w:hAnsi="Arial"/>
                <w:sz w:val="16"/>
                <w:szCs w:val="16"/>
                <w:color w:val="auto"/>
              </w:rPr>
              <w:t>B. Miller</w:t>
            </w:r>
          </w:p>
        </w:tc>
        <w:tc>
          <w:tcPr>
            <w:tcW w:w="2780" w:type="dxa"/>
            <w:vAlign w:val="bottom"/>
          </w:tcPr>
          <w:p>
            <w:pPr>
              <w:jc w:val="center"/>
              <w:ind w:left="2080"/>
              <w:spacing w:after="0" w:line="168" w:lineRule="exact"/>
              <w:rPr>
                <w:sz w:val="20"/>
                <w:szCs w:val="20"/>
                <w:color w:val="auto"/>
              </w:rPr>
            </w:pPr>
            <w:r>
              <w:rPr>
                <w:rFonts w:ascii="Arial" w:cs="Arial" w:eastAsia="Arial" w:hAnsi="Arial"/>
                <w:sz w:val="16"/>
                <w:szCs w:val="16"/>
                <w:color w:val="auto"/>
              </w:rPr>
              <w:t>DCP</w:t>
            </w:r>
          </w:p>
        </w:tc>
        <w:tc>
          <w:tcPr>
            <w:tcW w:w="104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64,586</w:t>
            </w:r>
          </w:p>
        </w:tc>
        <w:tc>
          <w:tcPr>
            <w:tcW w:w="1080" w:type="dxa"/>
            <w:vAlign w:val="bottom"/>
          </w:tcPr>
          <w:p>
            <w:pPr>
              <w:jc w:val="right"/>
              <w:ind w:right="142"/>
              <w:spacing w:after="0" w:line="168" w:lineRule="exact"/>
              <w:rPr>
                <w:sz w:val="20"/>
                <w:szCs w:val="20"/>
                <w:color w:val="auto"/>
              </w:rPr>
            </w:pPr>
            <w:r>
              <w:rPr>
                <w:rFonts w:ascii="Arial" w:cs="Arial" w:eastAsia="Arial" w:hAnsi="Arial"/>
                <w:sz w:val="16"/>
                <w:szCs w:val="16"/>
                <w:color w:val="auto"/>
              </w:rPr>
              <w:t>12,096</w:t>
            </w:r>
          </w:p>
        </w:tc>
        <w:tc>
          <w:tcPr>
            <w:tcW w:w="940" w:type="dxa"/>
            <w:vAlign w:val="bottom"/>
          </w:tcPr>
          <w:p>
            <w:pPr>
              <w:jc w:val="right"/>
              <w:ind w:right="10"/>
              <w:spacing w:after="0" w:line="168" w:lineRule="exact"/>
              <w:rPr>
                <w:sz w:val="20"/>
                <w:szCs w:val="20"/>
                <w:color w:val="auto"/>
              </w:rPr>
            </w:pPr>
            <w:r>
              <w:rPr>
                <w:rFonts w:ascii="Arial" w:cs="Arial" w:eastAsia="Arial" w:hAnsi="Arial"/>
                <w:sz w:val="13"/>
                <w:szCs w:val="13"/>
                <w:color w:val="auto"/>
              </w:rPr>
              <w:t>47,678</w:t>
            </w:r>
            <w:r>
              <w:rPr>
                <w:rFonts w:ascii="Arial" w:cs="Arial" w:eastAsia="Arial" w:hAnsi="Arial"/>
                <w:sz w:val="19"/>
                <w:szCs w:val="19"/>
                <w:color w:val="auto"/>
                <w:vertAlign w:val="superscript"/>
              </w:rPr>
              <w:t> 5</w:t>
            </w:r>
          </w:p>
        </w:tc>
        <w:tc>
          <w:tcPr>
            <w:tcW w:w="1020" w:type="dxa"/>
            <w:vAlign w:val="bottom"/>
          </w:tcPr>
          <w:p>
            <w:pPr>
              <w:ind w:left="680"/>
              <w:spacing w:after="0" w:line="16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8" w:lineRule="exact"/>
              <w:rPr>
                <w:sz w:val="20"/>
                <w:szCs w:val="20"/>
                <w:color w:val="auto"/>
              </w:rPr>
            </w:pPr>
            <w:r>
              <w:rPr>
                <w:rFonts w:ascii="Arial" w:cs="Arial" w:eastAsia="Arial" w:hAnsi="Arial"/>
                <w:sz w:val="13"/>
                <w:szCs w:val="13"/>
                <w:color w:val="auto"/>
              </w:rPr>
              <w:t>1,443,680</w:t>
            </w:r>
            <w:r>
              <w:rPr>
                <w:rFonts w:ascii="Arial" w:cs="Arial" w:eastAsia="Arial" w:hAnsi="Arial"/>
                <w:sz w:val="19"/>
                <w:szCs w:val="19"/>
                <w:color w:val="auto"/>
                <w:vertAlign w:val="superscript"/>
              </w:rPr>
              <w:t> 6</w:t>
            </w:r>
          </w:p>
        </w:tc>
      </w:tr>
      <w:tr>
        <w:trPr>
          <w:trHeight w:val="202"/>
        </w:trPr>
        <w:tc>
          <w:tcPr>
            <w:tcW w:w="2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left="2100"/>
              <w:spacing w:after="0"/>
              <w:rPr>
                <w:sz w:val="20"/>
                <w:szCs w:val="20"/>
                <w:color w:val="auto"/>
              </w:rPr>
            </w:pPr>
            <w:r>
              <w:rPr>
                <w:rFonts w:ascii="Arial" w:cs="Arial" w:eastAsia="Arial" w:hAnsi="Arial"/>
                <w:sz w:val="16"/>
                <w:szCs w:val="16"/>
                <w:color w:val="auto"/>
              </w:rPr>
              <w:t>MDCP</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6"/>
                <w:szCs w:val="16"/>
                <w:color w:val="auto"/>
              </w:rPr>
              <w:t>36,535</w:t>
            </w:r>
            <w:r>
              <w:rPr>
                <w:rFonts w:ascii="Arial" w:cs="Arial" w:eastAsia="Arial" w:hAnsi="Arial"/>
                <w:sz w:val="23"/>
                <w:szCs w:val="23"/>
                <w:color w:val="auto"/>
                <w:vertAlign w:val="superscript"/>
              </w:rPr>
              <w:t> 5</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6"/>
                <w:szCs w:val="16"/>
                <w:color w:val="auto"/>
              </w:rPr>
              <w:t>1,005,851</w:t>
            </w:r>
            <w:r>
              <w:rPr>
                <w:rFonts w:ascii="Arial" w:cs="Arial" w:eastAsia="Arial" w:hAnsi="Arial"/>
                <w:sz w:val="23"/>
                <w:szCs w:val="23"/>
                <w:color w:val="auto"/>
                <w:vertAlign w:val="superscript"/>
              </w:rPr>
              <w:t> 7</w:t>
            </w:r>
          </w:p>
        </w:tc>
      </w:tr>
      <w:tr>
        <w:trPr>
          <w:trHeight w:val="168"/>
        </w:trPr>
        <w:tc>
          <w:tcPr>
            <w:tcW w:w="20" w:type="dxa"/>
            <w:vAlign w:val="bottom"/>
          </w:tcPr>
          <w:p>
            <w:pPr>
              <w:spacing w:after="0"/>
              <w:rPr>
                <w:sz w:val="14"/>
                <w:szCs w:val="14"/>
                <w:color w:val="auto"/>
              </w:rPr>
            </w:pPr>
          </w:p>
        </w:tc>
        <w:tc>
          <w:tcPr>
            <w:tcW w:w="3120" w:type="dxa"/>
            <w:vAlign w:val="bottom"/>
          </w:tcPr>
          <w:p>
            <w:pPr>
              <w:spacing w:after="0" w:line="168" w:lineRule="exact"/>
              <w:rPr>
                <w:sz w:val="20"/>
                <w:szCs w:val="20"/>
                <w:color w:val="auto"/>
              </w:rPr>
            </w:pPr>
            <w:r>
              <w:rPr>
                <w:rFonts w:ascii="Arial" w:cs="Arial" w:eastAsia="Arial" w:hAnsi="Arial"/>
                <w:sz w:val="16"/>
                <w:szCs w:val="16"/>
                <w:color w:val="auto"/>
              </w:rPr>
              <w:t>J. Hunter</w:t>
            </w:r>
          </w:p>
        </w:tc>
        <w:tc>
          <w:tcPr>
            <w:tcW w:w="2780" w:type="dxa"/>
            <w:vAlign w:val="bottom"/>
          </w:tcPr>
          <w:p>
            <w:pPr>
              <w:jc w:val="center"/>
              <w:ind w:left="2080"/>
              <w:spacing w:after="0" w:line="168" w:lineRule="exact"/>
              <w:rPr>
                <w:sz w:val="20"/>
                <w:szCs w:val="20"/>
                <w:color w:val="auto"/>
              </w:rPr>
            </w:pPr>
            <w:r>
              <w:rPr>
                <w:rFonts w:ascii="Arial" w:cs="Arial" w:eastAsia="Arial" w:hAnsi="Arial"/>
                <w:sz w:val="16"/>
                <w:szCs w:val="16"/>
                <w:color w:val="auto"/>
              </w:rPr>
              <w:t>DCP</w:t>
            </w:r>
          </w:p>
        </w:tc>
        <w:tc>
          <w:tcPr>
            <w:tcW w:w="104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25,171</w:t>
            </w:r>
          </w:p>
        </w:tc>
        <w:tc>
          <w:tcPr>
            <w:tcW w:w="1080" w:type="dxa"/>
            <w:vAlign w:val="bottom"/>
          </w:tcPr>
          <w:p>
            <w:pPr>
              <w:jc w:val="right"/>
              <w:ind w:right="142"/>
              <w:spacing w:after="0" w:line="168" w:lineRule="exact"/>
              <w:rPr>
                <w:sz w:val="20"/>
                <w:szCs w:val="20"/>
                <w:color w:val="auto"/>
              </w:rPr>
            </w:pPr>
            <w:r>
              <w:rPr>
                <w:rFonts w:ascii="Arial" w:cs="Arial" w:eastAsia="Arial" w:hAnsi="Arial"/>
                <w:sz w:val="16"/>
                <w:szCs w:val="16"/>
                <w:color w:val="auto"/>
              </w:rPr>
              <w:t>7,079</w:t>
            </w:r>
          </w:p>
        </w:tc>
        <w:tc>
          <w:tcPr>
            <w:tcW w:w="940" w:type="dxa"/>
            <w:vAlign w:val="bottom"/>
          </w:tcPr>
          <w:p>
            <w:pPr>
              <w:jc w:val="right"/>
              <w:ind w:right="10"/>
              <w:spacing w:after="0" w:line="168" w:lineRule="exact"/>
              <w:rPr>
                <w:sz w:val="20"/>
                <w:szCs w:val="20"/>
                <w:color w:val="auto"/>
              </w:rPr>
            </w:pPr>
            <w:r>
              <w:rPr>
                <w:rFonts w:ascii="Arial" w:cs="Arial" w:eastAsia="Arial" w:hAnsi="Arial"/>
                <w:sz w:val="13"/>
                <w:szCs w:val="13"/>
                <w:color w:val="auto"/>
              </w:rPr>
              <w:t>66,237</w:t>
            </w:r>
            <w:r>
              <w:rPr>
                <w:rFonts w:ascii="Arial" w:cs="Arial" w:eastAsia="Arial" w:hAnsi="Arial"/>
                <w:sz w:val="19"/>
                <w:szCs w:val="19"/>
                <w:color w:val="auto"/>
                <w:vertAlign w:val="superscript"/>
              </w:rPr>
              <w:t> 5</w:t>
            </w:r>
          </w:p>
        </w:tc>
        <w:tc>
          <w:tcPr>
            <w:tcW w:w="1020" w:type="dxa"/>
            <w:vAlign w:val="bottom"/>
          </w:tcPr>
          <w:p>
            <w:pPr>
              <w:ind w:left="680"/>
              <w:spacing w:after="0" w:line="16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8" w:lineRule="exact"/>
              <w:rPr>
                <w:sz w:val="20"/>
                <w:szCs w:val="20"/>
                <w:color w:val="auto"/>
              </w:rPr>
            </w:pPr>
            <w:r>
              <w:rPr>
                <w:rFonts w:ascii="Arial" w:cs="Arial" w:eastAsia="Arial" w:hAnsi="Arial"/>
                <w:sz w:val="13"/>
                <w:szCs w:val="13"/>
                <w:color w:val="auto"/>
              </w:rPr>
              <w:t>668,139</w:t>
            </w:r>
            <w:r>
              <w:rPr>
                <w:rFonts w:ascii="Arial" w:cs="Arial" w:eastAsia="Arial" w:hAnsi="Arial"/>
                <w:sz w:val="19"/>
                <w:szCs w:val="19"/>
                <w:color w:val="auto"/>
                <w:vertAlign w:val="superscript"/>
              </w:rPr>
              <w:t> 6</w:t>
            </w:r>
          </w:p>
        </w:tc>
      </w:tr>
      <w:tr>
        <w:trPr>
          <w:trHeight w:val="202"/>
        </w:trPr>
        <w:tc>
          <w:tcPr>
            <w:tcW w:w="2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left="2100"/>
              <w:spacing w:after="0"/>
              <w:rPr>
                <w:sz w:val="20"/>
                <w:szCs w:val="20"/>
                <w:color w:val="auto"/>
              </w:rPr>
            </w:pPr>
            <w:r>
              <w:rPr>
                <w:rFonts w:ascii="Arial" w:cs="Arial" w:eastAsia="Arial" w:hAnsi="Arial"/>
                <w:sz w:val="16"/>
                <w:szCs w:val="16"/>
                <w:color w:val="auto"/>
              </w:rPr>
              <w:t>MDCP</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6"/>
                <w:szCs w:val="16"/>
                <w:color w:val="auto"/>
              </w:rPr>
              <w:t>5,126</w:t>
            </w:r>
            <w:r>
              <w:rPr>
                <w:rFonts w:ascii="Arial" w:cs="Arial" w:eastAsia="Arial" w:hAnsi="Arial"/>
                <w:sz w:val="23"/>
                <w:szCs w:val="23"/>
                <w:color w:val="auto"/>
                <w:vertAlign w:val="superscript"/>
              </w:rPr>
              <w:t> 5</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6"/>
                <w:szCs w:val="16"/>
                <w:color w:val="auto"/>
              </w:rPr>
              <w:t>141,173</w:t>
            </w:r>
            <w:r>
              <w:rPr>
                <w:rFonts w:ascii="Arial" w:cs="Arial" w:eastAsia="Arial" w:hAnsi="Arial"/>
                <w:sz w:val="23"/>
                <w:szCs w:val="23"/>
                <w:color w:val="auto"/>
                <w:vertAlign w:val="superscript"/>
              </w:rPr>
              <w:t> 7</w:t>
            </w:r>
          </w:p>
        </w:tc>
      </w:tr>
      <w:tr>
        <w:trPr>
          <w:trHeight w:val="182"/>
        </w:trPr>
        <w:tc>
          <w:tcPr>
            <w:tcW w:w="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J. Marbert</w:t>
            </w:r>
          </w:p>
        </w:tc>
        <w:tc>
          <w:tcPr>
            <w:tcW w:w="2780" w:type="dxa"/>
            <w:vAlign w:val="bottom"/>
            <w:tcBorders>
              <w:bottom w:val="single" w:sz="8" w:color="auto"/>
            </w:tcBorders>
          </w:tcPr>
          <w:p>
            <w:pPr>
              <w:jc w:val="center"/>
              <w:ind w:left="2080"/>
              <w:spacing w:after="0" w:line="182" w:lineRule="exact"/>
              <w:rPr>
                <w:sz w:val="20"/>
                <w:szCs w:val="20"/>
                <w:color w:val="auto"/>
              </w:rPr>
            </w:pPr>
            <w:r>
              <w:rPr>
                <w:rFonts w:ascii="Arial" w:cs="Arial" w:eastAsia="Arial" w:hAnsi="Arial"/>
                <w:sz w:val="16"/>
                <w:szCs w:val="16"/>
                <w:color w:val="auto"/>
              </w:rPr>
              <w:t>DCP</w:t>
            </w:r>
          </w:p>
        </w:tc>
        <w:tc>
          <w:tcPr>
            <w:tcW w:w="1040" w:type="dxa"/>
            <w:vAlign w:val="bottom"/>
            <w:tcBorders>
              <w:bottom w:val="single" w:sz="8" w:color="auto"/>
            </w:tcBorders>
          </w:tcPr>
          <w:p>
            <w:pPr>
              <w:jc w:val="right"/>
              <w:ind w:right="102"/>
              <w:spacing w:after="0" w:line="182" w:lineRule="exact"/>
              <w:rPr>
                <w:sz w:val="20"/>
                <w:szCs w:val="20"/>
                <w:color w:val="auto"/>
              </w:rPr>
            </w:pPr>
            <w:r>
              <w:rPr>
                <w:rFonts w:ascii="Arial" w:cs="Arial" w:eastAsia="Arial" w:hAnsi="Arial"/>
                <w:sz w:val="16"/>
                <w:szCs w:val="16"/>
                <w:color w:val="auto"/>
              </w:rPr>
              <w:t>129,510</w:t>
            </w:r>
          </w:p>
        </w:tc>
        <w:tc>
          <w:tcPr>
            <w:tcW w:w="108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6"/>
                <w:szCs w:val="16"/>
                <w:color w:val="auto"/>
              </w:rPr>
              <w:t>10,164</w:t>
            </w:r>
          </w:p>
        </w:tc>
        <w:tc>
          <w:tcPr>
            <w:tcW w:w="94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4"/>
                <w:szCs w:val="14"/>
                <w:color w:val="auto"/>
              </w:rPr>
              <w:t>36,781</w:t>
            </w:r>
            <w:r>
              <w:rPr>
                <w:rFonts w:ascii="Arial" w:cs="Arial" w:eastAsia="Arial" w:hAnsi="Arial"/>
                <w:sz w:val="21"/>
                <w:szCs w:val="21"/>
                <w:color w:val="auto"/>
                <w:vertAlign w:val="superscript"/>
              </w:rPr>
              <w:t> 5</w:t>
            </w:r>
          </w:p>
        </w:tc>
        <w:tc>
          <w:tcPr>
            <w:tcW w:w="10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4"/>
                <w:szCs w:val="14"/>
                <w:color w:val="auto"/>
              </w:rPr>
              <w:t>536,555</w:t>
            </w:r>
            <w:r>
              <w:rPr>
                <w:rFonts w:ascii="Arial" w:cs="Arial" w:eastAsia="Arial" w:hAnsi="Arial"/>
                <w:sz w:val="21"/>
                <w:szCs w:val="21"/>
                <w:color w:val="auto"/>
                <w:vertAlign w:val="superscript"/>
              </w:rPr>
              <w:t> 6</w:t>
            </w:r>
          </w:p>
        </w:tc>
      </w:tr>
      <w:tr>
        <w:trPr>
          <w:trHeight w:val="182"/>
        </w:trPr>
        <w:tc>
          <w:tcPr>
            <w:tcW w:w="3140" w:type="dxa"/>
            <w:vAlign w:val="bottom"/>
            <w:tcBorders>
              <w:bottom w:val="single" w:sz="8" w:color="003A70"/>
            </w:tcBorders>
            <w:gridSpan w:val="2"/>
          </w:tcPr>
          <w:p>
            <w:pPr>
              <w:spacing w:after="0" w:line="182" w:lineRule="exact"/>
              <w:rPr>
                <w:sz w:val="20"/>
                <w:szCs w:val="20"/>
                <w:color w:val="auto"/>
              </w:rPr>
            </w:pPr>
            <w:r>
              <w:rPr>
                <w:rFonts w:ascii="Arial" w:cs="Arial" w:eastAsia="Arial" w:hAnsi="Arial"/>
                <w:sz w:val="16"/>
                <w:szCs w:val="16"/>
                <w:color w:val="auto"/>
              </w:rPr>
              <w:t>L. Gustafson</w:t>
            </w:r>
          </w:p>
        </w:tc>
        <w:tc>
          <w:tcPr>
            <w:tcW w:w="2780" w:type="dxa"/>
            <w:vAlign w:val="bottom"/>
            <w:tcBorders>
              <w:bottom w:val="single" w:sz="8" w:color="003A70"/>
            </w:tcBorders>
          </w:tcPr>
          <w:p>
            <w:pPr>
              <w:jc w:val="center"/>
              <w:ind w:left="2080"/>
              <w:spacing w:after="0" w:line="182" w:lineRule="exact"/>
              <w:rPr>
                <w:sz w:val="20"/>
                <w:szCs w:val="20"/>
                <w:color w:val="auto"/>
              </w:rPr>
            </w:pPr>
            <w:r>
              <w:rPr>
                <w:rFonts w:ascii="Arial" w:cs="Arial" w:eastAsia="Arial" w:hAnsi="Arial"/>
                <w:sz w:val="16"/>
                <w:szCs w:val="16"/>
                <w:color w:val="auto"/>
              </w:rPr>
              <w:t>DCP</w:t>
            </w:r>
          </w:p>
        </w:tc>
        <w:tc>
          <w:tcPr>
            <w:tcW w:w="1040" w:type="dxa"/>
            <w:vAlign w:val="bottom"/>
            <w:tcBorders>
              <w:bottom w:val="single" w:sz="8" w:color="003A70"/>
            </w:tcBorders>
          </w:tcPr>
          <w:p>
            <w:pPr>
              <w:jc w:val="right"/>
              <w:ind w:right="102"/>
              <w:spacing w:after="0" w:line="182"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3A70"/>
            </w:tcBorders>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3A70"/>
            </w:tcBorders>
          </w:tcPr>
          <w:p>
            <w:pPr>
              <w:jc w:val="right"/>
              <w:ind w:right="10"/>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1020" w:type="dxa"/>
            <w:vAlign w:val="bottom"/>
            <w:tcBorders>
              <w:bottom w:val="single" w:sz="8" w:color="003A70"/>
            </w:tcBorders>
          </w:tcPr>
          <w:p>
            <w:pPr>
              <w:ind w:left="680"/>
              <w:spacing w:after="0" w:line="182"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6</w:t>
            </w:r>
          </w:p>
        </w:tc>
      </w:tr>
    </w:tbl>
    <w:p>
      <w:pPr>
        <w:spacing w:after="0" w:line="8" w:lineRule="exact"/>
        <w:rPr>
          <w:sz w:val="20"/>
          <w:szCs w:val="20"/>
          <w:color w:val="auto"/>
        </w:rPr>
      </w:pPr>
    </w:p>
    <w:p>
      <w:pPr>
        <w:ind w:left="460" w:hanging="325"/>
        <w:spacing w:after="0"/>
        <w:tabs>
          <w:tab w:leader="none" w:pos="46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“DCP” and “MDCP” refer to the MVW Deferred Compensation Plan and the Marriott Deferred Compensation Plan, respectively.</w:t>
      </w:r>
    </w:p>
    <w:p>
      <w:pPr>
        <w:spacing w:after="0" w:line="58" w:lineRule="exact"/>
        <w:rPr>
          <w:sz w:val="20"/>
          <w:szCs w:val="20"/>
          <w:color w:val="auto"/>
        </w:rPr>
      </w:pPr>
    </w:p>
    <w:p>
      <w:pPr>
        <w:ind w:left="460" w:hanging="325"/>
        <w:spacing w:after="0"/>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consist of elective deferrals by the named executive officers of salary for the 2024 fiscal year and non-equity incentive plan compensation for the 2023 fiscal year paid in 2024 under the MVW Deferred Compensation Plan. All of these amounts that are attributable to 2024 salary are reported in the Summary Compensation Table, and all of the amounts that are attributable to 2023 non-equity incentive plan compensation were included in the 2023 Summary Compensation Table.</w:t>
      </w:r>
    </w:p>
    <w:p>
      <w:pPr>
        <w:spacing w:after="0" w:line="145" w:lineRule="exact"/>
        <w:rPr>
          <w:sz w:val="20"/>
          <w:szCs w:val="20"/>
          <w:color w:val="auto"/>
        </w:rPr>
      </w:pPr>
    </w:p>
    <w:p>
      <w:pPr>
        <w:ind w:left="460" w:right="580" w:hanging="325"/>
        <w:spacing w:after="0" w:line="203" w:lineRule="auto"/>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consist of Company contributions that were accrued during 2024 and credited to the participants’ accounts in 2025 under the MVW Deferred Compensation Plan. All of these amounts are included in the Summary Compensation Table in the “All Other Compensation” column for 2024.</w:t>
      </w:r>
    </w:p>
    <w:p>
      <w:pPr>
        <w:spacing w:after="0" w:line="53" w:lineRule="exact"/>
        <w:rPr>
          <w:sz w:val="20"/>
          <w:szCs w:val="20"/>
          <w:color w:val="auto"/>
        </w:rPr>
      </w:pPr>
    </w:p>
    <w:p>
      <w:pPr>
        <w:ind w:left="460" w:right="20" w:hanging="325"/>
        <w:spacing w:after="0" w:line="213"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This column includes amounts in each named executive officer’s total MVW Deferred Compensation Plan account balance as of the last day of the 2024 fiscal year, and does not take into account the amounts in the “Company Contributions in Last Fiscal Year” column in the table above that were accrued during fiscal 2024 but credited to the participants’ accounts in 2025.</w:t>
      </w:r>
    </w:p>
    <w:p>
      <w:pPr>
        <w:spacing w:after="0" w:line="55" w:lineRule="exact"/>
        <w:rPr>
          <w:sz w:val="20"/>
          <w:szCs w:val="20"/>
          <w:color w:val="auto"/>
        </w:rPr>
      </w:pPr>
    </w:p>
    <w:p>
      <w:pPr>
        <w:ind w:left="460" w:right="380" w:hanging="325"/>
        <w:spacing w:after="0" w:line="219"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These amounts consist of the aggregate notional earnings during 2024 of each named executive officer’s account in the MVW Deferred Compensation Plan or the Marriott Deferred Compensation Plan. Such earnings are reported in the Summary Compensation Table only to the extent that they were credited at a fixed rate of interest in excess of 120% of the applicable federal long-term rate. The fixed rate of return in the MVW Deferred Compensation Plan and the Marriott Deferred Compensation Plan was less than 120% of the applicable federal long-term rate; thus, there was no excess return in 2024.</w:t>
      </w:r>
    </w:p>
    <w:p>
      <w:pPr>
        <w:spacing w:after="0" w:line="55" w:lineRule="exact"/>
        <w:rPr>
          <w:sz w:val="20"/>
          <w:szCs w:val="20"/>
          <w:color w:val="auto"/>
        </w:rPr>
      </w:pPr>
    </w:p>
    <w:p>
      <w:pPr>
        <w:ind w:left="460" w:right="80" w:hanging="325"/>
        <w:spacing w:after="0" w:line="203"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Mr. Geller, $1,248,166; Mr. Marino, $50,327; Mr. Miller, $1,185,769; Mr. Hunter, $202,292; Ms. Marbert, $350,287; and Ms. Gustafson, $0.</w:t>
      </w:r>
    </w:p>
    <w:p>
      <w:pPr>
        <w:spacing w:after="0" w:line="53" w:lineRule="exact"/>
        <w:rPr>
          <w:sz w:val="20"/>
          <w:szCs w:val="20"/>
          <w:color w:val="auto"/>
        </w:rPr>
      </w:pPr>
    </w:p>
    <w:p>
      <w:pPr>
        <w:ind w:left="460" w:right="320" w:hanging="325"/>
        <w:spacing w:after="0" w:line="203"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or in a Summary Compensation Table included in a Form 10 or Annual Report on Form 10-K: Mr. Geller, $100,258; Mr. Miller, $233,184; and Mr. Hunter, $6,817.</w:t>
      </w:r>
    </w:p>
    <w:p>
      <w:pPr>
        <w:spacing w:after="0" w:line="117" w:lineRule="exact"/>
        <w:rPr>
          <w:sz w:val="20"/>
          <w:szCs w:val="20"/>
          <w:color w:val="auto"/>
        </w:rPr>
      </w:pPr>
    </w:p>
    <w:p>
      <w:pPr>
        <w:ind w:left="140"/>
        <w:spacing w:after="0"/>
        <w:tabs>
          <w:tab w:leader="none" w:pos="44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60"/>
        <w:spacing w:after="0" w:line="249" w:lineRule="auto"/>
        <w:rPr>
          <w:sz w:val="20"/>
          <w:szCs w:val="20"/>
          <w:color w:val="auto"/>
        </w:rPr>
      </w:pPr>
      <w:r>
        <w:rPr>
          <w:rFonts w:ascii="Arial" w:cs="Arial" w:eastAsia="Arial" w:hAnsi="Arial"/>
          <w:sz w:val="16"/>
          <w:szCs w:val="16"/>
          <w:color w:val="auto"/>
        </w:rPr>
        <w:t>For 2024, we credited amounts subject to the fixed rate of return in participant plan accounts with a rate of return of 3.5%. For 2024, Marriott International credited participant plan accounts with a rate of return of 3.75%, determined largely based on Marriott International’s estimated long-term cost of borrowing. To the extent that either of these fixed rates exceeds 120%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named executive officers could defer the receipt of up to 80% of their salary, bonus, non-equity incentive plan compensation and/or commissions, which amounts were immediately vested. In addition, the named executive officers were eligible to receive a discretionary match or other discretionary contributions, which were vested when made (other than discretionary contributions made for any year prior to 2009, which vested 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named executive officers for 2024.</w:t>
      </w:r>
    </w:p>
    <w:p>
      <w:pPr>
        <w:spacing w:after="0" w:line="80" w:lineRule="exact"/>
        <w:rPr>
          <w:sz w:val="20"/>
          <w:szCs w:val="20"/>
          <w:color w:val="auto"/>
        </w:rPr>
      </w:pPr>
    </w:p>
    <w:p>
      <w:pPr>
        <w:ind w:left="140" w:right="80"/>
        <w:spacing w:after="0" w:line="251" w:lineRule="auto"/>
        <w:rPr>
          <w:sz w:val="20"/>
          <w:szCs w:val="20"/>
          <w:color w:val="auto"/>
        </w:rPr>
      </w:pPr>
      <w:r>
        <w:rPr>
          <w:rFonts w:ascii="Arial" w:cs="Arial" w:eastAsia="Arial" w:hAnsi="Arial"/>
          <w:sz w:val="16"/>
          <w:szCs w:val="16"/>
          <w:color w:val="auto"/>
        </w:rPr>
        <w:t>Our named executive officers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09"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The following information relates to benefits that would have been paid or payable had a change in control occurred and/or a named executive officer’s employment with the Company terminated as of December 31, 2024, the last business day of our fiscal year. The table below reflects the intrinsic value of unvested stock awards, unvested MVW Deferred Compensation Plan accounts and incentive payments under the Bonus Plan that each named executive officer would have received upon retirement, disability, death, resignation, involuntary termination of employment, or a change in control as of December 31, 2024 (based on our closing stock price of $89.80 as of that date).</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003A70"/>
                <w:w w:val="99"/>
              </w:rPr>
              <w:t>Termination</w:t>
            </w: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003A70"/>
              </w:rPr>
              <w:t>Following</w:t>
            </w:r>
          </w:p>
        </w:tc>
      </w:tr>
      <w:tr>
        <w:trPr>
          <w:trHeight w:val="157"/>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A70"/>
              </w:rPr>
              <w:t>Involuntary</w:t>
            </w:r>
          </w:p>
        </w:tc>
        <w:tc>
          <w:tcPr>
            <w:tcW w:w="160" w:type="dxa"/>
            <w:vAlign w:val="bottom"/>
          </w:tcPr>
          <w:p>
            <w:pPr>
              <w:spacing w:after="0"/>
              <w:rPr>
                <w:sz w:val="13"/>
                <w:szCs w:val="13"/>
                <w:color w:val="auto"/>
              </w:rPr>
            </w:pPr>
          </w:p>
        </w:tc>
        <w:tc>
          <w:tcPr>
            <w:tcW w:w="880" w:type="dxa"/>
            <w:vAlign w:val="bottom"/>
          </w:tcPr>
          <w:p>
            <w:pPr>
              <w:jc w:val="center"/>
              <w:ind w:right="80"/>
              <w:spacing w:after="0" w:line="157" w:lineRule="exact"/>
              <w:rPr>
                <w:sz w:val="20"/>
                <w:szCs w:val="20"/>
                <w:color w:val="auto"/>
              </w:rPr>
            </w:pPr>
            <w:r>
              <w:rPr>
                <w:rFonts w:ascii="Arial" w:cs="Arial" w:eastAsia="Arial" w:hAnsi="Arial"/>
                <w:sz w:val="14"/>
                <w:szCs w:val="14"/>
                <w:b w:val="1"/>
                <w:bCs w:val="1"/>
                <w:color w:val="003A70"/>
              </w:rPr>
              <w:t>Change In</w:t>
            </w:r>
          </w:p>
        </w:tc>
      </w:tr>
      <w:tr>
        <w:trPr>
          <w:trHeight w:val="182"/>
        </w:trPr>
        <w:tc>
          <w:tcPr>
            <w:tcW w:w="194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Name</w:t>
            </w:r>
          </w:p>
        </w:tc>
        <w:tc>
          <w:tcPr>
            <w:tcW w:w="3720" w:type="dxa"/>
            <w:vAlign w:val="bottom"/>
            <w:tcBorders>
              <w:bottom w:val="single" w:sz="8" w:color="003A70"/>
            </w:tcBorders>
          </w:tcPr>
          <w:p>
            <w:pPr>
              <w:ind w:left="1160"/>
              <w:spacing w:after="0"/>
              <w:rPr>
                <w:sz w:val="20"/>
                <w:szCs w:val="20"/>
                <w:color w:val="auto"/>
              </w:rPr>
            </w:pPr>
            <w:r>
              <w:rPr>
                <w:rFonts w:ascii="Arial" w:cs="Arial" w:eastAsia="Arial" w:hAnsi="Arial"/>
                <w:sz w:val="14"/>
                <w:szCs w:val="14"/>
                <w:b w:val="1"/>
                <w:bCs w:val="1"/>
                <w:color w:val="003A70"/>
              </w:rPr>
              <w:t>Plan</w:t>
            </w:r>
          </w:p>
        </w:tc>
        <w:tc>
          <w:tcPr>
            <w:tcW w:w="1320" w:type="dxa"/>
            <w:vAlign w:val="bottom"/>
            <w:tcBorders>
              <w:bottom w:val="single" w:sz="8" w:color="003A70"/>
            </w:tcBorders>
            <w:gridSpan w:val="2"/>
          </w:tcPr>
          <w:p>
            <w:pPr>
              <w:ind w:left="420"/>
              <w:spacing w:after="0" w:line="175" w:lineRule="exact"/>
              <w:rPr>
                <w:sz w:val="20"/>
                <w:szCs w:val="20"/>
                <w:color w:val="auto"/>
              </w:rPr>
            </w:pPr>
            <w:r>
              <w:rPr>
                <w:rFonts w:ascii="Arial" w:cs="Arial" w:eastAsia="Arial" w:hAnsi="Arial"/>
                <w:sz w:val="14"/>
                <w:szCs w:val="14"/>
                <w:b w:val="1"/>
                <w:bCs w:val="1"/>
                <w:color w:val="003A70"/>
              </w:rPr>
              <w:t>Retirement</w:t>
            </w:r>
            <w:r>
              <w:rPr>
                <w:rFonts w:ascii="Arial" w:cs="Arial" w:eastAsia="Arial" w:hAnsi="Arial"/>
                <w:sz w:val="20"/>
                <w:szCs w:val="20"/>
                <w:color w:val="003A70"/>
                <w:vertAlign w:val="superscript"/>
              </w:rPr>
              <w:t>1</w:t>
            </w:r>
          </w:p>
        </w:tc>
        <w:tc>
          <w:tcPr>
            <w:tcW w:w="160" w:type="dxa"/>
            <w:vAlign w:val="bottom"/>
            <w:tcBorders>
              <w:bottom w:val="single" w:sz="8" w:color="003A70"/>
            </w:tcBorders>
          </w:tcPr>
          <w:p>
            <w:pPr>
              <w:spacing w:after="0"/>
              <w:rPr>
                <w:sz w:val="15"/>
                <w:szCs w:val="15"/>
                <w:color w:val="auto"/>
              </w:rPr>
            </w:pPr>
          </w:p>
        </w:tc>
        <w:tc>
          <w:tcPr>
            <w:tcW w:w="820" w:type="dxa"/>
            <w:vAlign w:val="bottom"/>
            <w:tcBorders>
              <w:bottom w:val="single" w:sz="8" w:color="003A70"/>
            </w:tcBorders>
          </w:tcPr>
          <w:p>
            <w:pPr>
              <w:jc w:val="right"/>
              <w:ind w:right="100"/>
              <w:spacing w:after="0"/>
              <w:rPr>
                <w:sz w:val="20"/>
                <w:szCs w:val="20"/>
                <w:color w:val="auto"/>
              </w:rPr>
            </w:pPr>
            <w:r>
              <w:rPr>
                <w:rFonts w:ascii="Arial" w:cs="Arial" w:eastAsia="Arial" w:hAnsi="Arial"/>
                <w:sz w:val="14"/>
                <w:szCs w:val="14"/>
                <w:b w:val="1"/>
                <w:bCs w:val="1"/>
                <w:color w:val="003A70"/>
                <w:w w:val="99"/>
              </w:rPr>
              <w:t>Disability</w:t>
            </w:r>
          </w:p>
        </w:tc>
        <w:tc>
          <w:tcPr>
            <w:tcW w:w="180" w:type="dxa"/>
            <w:vAlign w:val="bottom"/>
            <w:tcBorders>
              <w:bottom w:val="single" w:sz="8" w:color="003A70"/>
            </w:tcBorders>
          </w:tcPr>
          <w:p>
            <w:pPr>
              <w:spacing w:after="0"/>
              <w:rPr>
                <w:sz w:val="15"/>
                <w:szCs w:val="15"/>
                <w:color w:val="auto"/>
              </w:rPr>
            </w:pPr>
          </w:p>
        </w:tc>
        <w:tc>
          <w:tcPr>
            <w:tcW w:w="800" w:type="dxa"/>
            <w:vAlign w:val="bottom"/>
            <w:tcBorders>
              <w:bottom w:val="single" w:sz="8" w:color="003A70"/>
            </w:tcBorders>
          </w:tcPr>
          <w:p>
            <w:pPr>
              <w:jc w:val="right"/>
              <w:ind w:right="220"/>
              <w:spacing w:after="0"/>
              <w:rPr>
                <w:sz w:val="20"/>
                <w:szCs w:val="20"/>
                <w:color w:val="auto"/>
              </w:rPr>
            </w:pPr>
            <w:r>
              <w:rPr>
                <w:rFonts w:ascii="Arial" w:cs="Arial" w:eastAsia="Arial" w:hAnsi="Arial"/>
                <w:sz w:val="14"/>
                <w:szCs w:val="14"/>
                <w:b w:val="1"/>
                <w:bCs w:val="1"/>
                <w:color w:val="003A70"/>
              </w:rPr>
              <w:t>Death</w:t>
            </w:r>
          </w:p>
        </w:tc>
        <w:tc>
          <w:tcPr>
            <w:tcW w:w="1000" w:type="dxa"/>
            <w:vAlign w:val="bottom"/>
            <w:tcBorders>
              <w:bottom w:val="single" w:sz="8" w:color="003A70"/>
            </w:tcBorders>
            <w:gridSpan w:val="2"/>
          </w:tcPr>
          <w:p>
            <w:pPr>
              <w:jc w:val="center"/>
              <w:spacing w:after="0" w:line="175" w:lineRule="exact"/>
              <w:rPr>
                <w:sz w:val="20"/>
                <w:szCs w:val="20"/>
                <w:color w:val="auto"/>
              </w:rPr>
            </w:pPr>
            <w:r>
              <w:rPr>
                <w:rFonts w:ascii="Arial" w:cs="Arial" w:eastAsia="Arial" w:hAnsi="Arial"/>
                <w:sz w:val="14"/>
                <w:szCs w:val="14"/>
                <w:b w:val="1"/>
                <w:bCs w:val="1"/>
                <w:color w:val="003A70"/>
              </w:rPr>
              <w:t>Termination</w:t>
            </w:r>
            <w:r>
              <w:rPr>
                <w:rFonts w:ascii="Arial" w:cs="Arial" w:eastAsia="Arial" w:hAnsi="Arial"/>
                <w:sz w:val="20"/>
                <w:szCs w:val="20"/>
                <w:color w:val="003A70"/>
                <w:vertAlign w:val="superscript"/>
              </w:rPr>
              <w:t>2</w:t>
            </w:r>
          </w:p>
        </w:tc>
        <w:tc>
          <w:tcPr>
            <w:tcW w:w="160" w:type="dxa"/>
            <w:vAlign w:val="bottom"/>
            <w:tcBorders>
              <w:bottom w:val="single" w:sz="8" w:color="003A70"/>
            </w:tcBorders>
          </w:tcPr>
          <w:p>
            <w:pPr>
              <w:spacing w:after="0"/>
              <w:rPr>
                <w:sz w:val="15"/>
                <w:szCs w:val="15"/>
                <w:color w:val="auto"/>
              </w:rPr>
            </w:pPr>
          </w:p>
        </w:tc>
        <w:tc>
          <w:tcPr>
            <w:tcW w:w="880" w:type="dxa"/>
            <w:vAlign w:val="bottom"/>
            <w:tcBorders>
              <w:bottom w:val="single" w:sz="8" w:color="003A70"/>
            </w:tcBorders>
          </w:tcPr>
          <w:p>
            <w:pPr>
              <w:jc w:val="center"/>
              <w:ind w:right="80"/>
              <w:spacing w:after="0" w:line="175" w:lineRule="exact"/>
              <w:rPr>
                <w:sz w:val="20"/>
                <w:szCs w:val="20"/>
                <w:color w:val="auto"/>
              </w:rPr>
            </w:pPr>
            <w:r>
              <w:rPr>
                <w:rFonts w:ascii="Arial" w:cs="Arial" w:eastAsia="Arial" w:hAnsi="Arial"/>
                <w:sz w:val="14"/>
                <w:szCs w:val="14"/>
                <w:b w:val="1"/>
                <w:bCs w:val="1"/>
                <w:color w:val="003A70"/>
                <w:w w:val="97"/>
              </w:rPr>
              <w:t>Control</w:t>
            </w:r>
            <w:r>
              <w:rPr>
                <w:rFonts w:ascii="Arial" w:cs="Arial" w:eastAsia="Arial" w:hAnsi="Arial"/>
                <w:sz w:val="20"/>
                <w:szCs w:val="20"/>
                <w:color w:val="003A70"/>
                <w:w w:val="97"/>
                <w:vertAlign w:val="superscript"/>
              </w:rPr>
              <w:t>3</w:t>
            </w:r>
          </w:p>
        </w:tc>
      </w:tr>
      <w:tr>
        <w:trPr>
          <w:trHeight w:val="174"/>
        </w:trPr>
        <w:tc>
          <w:tcPr>
            <w:tcW w:w="1940" w:type="dxa"/>
            <w:vAlign w:val="bottom"/>
            <w:gridSpan w:val="2"/>
          </w:tcPr>
          <w:p>
            <w:pPr>
              <w:spacing w:after="0" w:line="175" w:lineRule="exact"/>
              <w:rPr>
                <w:sz w:val="20"/>
                <w:szCs w:val="20"/>
                <w:color w:val="auto"/>
              </w:rPr>
            </w:pPr>
            <w:r>
              <w:rPr>
                <w:rFonts w:ascii="Arial" w:cs="Arial" w:eastAsia="Arial" w:hAnsi="Arial"/>
                <w:sz w:val="16"/>
                <w:szCs w:val="16"/>
                <w:color w:val="auto"/>
              </w:rPr>
              <w:t>J. Geller</w:t>
            </w:r>
          </w:p>
        </w:tc>
        <w:tc>
          <w:tcPr>
            <w:tcW w:w="3720" w:type="dxa"/>
            <w:vAlign w:val="bottom"/>
          </w:tcPr>
          <w:p>
            <w:pPr>
              <w:ind w:left="1160"/>
              <w:spacing w:after="0" w:line="175" w:lineRule="exact"/>
              <w:rPr>
                <w:sz w:val="20"/>
                <w:szCs w:val="20"/>
                <w:color w:val="auto"/>
              </w:rPr>
            </w:pPr>
            <w:r>
              <w:rPr>
                <w:rFonts w:ascii="Arial" w:cs="Arial" w:eastAsia="Arial" w:hAnsi="Arial"/>
                <w:sz w:val="16"/>
                <w:szCs w:val="16"/>
                <w:color w:val="auto"/>
              </w:rPr>
              <w:t>Cash Severance</w:t>
            </w:r>
          </w:p>
        </w:tc>
        <w:tc>
          <w:tcPr>
            <w:tcW w:w="520" w:type="dxa"/>
            <w:vAlign w:val="bottom"/>
          </w:tcPr>
          <w:p>
            <w:pPr>
              <w:ind w:left="420"/>
              <w:spacing w:after="0" w:line="175"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201"/>
              <w:spacing w:after="0" w:line="175" w:lineRule="exact"/>
              <w:rPr>
                <w:sz w:val="20"/>
                <w:szCs w:val="20"/>
                <w:color w:val="auto"/>
              </w:rPr>
            </w:pPr>
            <w:r>
              <w:rPr>
                <w:rFonts w:ascii="Arial" w:cs="Arial" w:eastAsia="Arial" w:hAnsi="Arial"/>
                <w:sz w:val="16"/>
                <w:szCs w:val="16"/>
                <w:color w:val="auto"/>
              </w:rPr>
              <w:t xml:space="preserve">$ </w:t>
            </w:r>
          </w:p>
        </w:tc>
        <w:tc>
          <w:tcPr>
            <w:tcW w:w="460" w:type="dxa"/>
            <w:vAlign w:val="bottom"/>
          </w:tcPr>
          <w:p>
            <w:pPr>
              <w:ind w:left="6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7,125,000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406,125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406,125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406,125</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1,425,000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64,367</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3,361,314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4,165,897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4,409,955</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7,076,419</w:t>
            </w:r>
          </w:p>
        </w:tc>
      </w:tr>
      <w:tr>
        <w:trPr>
          <w:trHeight w:val="202"/>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67,118</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67,118</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67,118</w:t>
            </w:r>
          </w:p>
        </w:tc>
      </w:tr>
      <w:tr>
        <w:trPr>
          <w:trHeight w:val="182"/>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160"/>
              <w:spacing w:after="0" w:line="182"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3,834,557</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4,572,022</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4,883,198</w:t>
            </w:r>
          </w:p>
        </w:tc>
        <w:tc>
          <w:tcPr>
            <w:tcW w:w="540" w:type="dxa"/>
            <w:vAlign w:val="bottom"/>
            <w:tcBorders>
              <w:bottom w:val="single" w:sz="8" w:color="auto"/>
            </w:tcBorders>
          </w:tcPr>
          <w:p>
            <w:pPr>
              <w:jc w:val="center"/>
              <w:ind w:left="201"/>
              <w:spacing w:after="0" w:line="182" w:lineRule="exact"/>
              <w:rPr>
                <w:sz w:val="20"/>
                <w:szCs w:val="20"/>
                <w:color w:val="auto"/>
              </w:rPr>
            </w:pPr>
            <w:r>
              <w:rPr>
                <w:rFonts w:ascii="Arial" w:cs="Arial" w:eastAsia="Arial" w:hAnsi="Arial"/>
                <w:sz w:val="16"/>
                <w:szCs w:val="16"/>
                <w:b w:val="1"/>
                <w:bCs w:val="1"/>
                <w:color w:val="auto"/>
              </w:rPr>
              <w:t xml:space="preserve">$ </w:t>
            </w:r>
          </w:p>
        </w:tc>
        <w:tc>
          <w:tcPr>
            <w:tcW w:w="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9"/>
              </w:rPr>
              <w:t>15,757,904</w:t>
            </w:r>
          </w:p>
        </w:tc>
      </w:tr>
      <w:tr>
        <w:trPr>
          <w:trHeight w:val="168"/>
        </w:trPr>
        <w:tc>
          <w:tcPr>
            <w:tcW w:w="2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Arial" w:cs="Arial" w:eastAsia="Arial" w:hAnsi="Arial"/>
                <w:sz w:val="16"/>
                <w:szCs w:val="16"/>
                <w:color w:val="auto"/>
              </w:rPr>
              <w:t>J. Marino</w:t>
            </w:r>
          </w:p>
        </w:tc>
        <w:tc>
          <w:tcPr>
            <w:tcW w:w="3720" w:type="dxa"/>
            <w:vAlign w:val="bottom"/>
          </w:tcPr>
          <w:p>
            <w:pPr>
              <w:ind w:left="116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ind w:left="420"/>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201"/>
              <w:spacing w:after="0" w:line="168" w:lineRule="exact"/>
              <w:rPr>
                <w:sz w:val="20"/>
                <w:szCs w:val="20"/>
                <w:color w:val="auto"/>
              </w:rPr>
            </w:pPr>
            <w:r>
              <w:rPr>
                <w:rFonts w:ascii="Arial" w:cs="Arial" w:eastAsia="Arial" w:hAnsi="Arial"/>
                <w:sz w:val="16"/>
                <w:szCs w:val="16"/>
                <w:color w:val="auto"/>
              </w:rPr>
              <w:t xml:space="preserve">$ </w:t>
            </w:r>
          </w:p>
        </w:tc>
        <w:tc>
          <w:tcPr>
            <w:tcW w:w="460" w:type="dxa"/>
            <w:vAlign w:val="bottom"/>
          </w:tcPr>
          <w:p>
            <w:pPr>
              <w:ind w:left="60"/>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color w:val="auto"/>
              </w:rPr>
              <w:t>2,000,000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142,500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142,500</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42,316</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596,401</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1,227,465</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1,843,953</w:t>
            </w:r>
          </w:p>
        </w:tc>
      </w:tr>
      <w:tr>
        <w:trPr>
          <w:trHeight w:val="202"/>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21,945</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21,945</w:t>
            </w:r>
          </w:p>
        </w:tc>
      </w:tr>
      <w:tr>
        <w:trPr>
          <w:trHeight w:val="182"/>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160"/>
              <w:spacing w:after="0" w:line="182"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738,901</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1,391,910</w:t>
            </w:r>
          </w:p>
        </w:tc>
        <w:tc>
          <w:tcPr>
            <w:tcW w:w="540" w:type="dxa"/>
            <w:vAlign w:val="bottom"/>
            <w:tcBorders>
              <w:bottom w:val="single" w:sz="8" w:color="auto"/>
            </w:tcBorders>
          </w:tcPr>
          <w:p>
            <w:pPr>
              <w:jc w:val="center"/>
              <w:ind w:left="201"/>
              <w:spacing w:after="0" w:line="182" w:lineRule="exact"/>
              <w:rPr>
                <w:sz w:val="20"/>
                <w:szCs w:val="20"/>
                <w:color w:val="auto"/>
              </w:rPr>
            </w:pPr>
            <w:r>
              <w:rPr>
                <w:rFonts w:ascii="Arial" w:cs="Arial" w:eastAsia="Arial" w:hAnsi="Arial"/>
                <w:sz w:val="16"/>
                <w:szCs w:val="16"/>
                <w:b w:val="1"/>
                <w:bCs w:val="1"/>
                <w:color w:val="auto"/>
              </w:rPr>
              <w:t xml:space="preserve">$ </w:t>
            </w:r>
          </w:p>
        </w:tc>
        <w:tc>
          <w:tcPr>
            <w:tcW w:w="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4,408,214</w:t>
            </w:r>
          </w:p>
        </w:tc>
      </w:tr>
      <w:tr>
        <w:trPr>
          <w:trHeight w:val="168"/>
        </w:trPr>
        <w:tc>
          <w:tcPr>
            <w:tcW w:w="2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Arial" w:cs="Arial" w:eastAsia="Arial" w:hAnsi="Arial"/>
                <w:sz w:val="16"/>
                <w:szCs w:val="16"/>
                <w:color w:val="auto"/>
              </w:rPr>
              <w:t>B. Miller</w:t>
            </w:r>
          </w:p>
        </w:tc>
        <w:tc>
          <w:tcPr>
            <w:tcW w:w="3720" w:type="dxa"/>
            <w:vAlign w:val="bottom"/>
          </w:tcPr>
          <w:p>
            <w:pPr>
              <w:ind w:left="116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ind w:left="420"/>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201"/>
              <w:spacing w:after="0" w:line="168" w:lineRule="exact"/>
              <w:rPr>
                <w:sz w:val="20"/>
                <w:szCs w:val="20"/>
                <w:color w:val="auto"/>
              </w:rPr>
            </w:pPr>
            <w:r>
              <w:rPr>
                <w:rFonts w:ascii="Arial" w:cs="Arial" w:eastAsia="Arial" w:hAnsi="Arial"/>
                <w:sz w:val="16"/>
                <w:szCs w:val="16"/>
                <w:color w:val="auto"/>
              </w:rPr>
              <w:t xml:space="preserve">$ </w:t>
            </w:r>
          </w:p>
        </w:tc>
        <w:tc>
          <w:tcPr>
            <w:tcW w:w="460" w:type="dxa"/>
            <w:vAlign w:val="bottom"/>
          </w:tcPr>
          <w:p>
            <w:pPr>
              <w:ind w:left="60"/>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color w:val="auto"/>
              </w:rPr>
              <w:t>3,268,000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232,845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232,845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232,845</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817,000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39,578</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1,096,965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1,398,676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1,469,863</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2,283,974</w:t>
            </w:r>
          </w:p>
        </w:tc>
      </w:tr>
      <w:tr>
        <w:trPr>
          <w:trHeight w:val="202"/>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61,047</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61,047</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61,047</w:t>
            </w:r>
          </w:p>
        </w:tc>
      </w:tr>
      <w:tr>
        <w:trPr>
          <w:trHeight w:val="182"/>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160"/>
              <w:spacing w:after="0" w:line="182"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1,390,857</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1,631,521</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1,763,755</w:t>
            </w:r>
          </w:p>
        </w:tc>
        <w:tc>
          <w:tcPr>
            <w:tcW w:w="540" w:type="dxa"/>
            <w:vAlign w:val="bottom"/>
            <w:tcBorders>
              <w:bottom w:val="single" w:sz="8" w:color="auto"/>
            </w:tcBorders>
          </w:tcPr>
          <w:p>
            <w:pPr>
              <w:jc w:val="center"/>
              <w:ind w:left="201"/>
              <w:spacing w:after="0" w:line="182" w:lineRule="exact"/>
              <w:rPr>
                <w:sz w:val="20"/>
                <w:szCs w:val="20"/>
                <w:color w:val="auto"/>
              </w:rPr>
            </w:pPr>
            <w:r>
              <w:rPr>
                <w:rFonts w:ascii="Arial" w:cs="Arial" w:eastAsia="Arial" w:hAnsi="Arial"/>
                <w:sz w:val="16"/>
                <w:szCs w:val="16"/>
                <w:b w:val="1"/>
                <w:bCs w:val="1"/>
                <w:color w:val="auto"/>
              </w:rPr>
              <w:t xml:space="preserve">$ </w:t>
            </w:r>
          </w:p>
        </w:tc>
        <w:tc>
          <w:tcPr>
            <w:tcW w:w="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6,469,599</w:t>
            </w:r>
          </w:p>
        </w:tc>
      </w:tr>
      <w:tr>
        <w:trPr>
          <w:trHeight w:val="168"/>
        </w:trPr>
        <w:tc>
          <w:tcPr>
            <w:tcW w:w="2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Arial" w:cs="Arial" w:eastAsia="Arial" w:hAnsi="Arial"/>
                <w:sz w:val="16"/>
                <w:szCs w:val="16"/>
                <w:color w:val="auto"/>
              </w:rPr>
              <w:t>J. Hunter</w:t>
            </w:r>
          </w:p>
        </w:tc>
        <w:tc>
          <w:tcPr>
            <w:tcW w:w="3720" w:type="dxa"/>
            <w:vAlign w:val="bottom"/>
          </w:tcPr>
          <w:p>
            <w:pPr>
              <w:ind w:left="116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ind w:left="420"/>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201"/>
              <w:spacing w:after="0" w:line="168" w:lineRule="exact"/>
              <w:rPr>
                <w:sz w:val="20"/>
                <w:szCs w:val="20"/>
                <w:color w:val="auto"/>
              </w:rPr>
            </w:pPr>
            <w:r>
              <w:rPr>
                <w:rFonts w:ascii="Arial" w:cs="Arial" w:eastAsia="Arial" w:hAnsi="Arial"/>
                <w:sz w:val="16"/>
                <w:szCs w:val="16"/>
                <w:color w:val="auto"/>
              </w:rPr>
              <w:t xml:space="preserve">$ </w:t>
            </w:r>
          </w:p>
        </w:tc>
        <w:tc>
          <w:tcPr>
            <w:tcW w:w="460" w:type="dxa"/>
            <w:vAlign w:val="bottom"/>
          </w:tcPr>
          <w:p>
            <w:pPr>
              <w:ind w:left="60"/>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color w:val="auto"/>
              </w:rPr>
              <w:t>1,942,400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138,396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138,396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138,396</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485,600</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40,581</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780,419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981,579</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1,032,427</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1,606,162</w:t>
            </w:r>
          </w:p>
        </w:tc>
      </w:tr>
      <w:tr>
        <w:trPr>
          <w:trHeight w:val="202"/>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37,706</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37,706</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37,706</w:t>
            </w:r>
          </w:p>
        </w:tc>
      </w:tr>
      <w:tr>
        <w:trPr>
          <w:trHeight w:val="182"/>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160"/>
              <w:spacing w:after="0" w:line="182"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956,521</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1,119,975</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w w:val="98"/>
              </w:rPr>
              <w:t>1,208,529</w:t>
            </w:r>
          </w:p>
        </w:tc>
        <w:tc>
          <w:tcPr>
            <w:tcW w:w="540" w:type="dxa"/>
            <w:vAlign w:val="bottom"/>
            <w:tcBorders>
              <w:bottom w:val="single" w:sz="8" w:color="auto"/>
            </w:tcBorders>
          </w:tcPr>
          <w:p>
            <w:pPr>
              <w:jc w:val="center"/>
              <w:ind w:left="201"/>
              <w:spacing w:after="0" w:line="182" w:lineRule="exact"/>
              <w:rPr>
                <w:sz w:val="20"/>
                <w:szCs w:val="20"/>
                <w:color w:val="auto"/>
              </w:rPr>
            </w:pPr>
            <w:r>
              <w:rPr>
                <w:rFonts w:ascii="Arial" w:cs="Arial" w:eastAsia="Arial" w:hAnsi="Arial"/>
                <w:sz w:val="16"/>
                <w:szCs w:val="16"/>
                <w:b w:val="1"/>
                <w:bCs w:val="1"/>
                <w:color w:val="auto"/>
              </w:rPr>
              <w:t xml:space="preserve">$ </w:t>
            </w:r>
          </w:p>
        </w:tc>
        <w:tc>
          <w:tcPr>
            <w:tcW w:w="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4,112,449</w:t>
            </w:r>
          </w:p>
        </w:tc>
      </w:tr>
      <w:tr>
        <w:trPr>
          <w:trHeight w:val="168"/>
        </w:trPr>
        <w:tc>
          <w:tcPr>
            <w:tcW w:w="2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Arial" w:cs="Arial" w:eastAsia="Arial" w:hAnsi="Arial"/>
                <w:sz w:val="13"/>
                <w:szCs w:val="13"/>
                <w:color w:val="auto"/>
              </w:rPr>
              <w:t>J. Marbert</w:t>
            </w:r>
            <w:r>
              <w:rPr>
                <w:rFonts w:ascii="Arial" w:cs="Arial" w:eastAsia="Arial" w:hAnsi="Arial"/>
                <w:sz w:val="19"/>
                <w:szCs w:val="19"/>
                <w:color w:val="auto"/>
                <w:vertAlign w:val="superscript"/>
              </w:rPr>
              <w:t>8</w:t>
            </w:r>
          </w:p>
        </w:tc>
        <w:tc>
          <w:tcPr>
            <w:tcW w:w="3720" w:type="dxa"/>
            <w:vAlign w:val="bottom"/>
          </w:tcPr>
          <w:p>
            <w:pPr>
              <w:ind w:left="116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ind w:left="420"/>
              <w:spacing w:after="0" w:line="168"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540" w:type="dxa"/>
            <w:vAlign w:val="bottom"/>
          </w:tcPr>
          <w:p>
            <w:pPr>
              <w:jc w:val="center"/>
              <w:ind w:left="201"/>
              <w:spacing w:after="0" w:line="168" w:lineRule="exact"/>
              <w:rPr>
                <w:sz w:val="20"/>
                <w:szCs w:val="20"/>
                <w:color w:val="auto"/>
              </w:rPr>
            </w:pPr>
            <w:r>
              <w:rPr>
                <w:rFonts w:ascii="Arial" w:cs="Arial" w:eastAsia="Arial" w:hAnsi="Arial"/>
                <w:sz w:val="16"/>
                <w:szCs w:val="16"/>
                <w:color w:val="auto"/>
              </w:rPr>
              <w:t xml:space="preserve">$ </w:t>
            </w:r>
          </w:p>
        </w:tc>
        <w:tc>
          <w:tcPr>
            <w:tcW w:w="460" w:type="dxa"/>
            <w:vAlign w:val="bottom"/>
          </w:tcPr>
          <w:p>
            <w:pPr>
              <w:ind w:left="60"/>
              <w:spacing w:after="0" w:line="168"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364,192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20" w:type="dxa"/>
            <w:vAlign w:val="bottom"/>
          </w:tcPr>
          <w:p>
            <w:pPr>
              <w:ind w:left="116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494,128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ind w:left="116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160"/>
              <w:spacing w:after="0" w:line="182"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858,320</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center"/>
              <w:ind w:left="201"/>
              <w:spacing w:after="0" w:line="182" w:lineRule="exact"/>
              <w:rPr>
                <w:sz w:val="20"/>
                <w:szCs w:val="20"/>
                <w:color w:val="auto"/>
              </w:rPr>
            </w:pPr>
            <w:r>
              <w:rPr>
                <w:rFonts w:ascii="Arial" w:cs="Arial" w:eastAsia="Arial" w:hAnsi="Arial"/>
                <w:sz w:val="16"/>
                <w:szCs w:val="16"/>
                <w:b w:val="1"/>
                <w:bCs w:val="1"/>
                <w:color w:val="auto"/>
              </w:rPr>
              <w:t xml:space="preserve">$ </w:t>
            </w:r>
          </w:p>
        </w:tc>
        <w:tc>
          <w:tcPr>
            <w:tcW w:w="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r>
      <w:tr>
        <w:trPr>
          <w:trHeight w:val="263"/>
        </w:trPr>
        <w:tc>
          <w:tcPr>
            <w:tcW w:w="194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44</w:t>
            </w:r>
          </w:p>
        </w:tc>
        <w:tc>
          <w:tcPr>
            <w:tcW w:w="5040" w:type="dxa"/>
            <w:vAlign w:val="bottom"/>
            <w:tcBorders>
              <w:bottom w:val="single" w:sz="8" w:color="003A70"/>
            </w:tcBorders>
            <w:gridSpan w:val="3"/>
          </w:tcPr>
          <w:p>
            <w:pPr>
              <w:ind w:left="2420"/>
              <w:spacing w:after="0"/>
              <w:rPr>
                <w:sz w:val="20"/>
                <w:szCs w:val="20"/>
                <w:color w:val="auto"/>
              </w:rPr>
            </w:pPr>
            <w:r>
              <w:rPr>
                <w:rFonts w:ascii="Arial" w:cs="Arial" w:eastAsia="Arial" w:hAnsi="Arial"/>
                <w:sz w:val="11"/>
                <w:szCs w:val="11"/>
                <w:color w:val="auto"/>
              </w:rPr>
              <w:t>Executive Compensation Tables and Discussion</w:t>
            </w:r>
          </w:p>
        </w:tc>
        <w:tc>
          <w:tcPr>
            <w:tcW w:w="160" w:type="dxa"/>
            <w:vAlign w:val="bottom"/>
            <w:tcBorders>
              <w:bottom w:val="single" w:sz="8" w:color="003A70"/>
            </w:tcBorders>
          </w:tcPr>
          <w:p>
            <w:pPr>
              <w:spacing w:after="0"/>
              <w:rPr>
                <w:sz w:val="22"/>
                <w:szCs w:val="22"/>
                <w:color w:val="auto"/>
              </w:rPr>
            </w:pPr>
          </w:p>
        </w:tc>
        <w:tc>
          <w:tcPr>
            <w:tcW w:w="3840" w:type="dxa"/>
            <w:vAlign w:val="bottom"/>
            <w:tcBorders>
              <w:bottom w:val="single" w:sz="8" w:color="003A70"/>
            </w:tcBorders>
            <w:gridSpan w:val="7"/>
          </w:tcPr>
          <w:p>
            <w:pPr>
              <w:jc w:val="center"/>
              <w:ind w:left="480"/>
              <w:spacing w:after="0"/>
              <w:rPr>
                <w:sz w:val="20"/>
                <w:szCs w:val="20"/>
                <w:color w:val="auto"/>
              </w:rPr>
            </w:pPr>
            <w:r>
              <w:rPr>
                <w:rFonts w:ascii="Arial" w:cs="Arial" w:eastAsia="Arial" w:hAnsi="Arial"/>
                <w:sz w:val="11"/>
                <w:szCs w:val="11"/>
                <w:color w:val="auto"/>
                <w:w w:val="97"/>
              </w:rPr>
              <w:t xml:space="preserve">2025 PROXY STATEMENT </w:t>
            </w:r>
            <w:r>
              <w:rPr>
                <w:rFonts w:ascii="Arial" w:cs="Arial" w:eastAsia="Arial" w:hAnsi="Arial"/>
                <w:sz w:val="11"/>
                <w:szCs w:val="11"/>
                <w:b w:val="1"/>
                <w:bCs w:val="1"/>
                <w:color w:val="003A70"/>
                <w:w w:val="97"/>
              </w:rPr>
              <w:t>MARRIOTT VACATIONS WORLDWIDE</w:t>
            </w:r>
          </w:p>
        </w:tc>
      </w:tr>
    </w:tbl>
    <w:p>
      <w:pPr>
        <w:sectPr>
          <w:pgSz w:w="11900" w:h="16838" w:orient="portrait"/>
          <w:cols w:equalWidth="0" w:num="1">
            <w:col w:w="11120"/>
          </w:cols>
          <w:pgMar w:left="320" w:top="48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Termination</w:t>
            </w:r>
          </w:p>
        </w:tc>
      </w:tr>
      <w:tr>
        <w:trPr>
          <w:trHeight w:val="161"/>
        </w:trPr>
        <w:tc>
          <w:tcPr>
            <w:tcW w:w="20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A70"/>
              </w:rPr>
              <w:t>Following</w:t>
            </w:r>
          </w:p>
        </w:tc>
      </w:tr>
      <w:tr>
        <w:trPr>
          <w:trHeight w:val="157"/>
        </w:trPr>
        <w:tc>
          <w:tcPr>
            <w:tcW w:w="20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A70"/>
              </w:rPr>
              <w:t>Involuntary</w:t>
            </w: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003A70"/>
              </w:rPr>
              <w:t>Change In</w:t>
            </w:r>
          </w:p>
        </w:tc>
      </w:tr>
      <w:tr>
        <w:trPr>
          <w:trHeight w:val="182"/>
        </w:trPr>
        <w:tc>
          <w:tcPr>
            <w:tcW w:w="20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3680" w:type="dxa"/>
            <w:vAlign w:val="bottom"/>
            <w:tcBorders>
              <w:bottom w:val="single" w:sz="8" w:color="003A70"/>
            </w:tcBorders>
          </w:tcPr>
          <w:p>
            <w:pPr>
              <w:ind w:left="1100"/>
              <w:spacing w:after="0"/>
              <w:rPr>
                <w:sz w:val="20"/>
                <w:szCs w:val="20"/>
                <w:color w:val="auto"/>
              </w:rPr>
            </w:pPr>
            <w:r>
              <w:rPr>
                <w:rFonts w:ascii="Arial" w:cs="Arial" w:eastAsia="Arial" w:hAnsi="Arial"/>
                <w:sz w:val="14"/>
                <w:szCs w:val="14"/>
                <w:b w:val="1"/>
                <w:bCs w:val="1"/>
                <w:color w:val="003A70"/>
              </w:rPr>
              <w:t>Plan</w:t>
            </w:r>
          </w:p>
        </w:tc>
        <w:tc>
          <w:tcPr>
            <w:tcW w:w="1360" w:type="dxa"/>
            <w:vAlign w:val="bottom"/>
            <w:tcBorders>
              <w:bottom w:val="single" w:sz="8" w:color="003A70"/>
            </w:tcBorders>
            <w:gridSpan w:val="2"/>
          </w:tcPr>
          <w:p>
            <w:pPr>
              <w:jc w:val="right"/>
              <w:ind w:right="59"/>
              <w:spacing w:after="0" w:line="175" w:lineRule="exact"/>
              <w:rPr>
                <w:sz w:val="20"/>
                <w:szCs w:val="20"/>
                <w:color w:val="auto"/>
              </w:rPr>
            </w:pPr>
            <w:r>
              <w:rPr>
                <w:rFonts w:ascii="Arial" w:cs="Arial" w:eastAsia="Arial" w:hAnsi="Arial"/>
                <w:sz w:val="14"/>
                <w:szCs w:val="14"/>
                <w:b w:val="1"/>
                <w:bCs w:val="1"/>
                <w:color w:val="003A70"/>
              </w:rPr>
              <w:t>Retirement</w:t>
            </w:r>
            <w:r>
              <w:rPr>
                <w:rFonts w:ascii="Arial" w:cs="Arial" w:eastAsia="Arial" w:hAnsi="Arial"/>
                <w:sz w:val="20"/>
                <w:szCs w:val="20"/>
                <w:color w:val="003A70"/>
                <w:vertAlign w:val="superscript"/>
              </w:rPr>
              <w:t>1</w:t>
            </w:r>
          </w:p>
        </w:tc>
        <w:tc>
          <w:tcPr>
            <w:tcW w:w="920" w:type="dxa"/>
            <w:vAlign w:val="bottom"/>
            <w:tcBorders>
              <w:bottom w:val="single" w:sz="8" w:color="003A70"/>
            </w:tcBorders>
            <w:gridSpan w:val="2"/>
          </w:tcPr>
          <w:p>
            <w:pPr>
              <w:jc w:val="right"/>
              <w:ind w:right="59"/>
              <w:spacing w:after="0"/>
              <w:rPr>
                <w:sz w:val="20"/>
                <w:szCs w:val="20"/>
                <w:color w:val="auto"/>
              </w:rPr>
            </w:pPr>
            <w:r>
              <w:rPr>
                <w:rFonts w:ascii="Arial" w:cs="Arial" w:eastAsia="Arial" w:hAnsi="Arial"/>
                <w:sz w:val="14"/>
                <w:szCs w:val="14"/>
                <w:b w:val="1"/>
                <w:bCs w:val="1"/>
                <w:color w:val="003A70"/>
              </w:rPr>
              <w:t>Disability</w:t>
            </w:r>
          </w:p>
        </w:tc>
        <w:tc>
          <w:tcPr>
            <w:tcW w:w="220" w:type="dxa"/>
            <w:vAlign w:val="bottom"/>
            <w:tcBorders>
              <w:bottom w:val="single" w:sz="8" w:color="003A70"/>
            </w:tcBorders>
          </w:tcPr>
          <w:p>
            <w:pPr>
              <w:spacing w:after="0"/>
              <w:rPr>
                <w:sz w:val="15"/>
                <w:szCs w:val="15"/>
                <w:color w:val="auto"/>
              </w:rPr>
            </w:pPr>
          </w:p>
        </w:tc>
        <w:tc>
          <w:tcPr>
            <w:tcW w:w="720" w:type="dxa"/>
            <w:vAlign w:val="bottom"/>
            <w:tcBorders>
              <w:bottom w:val="single" w:sz="8" w:color="003A70"/>
            </w:tcBorders>
          </w:tcPr>
          <w:p>
            <w:pPr>
              <w:jc w:val="right"/>
              <w:ind w:right="181"/>
              <w:spacing w:after="0"/>
              <w:rPr>
                <w:sz w:val="20"/>
                <w:szCs w:val="20"/>
                <w:color w:val="auto"/>
              </w:rPr>
            </w:pPr>
            <w:r>
              <w:rPr>
                <w:rFonts w:ascii="Arial" w:cs="Arial" w:eastAsia="Arial" w:hAnsi="Arial"/>
                <w:sz w:val="14"/>
                <w:szCs w:val="14"/>
                <w:b w:val="1"/>
                <w:bCs w:val="1"/>
                <w:color w:val="003A70"/>
              </w:rPr>
              <w:t>Death</w:t>
            </w:r>
          </w:p>
        </w:tc>
        <w:tc>
          <w:tcPr>
            <w:tcW w:w="1100" w:type="dxa"/>
            <w:vAlign w:val="bottom"/>
            <w:tcBorders>
              <w:bottom w:val="single" w:sz="8" w:color="003A70"/>
            </w:tcBorders>
            <w:gridSpan w:val="2"/>
          </w:tcPr>
          <w:p>
            <w:pPr>
              <w:jc w:val="center"/>
              <w:spacing w:after="0" w:line="175" w:lineRule="exact"/>
              <w:rPr>
                <w:sz w:val="20"/>
                <w:szCs w:val="20"/>
                <w:color w:val="auto"/>
              </w:rPr>
            </w:pPr>
            <w:r>
              <w:rPr>
                <w:rFonts w:ascii="Arial" w:cs="Arial" w:eastAsia="Arial" w:hAnsi="Arial"/>
                <w:sz w:val="14"/>
                <w:szCs w:val="14"/>
                <w:b w:val="1"/>
                <w:bCs w:val="1"/>
                <w:color w:val="003A70"/>
                <w:w w:val="98"/>
              </w:rPr>
              <w:t>Termination</w:t>
            </w:r>
            <w:r>
              <w:rPr>
                <w:rFonts w:ascii="Arial" w:cs="Arial" w:eastAsia="Arial" w:hAnsi="Arial"/>
                <w:sz w:val="20"/>
                <w:szCs w:val="20"/>
                <w:color w:val="003A70"/>
                <w:w w:val="98"/>
                <w:vertAlign w:val="superscript"/>
              </w:rPr>
              <w:t>2</w:t>
            </w:r>
          </w:p>
        </w:tc>
        <w:tc>
          <w:tcPr>
            <w:tcW w:w="980" w:type="dxa"/>
            <w:vAlign w:val="bottom"/>
            <w:tcBorders>
              <w:bottom w:val="single" w:sz="8" w:color="003A70"/>
            </w:tcBorders>
          </w:tcPr>
          <w:p>
            <w:pPr>
              <w:jc w:val="center"/>
              <w:spacing w:after="0" w:line="175" w:lineRule="exact"/>
              <w:rPr>
                <w:sz w:val="20"/>
                <w:szCs w:val="20"/>
                <w:color w:val="auto"/>
              </w:rPr>
            </w:pPr>
            <w:r>
              <w:rPr>
                <w:rFonts w:ascii="Arial" w:cs="Arial" w:eastAsia="Arial" w:hAnsi="Arial"/>
                <w:sz w:val="14"/>
                <w:szCs w:val="14"/>
                <w:b w:val="1"/>
                <w:bCs w:val="1"/>
                <w:color w:val="003A70"/>
              </w:rPr>
              <w:t>Control</w:t>
            </w:r>
            <w:r>
              <w:rPr>
                <w:rFonts w:ascii="Arial" w:cs="Arial" w:eastAsia="Arial" w:hAnsi="Arial"/>
                <w:sz w:val="20"/>
                <w:szCs w:val="20"/>
                <w:color w:val="003A70"/>
                <w:vertAlign w:val="superscript"/>
              </w:rPr>
              <w:t>3</w:t>
            </w:r>
          </w:p>
        </w:tc>
      </w:tr>
      <w:tr>
        <w:trPr>
          <w:trHeight w:val="174"/>
        </w:trPr>
        <w:tc>
          <w:tcPr>
            <w:tcW w:w="2000" w:type="dxa"/>
            <w:vAlign w:val="bottom"/>
          </w:tcPr>
          <w:p>
            <w:pPr>
              <w:spacing w:after="0" w:line="175" w:lineRule="exact"/>
              <w:rPr>
                <w:sz w:val="20"/>
                <w:szCs w:val="20"/>
                <w:color w:val="auto"/>
              </w:rPr>
            </w:pPr>
            <w:r>
              <w:rPr>
                <w:rFonts w:ascii="Arial" w:cs="Arial" w:eastAsia="Arial" w:hAnsi="Arial"/>
                <w:sz w:val="16"/>
                <w:szCs w:val="16"/>
                <w:color w:val="auto"/>
              </w:rPr>
              <w:t>L. Gustafson</w:t>
            </w:r>
          </w:p>
        </w:tc>
        <w:tc>
          <w:tcPr>
            <w:tcW w:w="3680" w:type="dxa"/>
            <w:vAlign w:val="bottom"/>
          </w:tcPr>
          <w:p>
            <w:pPr>
              <w:ind w:left="1100"/>
              <w:spacing w:after="0" w:line="175" w:lineRule="exact"/>
              <w:rPr>
                <w:sz w:val="20"/>
                <w:szCs w:val="20"/>
                <w:color w:val="auto"/>
              </w:rPr>
            </w:pPr>
            <w:r>
              <w:rPr>
                <w:rFonts w:ascii="Arial" w:cs="Arial" w:eastAsia="Arial" w:hAnsi="Arial"/>
                <w:sz w:val="16"/>
                <w:szCs w:val="16"/>
                <w:color w:val="auto"/>
              </w:rPr>
              <w:t>Cash Severance</w:t>
            </w:r>
          </w:p>
        </w:tc>
        <w:tc>
          <w:tcPr>
            <w:tcW w:w="7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w:t>
            </w:r>
          </w:p>
        </w:tc>
        <w:tc>
          <w:tcPr>
            <w:tcW w:w="580" w:type="dxa"/>
            <w:vAlign w:val="bottom"/>
          </w:tcPr>
          <w:p>
            <w:pPr>
              <w:ind w:left="400"/>
              <w:spacing w:after="0" w:line="175" w:lineRule="exact"/>
              <w:rPr>
                <w:sz w:val="20"/>
                <w:szCs w:val="20"/>
                <w:color w:val="auto"/>
              </w:rPr>
            </w:pPr>
            <w:r>
              <w:rPr>
                <w:rFonts w:ascii="Arial" w:cs="Arial" w:eastAsia="Arial" w:hAnsi="Arial"/>
                <w:sz w:val="16"/>
                <w:szCs w:val="16"/>
                <w:color w:val="auto"/>
              </w:rPr>
              <w:t xml:space="preserve">$ </w:t>
            </w:r>
          </w:p>
        </w:tc>
        <w:tc>
          <w:tcPr>
            <w:tcW w:w="520" w:type="dxa"/>
            <w:vAlign w:val="bottom"/>
          </w:tcPr>
          <w:p>
            <w:pPr>
              <w:ind w:left="6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$1,673,900</w:t>
            </w:r>
          </w:p>
        </w:tc>
      </w:tr>
      <w:tr>
        <w:trPr>
          <w:trHeight w:val="188"/>
        </w:trPr>
        <w:tc>
          <w:tcPr>
            <w:tcW w:w="2000" w:type="dxa"/>
            <w:vAlign w:val="bottom"/>
          </w:tcPr>
          <w:p>
            <w:pPr>
              <w:spacing w:after="0"/>
              <w:rPr>
                <w:sz w:val="16"/>
                <w:szCs w:val="16"/>
                <w:color w:val="auto"/>
              </w:rPr>
            </w:pPr>
          </w:p>
        </w:tc>
        <w:tc>
          <w:tcPr>
            <w:tcW w:w="3680" w:type="dxa"/>
            <w:vAlign w:val="bottom"/>
          </w:tcPr>
          <w:p>
            <w:pPr>
              <w:ind w:left="110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78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112,988</w:t>
            </w:r>
          </w:p>
        </w:tc>
        <w:tc>
          <w:tcPr>
            <w:tcW w:w="22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112,988</w:t>
            </w:r>
          </w:p>
        </w:tc>
        <w:tc>
          <w:tcPr>
            <w:tcW w:w="58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396,450</w:t>
            </w:r>
          </w:p>
        </w:tc>
      </w:tr>
      <w:tr>
        <w:trPr>
          <w:trHeight w:val="188"/>
        </w:trPr>
        <w:tc>
          <w:tcPr>
            <w:tcW w:w="2000" w:type="dxa"/>
            <w:vAlign w:val="bottom"/>
          </w:tcPr>
          <w:p>
            <w:pPr>
              <w:spacing w:after="0"/>
              <w:rPr>
                <w:sz w:val="16"/>
                <w:szCs w:val="16"/>
                <w:color w:val="auto"/>
              </w:rPr>
            </w:pPr>
          </w:p>
        </w:tc>
        <w:tc>
          <w:tcPr>
            <w:tcW w:w="3680" w:type="dxa"/>
            <w:vAlign w:val="bottom"/>
          </w:tcPr>
          <w:p>
            <w:pPr>
              <w:ind w:left="110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78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42,342</w:t>
            </w:r>
          </w:p>
        </w:tc>
      </w:tr>
      <w:tr>
        <w:trPr>
          <w:trHeight w:val="188"/>
        </w:trPr>
        <w:tc>
          <w:tcPr>
            <w:tcW w:w="2000" w:type="dxa"/>
            <w:vAlign w:val="bottom"/>
          </w:tcPr>
          <w:p>
            <w:pPr>
              <w:spacing w:after="0"/>
              <w:rPr>
                <w:sz w:val="16"/>
                <w:szCs w:val="16"/>
                <w:color w:val="auto"/>
              </w:rPr>
            </w:pPr>
          </w:p>
        </w:tc>
        <w:tc>
          <w:tcPr>
            <w:tcW w:w="3680" w:type="dxa"/>
            <w:vAlign w:val="bottom"/>
          </w:tcPr>
          <w:p>
            <w:pPr>
              <w:ind w:left="110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78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367,200</w:t>
            </w:r>
          </w:p>
        </w:tc>
        <w:tc>
          <w:tcPr>
            <w:tcW w:w="220" w:type="dxa"/>
            <w:vAlign w:val="bottom"/>
          </w:tcPr>
          <w:p>
            <w:pPr>
              <w:spacing w:after="0"/>
              <w:rPr>
                <w:sz w:val="16"/>
                <w:szCs w:val="16"/>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623,720</w:t>
            </w:r>
          </w:p>
        </w:tc>
        <w:tc>
          <w:tcPr>
            <w:tcW w:w="58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999,653</w:t>
            </w:r>
          </w:p>
        </w:tc>
      </w:tr>
      <w:tr>
        <w:trPr>
          <w:trHeight w:val="202"/>
        </w:trPr>
        <w:tc>
          <w:tcPr>
            <w:tcW w:w="20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00"/>
              <w:spacing w:after="0" w:line="202"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20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00"/>
              <w:spacing w:after="0" w:line="182" w:lineRule="exact"/>
              <w:rPr>
                <w:sz w:val="20"/>
                <w:szCs w:val="20"/>
                <w:color w:val="auto"/>
              </w:rPr>
            </w:pPr>
            <w:r>
              <w:rPr>
                <w:rFonts w:ascii="Arial" w:cs="Arial" w:eastAsia="Arial" w:hAnsi="Arial"/>
                <w:sz w:val="16"/>
                <w:szCs w:val="16"/>
                <w:b w:val="1"/>
                <w:bCs w:val="1"/>
                <w:color w:val="auto"/>
              </w:rPr>
              <w:t>Total</w:t>
            </w:r>
          </w:p>
        </w:tc>
        <w:tc>
          <w:tcPr>
            <w:tcW w:w="780" w:type="dxa"/>
            <w:vAlign w:val="bottom"/>
            <w:tcBorders>
              <w:bottom w:val="single" w:sz="8" w:color="auto"/>
            </w:tcBorders>
          </w:tcPr>
          <w:p>
            <w:pPr>
              <w:jc w:val="right"/>
              <w:ind w:right="203"/>
              <w:spacing w:after="0" w:line="182"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b w:val="1"/>
                <w:bCs w:val="1"/>
                <w:color w:val="auto"/>
              </w:rPr>
              <w:t>480,188</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b w:val="1"/>
                <w:bCs w:val="1"/>
                <w:color w:val="auto"/>
              </w:rPr>
              <w:t>736,708</w:t>
            </w:r>
          </w:p>
        </w:tc>
        <w:tc>
          <w:tcPr>
            <w:tcW w:w="580" w:type="dxa"/>
            <w:vAlign w:val="bottom"/>
            <w:tcBorders>
              <w:bottom w:val="single" w:sz="8" w:color="auto"/>
            </w:tcBorders>
          </w:tcPr>
          <w:p>
            <w:pPr>
              <w:ind w:left="400"/>
              <w:spacing w:after="0" w:line="182" w:lineRule="exact"/>
              <w:rPr>
                <w:sz w:val="20"/>
                <w:szCs w:val="20"/>
                <w:color w:val="auto"/>
              </w:rPr>
            </w:pPr>
            <w:r>
              <w:rPr>
                <w:rFonts w:ascii="Arial" w:cs="Arial" w:eastAsia="Arial" w:hAnsi="Arial"/>
                <w:sz w:val="16"/>
                <w:szCs w:val="16"/>
                <w:b w:val="1"/>
                <w:bCs w:val="1"/>
                <w:color w:val="auto"/>
              </w:rPr>
              <w:t xml:space="preserve">$ </w:t>
            </w:r>
          </w:p>
        </w:tc>
        <w:tc>
          <w:tcPr>
            <w:tcW w:w="5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$ 3,112,345</w:t>
            </w:r>
          </w:p>
        </w:tc>
      </w:tr>
    </w:tbl>
    <w:p>
      <w:pPr>
        <w:spacing w:after="0" w:line="71" w:lineRule="exact"/>
        <w:rPr>
          <w:sz w:val="20"/>
          <w:szCs w:val="20"/>
          <w:color w:val="auto"/>
        </w:rPr>
      </w:pPr>
    </w:p>
    <w:p>
      <w:pPr>
        <w:ind w:left="460" w:right="80" w:hanging="325"/>
        <w:spacing w:after="0" w:line="207"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Each of Mr. Geller, Mr. Miller and Mr. Hunter is eligible for “approved retiree” status under the MVW Deferred Compensation Plan and the 2020 Equity Plan. Amounts in this column reflect the benefits each would receive if he or she ceased being employed by the Company for any reason on December 31, 2024 and satisfied the requirements of such plans for qualification as an approved retiree. Upon her retirement, Ms. Marbert qualified as an “approved retiree” and thus the amounts for</w:t>
      </w:r>
    </w:p>
    <w:p>
      <w:pPr>
        <w:spacing w:after="0" w:line="2"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4"/>
          <w:szCs w:val="14"/>
          <w:color w:val="auto"/>
        </w:rPr>
        <w:t>Ms. Marbert represent the amounts she actually received as an approved retiree as a result of her retirement effective August 31, 2024.</w:t>
      </w:r>
    </w:p>
    <w:p>
      <w:pPr>
        <w:spacing w:after="0" w:line="67" w:lineRule="exact"/>
        <w:rPr>
          <w:sz w:val="20"/>
          <w:szCs w:val="20"/>
          <w:color w:val="auto"/>
        </w:rPr>
      </w:pPr>
    </w:p>
    <w:p>
      <w:pPr>
        <w:ind w:left="460" w:right="260" w:hanging="325"/>
        <w:spacing w:after="0" w:line="203" w:lineRule="auto"/>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Upon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w:t>
      </w:r>
    </w:p>
    <w:p>
      <w:pPr>
        <w:spacing w:after="0" w:line="53" w:lineRule="exact"/>
        <w:rPr>
          <w:sz w:val="20"/>
          <w:szCs w:val="20"/>
          <w:color w:val="auto"/>
        </w:rPr>
      </w:pPr>
    </w:p>
    <w:p>
      <w:pPr>
        <w:ind w:left="460" w:right="20" w:hanging="325"/>
        <w:spacing w:after="0" w:line="225"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As described above under “Change in Control Arrangements,” a named executive officer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named executive officer for Good Reason, in each case, within two years following a Change in Control of the Company: (1) a cash severance payment, payable in a lump sum, equal to two times (or three times, in the case of the Chief Executive Officer of the Company) the sum of his or her Base Salary and Target Bonus; (2) twenty-four months (or thirty-six months, in the case of the Chief Executive Officer of the Company) of Company-subsidized medical, dental and life-insurance coverage for such named executive officer and his or her spouse and dependents, at the same benefit level as provided to the executive immediately prior to the Change in Control, or the cash equivalent of the present value of such coverage (“Benefit Coverage”);</w:t>
      </w:r>
    </w:p>
    <w:p>
      <w:pPr>
        <w:spacing w:after="0" w:line="1" w:lineRule="exact"/>
        <w:rPr>
          <w:rFonts w:ascii="Arial" w:cs="Arial" w:eastAsia="Arial" w:hAnsi="Arial"/>
          <w:sz w:val="22"/>
          <w:szCs w:val="22"/>
          <w:color w:val="auto"/>
          <w:vertAlign w:val="superscript"/>
        </w:rPr>
      </w:pPr>
    </w:p>
    <w:p>
      <w:pPr>
        <w:ind w:left="460" w:right="20"/>
        <w:spacing w:after="0" w:line="243" w:lineRule="auto"/>
        <w:rPr>
          <w:rFonts w:ascii="Arial" w:cs="Arial" w:eastAsia="Arial" w:hAnsi="Arial"/>
          <w:sz w:val="22"/>
          <w:szCs w:val="22"/>
          <w:color w:val="auto"/>
          <w:vertAlign w:val="superscript"/>
        </w:rPr>
      </w:pPr>
      <w:r>
        <w:rPr>
          <w:rFonts w:ascii="Arial" w:cs="Arial" w:eastAsia="Arial" w:hAnsi="Arial"/>
          <w:sz w:val="14"/>
          <w:szCs w:val="14"/>
          <w:color w:val="auto"/>
        </w:rPr>
        <w:t>(3) any unpaid salary or bonus as of the Termination date for any previously-completed fiscal year (“Earned Amounts”); (4) a pro-rata bonus for the fiscal year in which the named executive officer’s employment is terminated assuming achievement at the target level of performance; (5) vesting of all restricted stock, RSUs or other share-based awards in 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54" w:lineRule="exact"/>
        <w:rPr>
          <w:sz w:val="20"/>
          <w:szCs w:val="20"/>
          <w:color w:val="auto"/>
        </w:rPr>
      </w:pPr>
    </w:p>
    <w:p>
      <w:pPr>
        <w:ind w:left="460" w:right="160" w:hanging="325"/>
        <w:spacing w:after="0" w:line="213"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Upon retirement after either reaching age 55 and completing ten years of service, disability or death, the named executive officer would be entitled to a pro-rata bonus based on target achievement under the 2024 Bonus Plan. The amount shown with respect to annual bonus for each named executive officer is the actual payout amount for 2024. See Note 3 for a description of annual bonus amounts payable following a Change in Control.</w:t>
      </w:r>
    </w:p>
    <w:p>
      <w:pPr>
        <w:ind w:left="460" w:hanging="325"/>
        <w:spacing w:after="0" w:line="231" w:lineRule="auto"/>
        <w:tabs>
          <w:tab w:leader="none" w:pos="46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Consists of the Benefit Coverage payable under the Change in Control Plan.</w:t>
      </w:r>
    </w:p>
    <w:p>
      <w:pPr>
        <w:spacing w:after="0" w:line="59" w:lineRule="exact"/>
        <w:rPr>
          <w:sz w:val="20"/>
          <w:szCs w:val="20"/>
          <w:color w:val="auto"/>
        </w:rPr>
      </w:pPr>
    </w:p>
    <w:p>
      <w:pPr>
        <w:ind w:left="460" w:right="60" w:hanging="325"/>
        <w:spacing w:after="0" w:line="232"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Upon retirement or permanent disability (as defined in the pertinent plan), a named executive officer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CPC by an executive who had attained age 55 with 10 years of service. In all cases, however, the CPC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 named executive officer who dies as an employee or approved retiree would immediately vest in his or her options, SARs and other stock awards. As of December 31, 2024, each of Mr. Geller, Mr. Miller, Mr. Hunter, and, as of her retirement date, Ms. Marbert met the age and service conditions for retirement eligibility. The value of Performance Units vesting upon retirement is calculated based on the probable outcome of the performance conditions as of December 31, 2024; the value of Performance Units vesting upon disability or death is calculated assuming achievement at the target level of performance. See Note 3 for a description of treatment of outstanding equity awards following a Change in Control.</w:t>
      </w:r>
    </w:p>
    <w:p>
      <w:pPr>
        <w:spacing w:after="0" w:line="55" w:lineRule="exact"/>
        <w:rPr>
          <w:sz w:val="20"/>
          <w:szCs w:val="20"/>
          <w:color w:val="auto"/>
        </w:rPr>
      </w:pPr>
    </w:p>
    <w:p>
      <w:pPr>
        <w:ind w:left="460" w:right="40" w:hanging="325"/>
        <w:spacing w:after="0" w:line="223" w:lineRule="auto"/>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Consists of the value of unvested employer credits under the MVW Deferred Compensation Plan. The Company may credit participants’ accounts with employer credits that will vest at a rate of 25% per year on the first four anniversaries of the date the discretionary employer credit was allocated to the participant’s account (unless otherwise determined), provided that the participant remains in continued service with the Company. Upon a change in control of the Company or a participant’s death or retirement after reaching age 55 and completing ten years of service, all employer credits will immediately vest in full. Although the Marriott Deferred Compensation Plan also provided for employer credits, no named executive officer has unvested employer credits under the Marriott Deferred Compensation Plan.</w:t>
      </w:r>
    </w:p>
    <w:p>
      <w:pPr>
        <w:ind w:left="460" w:hanging="325"/>
        <w:spacing w:after="0" w:line="231"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Ms. Marbert retired on August 31, 2024 and is an approved retiree.</w:t>
      </w:r>
    </w:p>
    <w:p>
      <w:pPr>
        <w:spacing w:after="0" w:line="91" w:lineRule="exact"/>
        <w:rPr>
          <w:sz w:val="20"/>
          <w:szCs w:val="20"/>
          <w:color w:val="auto"/>
        </w:rPr>
      </w:pPr>
    </w:p>
    <w:p>
      <w:pPr>
        <w:ind w:left="140" w:right="40"/>
        <w:spacing w:after="0" w:line="248" w:lineRule="auto"/>
        <w:rPr>
          <w:sz w:val="20"/>
          <w:szCs w:val="20"/>
          <w:color w:val="auto"/>
        </w:rPr>
      </w:pPr>
      <w:r>
        <w:rPr>
          <w:rFonts w:ascii="Arial" w:cs="Arial" w:eastAsia="Arial" w:hAnsi="Arial"/>
          <w:sz w:val="16"/>
          <w:szCs w:val="16"/>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and health and dependent care spending accounts. Amounts actually received if any of the named executive officers cease to be employed will vary based on factors such as the timing during the year of any such event, the price of the Company’s stock, the named executive officer’s age, and any changes to our benefit arrangements and policies. We may determine to provide additional or different benefits in connection with any executive’s termination.</w:t>
      </w:r>
    </w:p>
    <w:p>
      <w:pPr>
        <w:spacing w:after="0" w:line="120" w:lineRule="exact"/>
        <w:rPr>
          <w:sz w:val="20"/>
          <w:szCs w:val="20"/>
          <w:color w:val="auto"/>
        </w:rPr>
      </w:pPr>
    </w:p>
    <w:p>
      <w:pPr>
        <w:ind w:left="140"/>
        <w:spacing w:after="0"/>
        <w:tabs>
          <w:tab w:leader="none" w:pos="44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CEO PAY RATIO</w:t>
      </w:r>
    </w:p>
    <w:p>
      <w:pPr>
        <w:spacing w:after="0" w:line="111" w:lineRule="exact"/>
        <w:rPr>
          <w:sz w:val="20"/>
          <w:szCs w:val="20"/>
          <w:color w:val="auto"/>
        </w:rPr>
      </w:pPr>
    </w:p>
    <w:p>
      <w:pPr>
        <w:ind w:left="140" w:right="580"/>
        <w:spacing w:after="0" w:line="284" w:lineRule="auto"/>
        <w:rPr>
          <w:sz w:val="20"/>
          <w:szCs w:val="20"/>
          <w:color w:val="auto"/>
        </w:rPr>
      </w:pPr>
      <w:r>
        <w:rPr>
          <w:rFonts w:ascii="Arial" w:cs="Arial" w:eastAsia="Arial" w:hAnsi="Arial"/>
          <w:sz w:val="16"/>
          <w:szCs w:val="16"/>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w:t>
      </w:r>
    </w:p>
    <w:p>
      <w:pPr>
        <w:spacing w:after="0" w:line="49" w:lineRule="exact"/>
        <w:rPr>
          <w:sz w:val="20"/>
          <w:szCs w:val="20"/>
          <w:color w:val="auto"/>
        </w:rPr>
      </w:pPr>
    </w:p>
    <w:p>
      <w:pPr>
        <w:ind w:left="140" w:right="160"/>
        <w:spacing w:after="0" w:line="265"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We chose to utilize compensation rules that were consistent with the Summary Compensation Table. We did not perform adjustments to the compensation paid to part-time employees to calculate what they would have been paid on a full-time basis.</w:t>
      </w:r>
    </w:p>
    <w:p>
      <w:pPr>
        <w:spacing w:after="0" w:line="63" w:lineRule="exact"/>
        <w:rPr>
          <w:sz w:val="20"/>
          <w:szCs w:val="20"/>
          <w:color w:val="auto"/>
        </w:rPr>
      </w:pPr>
    </w:p>
    <w:p>
      <w:pPr>
        <w:ind w:left="140" w:right="620"/>
        <w:spacing w:after="0" w:line="256" w:lineRule="auto"/>
        <w:rPr>
          <w:sz w:val="20"/>
          <w:szCs w:val="20"/>
          <w:color w:val="auto"/>
        </w:rPr>
      </w:pPr>
      <w:r>
        <w:rPr>
          <w:rFonts w:ascii="Arial" w:cs="Arial" w:eastAsia="Arial" w:hAnsi="Arial"/>
          <w:sz w:val="16"/>
          <w:szCs w:val="16"/>
          <w:color w:val="auto"/>
        </w:rPr>
        <w:t>As of December 31, 2024, the date for the determination of the median employee, we had 22,295 employees in 25 countries for purposes of this determination, however, the vast majority of these employees were in North America. In identifying the median employee, we excluded workers in</w:t>
      </w:r>
    </w:p>
    <w:p>
      <w:pPr>
        <w:ind w:left="140" w:right="200"/>
        <w:spacing w:after="0" w:line="264" w:lineRule="auto"/>
        <w:rPr>
          <w:sz w:val="20"/>
          <w:szCs w:val="20"/>
          <w:color w:val="auto"/>
        </w:rPr>
      </w:pPr>
      <w:r>
        <w:rPr>
          <w:rFonts w:ascii="Arial" w:cs="Arial" w:eastAsia="Arial" w:hAnsi="Arial"/>
          <w:sz w:val="16"/>
          <w:szCs w:val="16"/>
          <w:color w:val="auto"/>
        </w:rPr>
        <w:t>17 countries totaling 1,087 associates (approximately 4.9% of our workforce) as permitted by the de minimis exemption rules, given the small portion of the total employee population in these countries.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excluded the following number of workers from the following countries in the identification of the median employee.</w:t>
      </w:r>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680" w:type="dxa"/>
            <w:vAlign w:val="bottom"/>
          </w:tcPr>
          <w:p>
            <w:pPr>
              <w:ind w:left="1560"/>
              <w:spacing w:after="0"/>
              <w:rPr>
                <w:sz w:val="20"/>
                <w:szCs w:val="20"/>
                <w:color w:val="auto"/>
              </w:rPr>
            </w:pPr>
            <w:r>
              <w:rPr>
                <w:rFonts w:ascii="Arial" w:cs="Arial" w:eastAsia="Arial" w:hAnsi="Arial"/>
                <w:sz w:val="14"/>
                <w:szCs w:val="14"/>
                <w:b w:val="1"/>
                <w:bCs w:val="1"/>
                <w:color w:val="003A70"/>
              </w:rPr>
              <w:t>Number of</w:t>
            </w:r>
          </w:p>
        </w:tc>
        <w:tc>
          <w:tcPr>
            <w:tcW w:w="2320" w:type="dxa"/>
            <w:vAlign w:val="bottom"/>
          </w:tcPr>
          <w:p>
            <w:pPr>
              <w:spacing w:after="0"/>
              <w:rPr>
                <w:sz w:val="14"/>
                <w:szCs w:val="14"/>
                <w:color w:val="auto"/>
              </w:rPr>
            </w:pPr>
          </w:p>
        </w:tc>
        <w:tc>
          <w:tcPr>
            <w:tcW w:w="1880" w:type="dxa"/>
            <w:vAlign w:val="bottom"/>
          </w:tcPr>
          <w:p>
            <w:pPr>
              <w:ind w:left="1120"/>
              <w:spacing w:after="0"/>
              <w:rPr>
                <w:sz w:val="20"/>
                <w:szCs w:val="20"/>
                <w:color w:val="auto"/>
              </w:rPr>
            </w:pPr>
            <w:r>
              <w:rPr>
                <w:rFonts w:ascii="Arial" w:cs="Arial" w:eastAsia="Arial" w:hAnsi="Arial"/>
                <w:sz w:val="14"/>
                <w:szCs w:val="14"/>
                <w:b w:val="1"/>
                <w:bCs w:val="1"/>
                <w:color w:val="003A70"/>
              </w:rPr>
              <w:t>Number of</w:t>
            </w:r>
          </w:p>
        </w:tc>
      </w:tr>
      <w:tr>
        <w:trPr>
          <w:trHeight w:val="191"/>
        </w:trPr>
        <w:tc>
          <w:tcPr>
            <w:tcW w:w="23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Country</w:t>
            </w:r>
          </w:p>
        </w:tc>
        <w:tc>
          <w:tcPr>
            <w:tcW w:w="2680" w:type="dxa"/>
            <w:vAlign w:val="bottom"/>
            <w:tcBorders>
              <w:bottom w:val="single" w:sz="8" w:color="003A70"/>
            </w:tcBorders>
          </w:tcPr>
          <w:p>
            <w:pPr>
              <w:ind w:left="1540"/>
              <w:spacing w:after="0"/>
              <w:rPr>
                <w:sz w:val="20"/>
                <w:szCs w:val="20"/>
                <w:color w:val="auto"/>
              </w:rPr>
            </w:pPr>
            <w:r>
              <w:rPr>
                <w:rFonts w:ascii="Arial" w:cs="Arial" w:eastAsia="Arial" w:hAnsi="Arial"/>
                <w:sz w:val="14"/>
                <w:szCs w:val="14"/>
                <w:b w:val="1"/>
                <w:bCs w:val="1"/>
                <w:color w:val="003A70"/>
              </w:rPr>
              <w:t>Associates</w:t>
            </w:r>
          </w:p>
        </w:tc>
        <w:tc>
          <w:tcPr>
            <w:tcW w:w="2320" w:type="dxa"/>
            <w:vAlign w:val="bottom"/>
            <w:tcBorders>
              <w:bottom w:val="single" w:sz="8" w:color="003A70"/>
            </w:tcBorders>
          </w:tcPr>
          <w:p>
            <w:pPr>
              <w:ind w:left="380"/>
              <w:spacing w:after="0"/>
              <w:rPr>
                <w:sz w:val="20"/>
                <w:szCs w:val="20"/>
                <w:color w:val="auto"/>
              </w:rPr>
            </w:pPr>
            <w:r>
              <w:rPr>
                <w:rFonts w:ascii="Arial" w:cs="Arial" w:eastAsia="Arial" w:hAnsi="Arial"/>
                <w:sz w:val="14"/>
                <w:szCs w:val="14"/>
                <w:b w:val="1"/>
                <w:bCs w:val="1"/>
                <w:color w:val="003A70"/>
              </w:rPr>
              <w:t>Country</w:t>
            </w:r>
          </w:p>
        </w:tc>
        <w:tc>
          <w:tcPr>
            <w:tcW w:w="1880" w:type="dxa"/>
            <w:vAlign w:val="bottom"/>
            <w:tcBorders>
              <w:bottom w:val="single" w:sz="8" w:color="003A70"/>
            </w:tcBorders>
          </w:tcPr>
          <w:p>
            <w:pPr>
              <w:ind w:left="1100"/>
              <w:spacing w:after="0"/>
              <w:rPr>
                <w:sz w:val="20"/>
                <w:szCs w:val="20"/>
                <w:color w:val="auto"/>
              </w:rPr>
            </w:pPr>
            <w:r>
              <w:rPr>
                <w:rFonts w:ascii="Arial" w:cs="Arial" w:eastAsia="Arial" w:hAnsi="Arial"/>
                <w:sz w:val="14"/>
                <w:szCs w:val="14"/>
                <w:b w:val="1"/>
                <w:bCs w:val="1"/>
                <w:color w:val="003A70"/>
              </w:rPr>
              <w:t>Associates</w:t>
            </w:r>
          </w:p>
        </w:tc>
      </w:tr>
      <w:tr>
        <w:trPr>
          <w:trHeight w:val="174"/>
        </w:trPr>
        <w:tc>
          <w:tcPr>
            <w:tcW w:w="2340" w:type="dxa"/>
            <w:vAlign w:val="bottom"/>
          </w:tcPr>
          <w:p>
            <w:pPr>
              <w:spacing w:after="0" w:line="175" w:lineRule="exact"/>
              <w:rPr>
                <w:sz w:val="20"/>
                <w:szCs w:val="20"/>
                <w:color w:val="auto"/>
              </w:rPr>
            </w:pPr>
            <w:r>
              <w:rPr>
                <w:rFonts w:ascii="Arial" w:cs="Arial" w:eastAsia="Arial" w:hAnsi="Arial"/>
                <w:sz w:val="16"/>
                <w:szCs w:val="16"/>
                <w:color w:val="auto"/>
              </w:rPr>
              <w:t>Argentina</w:t>
            </w:r>
          </w:p>
        </w:tc>
        <w:tc>
          <w:tcPr>
            <w:tcW w:w="2680" w:type="dxa"/>
            <w:vAlign w:val="bottom"/>
          </w:tcPr>
          <w:p>
            <w:pPr>
              <w:jc w:val="center"/>
              <w:ind w:left="1101"/>
              <w:spacing w:after="0" w:line="175" w:lineRule="exact"/>
              <w:rPr>
                <w:sz w:val="20"/>
                <w:szCs w:val="20"/>
                <w:color w:val="auto"/>
              </w:rPr>
            </w:pPr>
            <w:r>
              <w:rPr>
                <w:rFonts w:ascii="Arial" w:cs="Arial" w:eastAsia="Arial" w:hAnsi="Arial"/>
                <w:sz w:val="16"/>
                <w:szCs w:val="16"/>
                <w:color w:val="auto"/>
              </w:rPr>
              <w:t>10</w:t>
            </w:r>
          </w:p>
        </w:tc>
        <w:tc>
          <w:tcPr>
            <w:tcW w:w="2320" w:type="dxa"/>
            <w:vAlign w:val="bottom"/>
          </w:tcPr>
          <w:p>
            <w:pPr>
              <w:ind w:left="380"/>
              <w:spacing w:after="0" w:line="175" w:lineRule="exact"/>
              <w:rPr>
                <w:sz w:val="20"/>
                <w:szCs w:val="20"/>
                <w:color w:val="auto"/>
              </w:rPr>
            </w:pPr>
            <w:r>
              <w:rPr>
                <w:rFonts w:ascii="Arial" w:cs="Arial" w:eastAsia="Arial" w:hAnsi="Arial"/>
                <w:sz w:val="16"/>
                <w:szCs w:val="16"/>
                <w:color w:val="auto"/>
              </w:rPr>
              <w:t>Finland</w:t>
            </w:r>
          </w:p>
        </w:tc>
        <w:tc>
          <w:tcPr>
            <w:tcW w:w="1880" w:type="dxa"/>
            <w:vAlign w:val="bottom"/>
          </w:tcPr>
          <w:p>
            <w:pPr>
              <w:jc w:val="center"/>
              <w:ind w:left="1021"/>
              <w:spacing w:after="0" w:line="175" w:lineRule="exact"/>
              <w:rPr>
                <w:sz w:val="20"/>
                <w:szCs w:val="20"/>
                <w:color w:val="auto"/>
              </w:rPr>
            </w:pPr>
            <w:r>
              <w:rPr>
                <w:rFonts w:ascii="Arial" w:cs="Arial" w:eastAsia="Arial" w:hAnsi="Arial"/>
                <w:sz w:val="16"/>
                <w:szCs w:val="16"/>
                <w:color w:val="auto"/>
              </w:rPr>
              <w:t>7</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Australia</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30</w:t>
            </w:r>
          </w:p>
        </w:tc>
        <w:tc>
          <w:tcPr>
            <w:tcW w:w="2320" w:type="dxa"/>
            <w:vAlign w:val="bottom"/>
          </w:tcPr>
          <w:p>
            <w:pPr>
              <w:ind w:left="380"/>
              <w:spacing w:after="0"/>
              <w:rPr>
                <w:sz w:val="20"/>
                <w:szCs w:val="20"/>
                <w:color w:val="auto"/>
              </w:rPr>
            </w:pPr>
            <w:r>
              <w:rPr>
                <w:rFonts w:ascii="Arial" w:cs="Arial" w:eastAsia="Arial" w:hAnsi="Arial"/>
                <w:sz w:val="16"/>
                <w:szCs w:val="16"/>
                <w:color w:val="auto"/>
              </w:rPr>
              <w:t>Germany</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13</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Bahamas</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24</w:t>
            </w:r>
          </w:p>
        </w:tc>
        <w:tc>
          <w:tcPr>
            <w:tcW w:w="232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5</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Brazil</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3</w:t>
            </w:r>
          </w:p>
        </w:tc>
        <w:tc>
          <w:tcPr>
            <w:tcW w:w="2320" w:type="dxa"/>
            <w:vAlign w:val="bottom"/>
          </w:tcPr>
          <w:p>
            <w:pPr>
              <w:ind w:left="380"/>
              <w:spacing w:after="0"/>
              <w:rPr>
                <w:sz w:val="20"/>
                <w:szCs w:val="20"/>
                <w:color w:val="auto"/>
              </w:rPr>
            </w:pPr>
            <w:r>
              <w:rPr>
                <w:rFonts w:ascii="Arial" w:cs="Arial" w:eastAsia="Arial" w:hAnsi="Arial"/>
                <w:sz w:val="16"/>
                <w:szCs w:val="16"/>
                <w:color w:val="auto"/>
              </w:rPr>
              <w:t>Indonesia</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w w:val="97"/>
              </w:rPr>
              <w:t>268</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China</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84</w:t>
            </w:r>
          </w:p>
        </w:tc>
        <w:tc>
          <w:tcPr>
            <w:tcW w:w="2320" w:type="dxa"/>
            <w:vAlign w:val="bottom"/>
          </w:tcPr>
          <w:p>
            <w:pPr>
              <w:ind w:left="380"/>
              <w:spacing w:after="0"/>
              <w:rPr>
                <w:sz w:val="20"/>
                <w:szCs w:val="20"/>
                <w:color w:val="auto"/>
              </w:rPr>
            </w:pPr>
            <w:r>
              <w:rPr>
                <w:rFonts w:ascii="Arial" w:cs="Arial" w:eastAsia="Arial" w:hAnsi="Arial"/>
                <w:sz w:val="16"/>
                <w:szCs w:val="16"/>
                <w:color w:val="auto"/>
              </w:rPr>
              <w:t>Italy</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2</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Columbia</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16</w:t>
            </w:r>
          </w:p>
        </w:tc>
        <w:tc>
          <w:tcPr>
            <w:tcW w:w="2320" w:type="dxa"/>
            <w:vAlign w:val="bottom"/>
          </w:tcPr>
          <w:p>
            <w:pPr>
              <w:ind w:left="380"/>
              <w:spacing w:after="0"/>
              <w:rPr>
                <w:sz w:val="20"/>
                <w:szCs w:val="20"/>
                <w:color w:val="auto"/>
              </w:rPr>
            </w:pPr>
            <w:r>
              <w:rPr>
                <w:rFonts w:ascii="Arial" w:cs="Arial" w:eastAsia="Arial" w:hAnsi="Arial"/>
                <w:sz w:val="16"/>
                <w:szCs w:val="16"/>
                <w:color w:val="auto"/>
              </w:rPr>
              <w:t>St. Kitts</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63</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Costa Rica</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26</w:t>
            </w:r>
          </w:p>
        </w:tc>
        <w:tc>
          <w:tcPr>
            <w:tcW w:w="2320" w:type="dxa"/>
            <w:vAlign w:val="bottom"/>
          </w:tcPr>
          <w:p>
            <w:pPr>
              <w:ind w:left="380"/>
              <w:spacing w:after="0"/>
              <w:rPr>
                <w:sz w:val="20"/>
                <w:szCs w:val="20"/>
                <w:color w:val="auto"/>
              </w:rPr>
            </w:pPr>
            <w:r>
              <w:rPr>
                <w:rFonts w:ascii="Arial" w:cs="Arial" w:eastAsia="Arial" w:hAnsi="Arial"/>
                <w:sz w:val="16"/>
                <w:szCs w:val="16"/>
                <w:color w:val="auto"/>
              </w:rPr>
              <w:t>Thailand</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w w:val="97"/>
              </w:rPr>
              <w:t>355</w:t>
            </w:r>
          </w:p>
        </w:tc>
      </w:tr>
      <w:tr>
        <w:trPr>
          <w:trHeight w:val="188"/>
        </w:trPr>
        <w:tc>
          <w:tcPr>
            <w:tcW w:w="2340" w:type="dxa"/>
            <w:vAlign w:val="bottom"/>
          </w:tcPr>
          <w:p>
            <w:pPr>
              <w:spacing w:after="0"/>
              <w:rPr>
                <w:sz w:val="20"/>
                <w:szCs w:val="20"/>
                <w:color w:val="auto"/>
              </w:rPr>
            </w:pPr>
            <w:r>
              <w:rPr>
                <w:rFonts w:ascii="Arial" w:cs="Arial" w:eastAsia="Arial" w:hAnsi="Arial"/>
                <w:sz w:val="16"/>
                <w:szCs w:val="16"/>
                <w:color w:val="auto"/>
              </w:rPr>
              <w:t>Egypt</w:t>
            </w:r>
          </w:p>
        </w:tc>
        <w:tc>
          <w:tcPr>
            <w:tcW w:w="2680" w:type="dxa"/>
            <w:vAlign w:val="bottom"/>
          </w:tcPr>
          <w:p>
            <w:pPr>
              <w:jc w:val="center"/>
              <w:ind w:left="1101"/>
              <w:spacing w:after="0"/>
              <w:rPr>
                <w:sz w:val="20"/>
                <w:szCs w:val="20"/>
                <w:color w:val="auto"/>
              </w:rPr>
            </w:pPr>
            <w:r>
              <w:rPr>
                <w:rFonts w:ascii="Arial" w:cs="Arial" w:eastAsia="Arial" w:hAnsi="Arial"/>
                <w:sz w:val="16"/>
                <w:szCs w:val="16"/>
                <w:color w:val="auto"/>
              </w:rPr>
              <w:t>7</w:t>
            </w:r>
          </w:p>
        </w:tc>
        <w:tc>
          <w:tcPr>
            <w:tcW w:w="2320" w:type="dxa"/>
            <w:vAlign w:val="bottom"/>
          </w:tcPr>
          <w:p>
            <w:pPr>
              <w:ind w:left="380"/>
              <w:spacing w:after="0"/>
              <w:rPr>
                <w:sz w:val="20"/>
                <w:szCs w:val="20"/>
                <w:color w:val="auto"/>
              </w:rPr>
            </w:pPr>
            <w:r>
              <w:rPr>
                <w:rFonts w:ascii="Arial" w:cs="Arial" w:eastAsia="Arial" w:hAnsi="Arial"/>
                <w:sz w:val="16"/>
                <w:szCs w:val="16"/>
                <w:color w:val="auto"/>
              </w:rPr>
              <w:t>UAE</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44</w:t>
            </w:r>
          </w:p>
        </w:tc>
      </w:tr>
      <w:tr>
        <w:trPr>
          <w:trHeight w:val="202"/>
        </w:trPr>
        <w:tc>
          <w:tcPr>
            <w:tcW w:w="234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France</w:t>
            </w:r>
          </w:p>
        </w:tc>
        <w:tc>
          <w:tcPr>
            <w:tcW w:w="2680" w:type="dxa"/>
            <w:vAlign w:val="bottom"/>
            <w:tcBorders>
              <w:bottom w:val="single" w:sz="8" w:color="003A70"/>
            </w:tcBorders>
          </w:tcPr>
          <w:p>
            <w:pPr>
              <w:jc w:val="center"/>
              <w:ind w:left="1101"/>
              <w:spacing w:after="0"/>
              <w:rPr>
                <w:sz w:val="20"/>
                <w:szCs w:val="20"/>
                <w:color w:val="auto"/>
              </w:rPr>
            </w:pPr>
            <w:r>
              <w:rPr>
                <w:rFonts w:ascii="Arial" w:cs="Arial" w:eastAsia="Arial" w:hAnsi="Arial"/>
                <w:sz w:val="16"/>
                <w:szCs w:val="16"/>
                <w:color w:val="auto"/>
                <w:w w:val="97"/>
              </w:rPr>
              <w:t>130</w:t>
            </w:r>
          </w:p>
        </w:tc>
        <w:tc>
          <w:tcPr>
            <w:tcW w:w="2320" w:type="dxa"/>
            <w:vAlign w:val="bottom"/>
            <w:tcBorders>
              <w:bottom w:val="single" w:sz="8" w:color="003A70"/>
            </w:tcBorders>
          </w:tcPr>
          <w:p>
            <w:pPr>
              <w:spacing w:after="0"/>
              <w:rPr>
                <w:sz w:val="17"/>
                <w:szCs w:val="17"/>
                <w:color w:val="auto"/>
              </w:rPr>
            </w:pPr>
          </w:p>
        </w:tc>
        <w:tc>
          <w:tcPr>
            <w:tcW w:w="1880" w:type="dxa"/>
            <w:vAlign w:val="bottom"/>
            <w:tcBorders>
              <w:bottom w:val="single" w:sz="8" w:color="003A70"/>
            </w:tcBorders>
          </w:tcPr>
          <w:p>
            <w:pPr>
              <w:spacing w:after="0"/>
              <w:rPr>
                <w:sz w:val="17"/>
                <w:szCs w:val="17"/>
                <w:color w:val="auto"/>
              </w:rPr>
            </w:pPr>
          </w:p>
        </w:tc>
      </w:tr>
    </w:tbl>
    <w:p>
      <w:pPr>
        <w:spacing w:after="0" w:line="94" w:lineRule="exact"/>
        <w:rPr>
          <w:sz w:val="20"/>
          <w:szCs w:val="20"/>
          <w:color w:val="auto"/>
        </w:rPr>
      </w:pPr>
    </w:p>
    <w:p>
      <w:pPr>
        <w:jc w:val="both"/>
        <w:ind w:left="140" w:right="160"/>
        <w:spacing w:after="0" w:line="265" w:lineRule="auto"/>
        <w:rPr>
          <w:sz w:val="20"/>
          <w:szCs w:val="20"/>
          <w:color w:val="auto"/>
        </w:rPr>
      </w:pPr>
      <w:r>
        <w:rPr>
          <w:rFonts w:ascii="Arial" w:cs="Arial" w:eastAsia="Arial" w:hAnsi="Arial"/>
          <w:sz w:val="16"/>
          <w:szCs w:val="16"/>
          <w:color w:val="auto"/>
        </w:rPr>
        <w:t>After applying our methodology and excluding the employees listed above, we identified the median employee. Our median employee compensation as calculated using Summary Compensation Table requirements was $47,537. Our CEO’s compensation as reported in the Summary Compensation Table was $7,437,761. Therefore, our CEO to median employee pay ratio is 156:1.</w:t>
      </w:r>
    </w:p>
    <w:p>
      <w:pPr>
        <w:spacing w:after="0" w:line="63" w:lineRule="exact"/>
        <w:rPr>
          <w:sz w:val="20"/>
          <w:szCs w:val="20"/>
          <w:color w:val="auto"/>
        </w:rPr>
      </w:pPr>
    </w:p>
    <w:p>
      <w:pPr>
        <w:ind w:left="140" w:right="340"/>
        <w:spacing w:after="0" w:line="258" w:lineRule="auto"/>
        <w:rPr>
          <w:sz w:val="20"/>
          <w:szCs w:val="20"/>
          <w:color w:val="auto"/>
        </w:rPr>
      </w:pPr>
      <w:r>
        <w:rPr>
          <w:rFonts w:ascii="Arial" w:cs="Arial" w:eastAsia="Arial" w:hAnsi="Arial"/>
          <w:sz w:val="16"/>
          <w:szCs w:val="16"/>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CPC nor management of the Company used the pay ratio measure in making compensation decisions.</w:t>
      </w:r>
    </w:p>
    <w:p>
      <w:pPr>
        <w:spacing w:after="0" w:line="111"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46</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PAY VS. PERFORMANCE</w:t>
      </w:r>
    </w:p>
    <w:p>
      <w:pPr>
        <w:spacing w:after="0" w:line="111" w:lineRule="exact"/>
        <w:rPr>
          <w:sz w:val="20"/>
          <w:szCs w:val="20"/>
          <w:color w:val="auto"/>
        </w:rPr>
      </w:pPr>
    </w:p>
    <w:p>
      <w:pPr>
        <w:ind w:left="140" w:right="400"/>
        <w:spacing w:after="0" w:line="284" w:lineRule="auto"/>
        <w:rPr>
          <w:sz w:val="20"/>
          <w:szCs w:val="20"/>
          <w:color w:val="auto"/>
        </w:rPr>
      </w:pPr>
      <w:r>
        <w:rPr>
          <w:rFonts w:ascii="Arial" w:cs="Arial" w:eastAsia="Arial" w:hAnsi="Arial"/>
          <w:sz w:val="16"/>
          <w:szCs w:val="16"/>
          <w:color w:val="auto"/>
        </w:rPr>
        <w:t>Under rules adopted pursuant to the Dodd-Frank Act of 2010, we are required to disclose pay versus performance for our Principal Executive Officer (“PEO”) and the other NEOs.</w:t>
      </w:r>
    </w:p>
    <w:p>
      <w:pPr>
        <w:spacing w:after="0" w:line="49" w:lineRule="exact"/>
        <w:rPr>
          <w:sz w:val="20"/>
          <w:szCs w:val="20"/>
          <w:color w:val="auto"/>
        </w:rPr>
      </w:pPr>
    </w:p>
    <w:p>
      <w:pPr>
        <w:ind w:left="140" w:right="140"/>
        <w:spacing w:after="0" w:line="265" w:lineRule="auto"/>
        <w:rPr>
          <w:sz w:val="20"/>
          <w:szCs w:val="20"/>
          <w:color w:val="auto"/>
        </w:rPr>
      </w:pPr>
      <w:r>
        <w:rPr>
          <w:rFonts w:ascii="Arial" w:cs="Arial" w:eastAsia="Arial" w:hAnsi="Arial"/>
          <w:sz w:val="16"/>
          <w:szCs w:val="16"/>
          <w:color w:val="auto"/>
        </w:rPr>
        <w:t>Under the relevant rules, we are required to provide (i) the compensation actually paid to these individuals compared to the Summary Compensation Table, (ii) the total stockholder return (“TSR”) for the Company and chosen peer group, calculated against an initial investment value of $100, (iii) our net income and (iv) another selected Company measure. The table below represents each of these requirements, beginning with fiscal year 2020.</w:t>
      </w:r>
    </w:p>
    <w:p>
      <w:pPr>
        <w:spacing w:after="0" w:line="63" w:lineRule="exact"/>
        <w:rPr>
          <w:sz w:val="20"/>
          <w:szCs w:val="20"/>
          <w:color w:val="auto"/>
        </w:rPr>
      </w:pPr>
    </w:p>
    <w:p>
      <w:pPr>
        <w:ind w:left="140" w:right="240"/>
        <w:spacing w:after="0" w:line="284" w:lineRule="auto"/>
        <w:rPr>
          <w:sz w:val="20"/>
          <w:szCs w:val="20"/>
          <w:color w:val="auto"/>
        </w:rPr>
      </w:pPr>
      <w:r>
        <w:rPr>
          <w:rFonts w:ascii="Arial" w:cs="Arial" w:eastAsia="Arial" w:hAnsi="Arial"/>
          <w:sz w:val="16"/>
          <w:szCs w:val="16"/>
          <w:color w:val="auto"/>
        </w:rPr>
        <w:t>The Company utilized the S&amp;P Composite 1500 Hotels, Resorts &amp; Cruise TSR Index, for the peer group. This index has been utilized historically in our Annual Reports on Form 10-K in connection with the required performance graph and most closely aligns with our line of business.</w:t>
      </w:r>
    </w:p>
    <w:p>
      <w:pPr>
        <w:spacing w:after="0" w:line="49" w:lineRule="exact"/>
        <w:rPr>
          <w:sz w:val="20"/>
          <w:szCs w:val="20"/>
          <w:color w:val="auto"/>
        </w:rPr>
      </w:pPr>
    </w:p>
    <w:p>
      <w:pPr>
        <w:ind w:left="140" w:right="600"/>
        <w:spacing w:after="0" w:line="265" w:lineRule="auto"/>
        <w:rPr>
          <w:sz w:val="20"/>
          <w:szCs w:val="20"/>
          <w:color w:val="auto"/>
        </w:rPr>
      </w:pPr>
      <w:r>
        <w:rPr>
          <w:rFonts w:ascii="Arial" w:cs="Arial" w:eastAsia="Arial" w:hAnsi="Arial"/>
          <w:sz w:val="16"/>
          <w:szCs w:val="16"/>
          <w:color w:val="auto"/>
        </w:rPr>
        <w:t>Adjusted EBITDA, as previously defined, was chosen as the Company-selected financial measure as it is an important indicator of the Company’s operating performance. It is also a measure of our ability to service debt, fund capital expenditures, expand the business, and return cash to the stockholders.</w:t>
      </w:r>
    </w:p>
    <w:p>
      <w:pPr>
        <w:spacing w:after="0" w:line="63" w:lineRule="exact"/>
        <w:rPr>
          <w:sz w:val="20"/>
          <w:szCs w:val="20"/>
          <w:color w:val="auto"/>
        </w:rPr>
      </w:pPr>
    </w:p>
    <w:p>
      <w:pPr>
        <w:ind w:left="140" w:right="100"/>
        <w:spacing w:after="0" w:line="258" w:lineRule="auto"/>
        <w:rPr>
          <w:sz w:val="20"/>
          <w:szCs w:val="20"/>
          <w:color w:val="auto"/>
        </w:rPr>
      </w:pPr>
      <w:r>
        <w:rPr>
          <w:rFonts w:ascii="Arial" w:cs="Arial" w:eastAsia="Arial" w:hAnsi="Arial"/>
          <w:sz w:val="16"/>
          <w:szCs w:val="16"/>
          <w:color w:val="auto"/>
        </w:rPr>
        <w:t>As it relates to compensation decisions, Adjusted EBITDA allows for period-over-period comparisons of our ongoing core operations before the impact of excluded items. The CPC establishes goals that are designed to maintain high standards that are achievable but not certain to be met. For 2024, Adjusted EBITDA was utilized in both the short-term incentive plan and the 2024-2026 three-year performance awards because the CPC believes it promotes sustained performance of the Company over both the shorter- and longer-term.</w:t>
      </w:r>
    </w:p>
    <w:p>
      <w:pPr>
        <w:spacing w:after="0" w:line="70" w:lineRule="exact"/>
        <w:rPr>
          <w:sz w:val="20"/>
          <w:szCs w:val="20"/>
          <w:color w:val="auto"/>
        </w:rPr>
      </w:pPr>
    </w:p>
    <w:p>
      <w:pPr>
        <w:ind w:left="140" w:right="300"/>
        <w:spacing w:after="0" w:line="271" w:lineRule="auto"/>
        <w:rPr>
          <w:sz w:val="20"/>
          <w:szCs w:val="20"/>
          <w:color w:val="auto"/>
        </w:rPr>
      </w:pPr>
      <w:r>
        <w:rPr>
          <w:rFonts w:ascii="Arial" w:cs="Arial" w:eastAsia="Arial" w:hAnsi="Arial"/>
          <w:sz w:val="16"/>
          <w:szCs w:val="16"/>
          <w:color w:val="auto"/>
        </w:rPr>
        <w:t>The CPC reviews a number of performance metrics when assessing the Company’s performance. However, for compensation decisions, the following metrics are the most important:</w:t>
      </w:r>
    </w:p>
    <w:p>
      <w:pPr>
        <w:spacing w:after="0" w:line="2" w:lineRule="exact"/>
        <w:rPr>
          <w:sz w:val="20"/>
          <w:szCs w:val="20"/>
          <w:color w:val="auto"/>
        </w:rPr>
      </w:pPr>
    </w:p>
    <w:p>
      <w:pPr>
        <w:ind w:left="680" w:hanging="222"/>
        <w:spacing w:after="0"/>
        <w:tabs>
          <w:tab w:leader="none" w:pos="680" w:val="left"/>
        </w:tabs>
        <w:numPr>
          <w:ilvl w:val="0"/>
          <w:numId w:val="81"/>
        </w:numPr>
        <w:rPr>
          <w:rFonts w:ascii="Arial" w:cs="Arial" w:eastAsia="Arial" w:hAnsi="Arial"/>
          <w:sz w:val="16"/>
          <w:szCs w:val="16"/>
          <w:color w:val="003A70"/>
        </w:rPr>
      </w:pPr>
      <w:r>
        <w:rPr>
          <w:rFonts w:ascii="Arial" w:cs="Arial" w:eastAsia="Arial" w:hAnsi="Arial"/>
          <w:sz w:val="16"/>
          <w:szCs w:val="16"/>
          <w:color w:val="auto"/>
        </w:rPr>
        <w:t>Adjusted EBITDA, with its relative importance noted above, used in both the short-term and 2024-2026 long-term incentive programs</w:t>
      </w:r>
    </w:p>
    <w:p>
      <w:pPr>
        <w:spacing w:after="0" w:line="44" w:lineRule="exact"/>
        <w:rPr>
          <w:rFonts w:ascii="Arial" w:cs="Arial" w:eastAsia="Arial" w:hAnsi="Arial"/>
          <w:sz w:val="16"/>
          <w:szCs w:val="16"/>
          <w:color w:val="003A70"/>
        </w:rPr>
      </w:pPr>
    </w:p>
    <w:p>
      <w:pPr>
        <w:ind w:left="680" w:right="200" w:hanging="222"/>
        <w:spacing w:after="0" w:line="271" w:lineRule="auto"/>
        <w:tabs>
          <w:tab w:leader="none" w:pos="680" w:val="left"/>
        </w:tabs>
        <w:numPr>
          <w:ilvl w:val="0"/>
          <w:numId w:val="81"/>
        </w:numPr>
        <w:rPr>
          <w:rFonts w:ascii="Arial" w:cs="Arial" w:eastAsia="Arial" w:hAnsi="Arial"/>
          <w:sz w:val="16"/>
          <w:szCs w:val="16"/>
          <w:color w:val="003A70"/>
        </w:rPr>
      </w:pPr>
      <w:r>
        <w:rPr>
          <w:rFonts w:ascii="Arial" w:cs="Arial" w:eastAsia="Arial" w:hAnsi="Arial"/>
          <w:sz w:val="16"/>
          <w:szCs w:val="16"/>
          <w:color w:val="auto"/>
        </w:rPr>
        <w:t>Total Revenue, a top line financial measure that captures the business and brand contributions to overall Company financials, used in the short-term incentive program</w:t>
      </w:r>
    </w:p>
    <w:p>
      <w:pPr>
        <w:spacing w:after="0" w:line="1" w:lineRule="exact"/>
        <w:rPr>
          <w:rFonts w:ascii="Arial" w:cs="Arial" w:eastAsia="Arial" w:hAnsi="Arial"/>
          <w:sz w:val="16"/>
          <w:szCs w:val="16"/>
          <w:color w:val="003A70"/>
        </w:rPr>
      </w:pPr>
    </w:p>
    <w:p>
      <w:pPr>
        <w:ind w:left="680" w:right="600" w:hanging="222"/>
        <w:spacing w:after="0" w:line="284" w:lineRule="auto"/>
        <w:tabs>
          <w:tab w:leader="none" w:pos="680" w:val="left"/>
        </w:tabs>
        <w:numPr>
          <w:ilvl w:val="0"/>
          <w:numId w:val="81"/>
        </w:numPr>
        <w:rPr>
          <w:rFonts w:ascii="Arial" w:cs="Arial" w:eastAsia="Arial" w:hAnsi="Arial"/>
          <w:sz w:val="16"/>
          <w:szCs w:val="16"/>
          <w:color w:val="003A70"/>
        </w:rPr>
      </w:pPr>
      <w:r>
        <w:rPr>
          <w:rFonts w:ascii="Arial" w:cs="Arial" w:eastAsia="Arial" w:hAnsi="Arial"/>
          <w:sz w:val="16"/>
          <w:szCs w:val="16"/>
          <w:color w:val="auto"/>
        </w:rPr>
        <w:t>Adjusted Return on Invested Capital, a strong driver of free cash flow and important comparator to other companies, used in the long-term incentive program</w:t>
      </w:r>
    </w:p>
    <w:p>
      <w:pPr>
        <w:spacing w:after="0" w:line="18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003A70"/>
              </w:rPr>
              <w:t>Average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003A70"/>
              </w:rPr>
              <w:t>Value of Initial Fixed $100</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003A70"/>
              </w:rPr>
              <w:t>Investment Based on:</w:t>
            </w: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003A70"/>
              </w:rPr>
              <w:t>Summary</w:t>
            </w:r>
          </w:p>
        </w:tc>
        <w:tc>
          <w:tcPr>
            <w:tcW w:w="280" w:type="dxa"/>
            <w:vAlign w:val="bottom"/>
          </w:tcPr>
          <w:p>
            <w:pPr>
              <w:spacing w:after="0"/>
              <w:rPr>
                <w:sz w:val="7"/>
                <w:szCs w:val="7"/>
                <w:color w:val="auto"/>
              </w:rPr>
            </w:pPr>
          </w:p>
        </w:tc>
        <w:tc>
          <w:tcPr>
            <w:tcW w:w="90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003A70"/>
              </w:rPr>
              <w:t>Average</w:t>
            </w:r>
          </w:p>
        </w:tc>
        <w:tc>
          <w:tcPr>
            <w:tcW w:w="200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340" w:type="dxa"/>
            <w:vAlign w:val="bottom"/>
            <w:tcBorders>
              <w:bottom w:val="single" w:sz="8" w:color="003A70"/>
            </w:tcBorders>
          </w:tcPr>
          <w:p>
            <w:pPr>
              <w:spacing w:after="0"/>
              <w:rPr>
                <w:sz w:val="2"/>
                <w:szCs w:val="2"/>
                <w:color w:val="auto"/>
              </w:rPr>
            </w:pPr>
          </w:p>
        </w:tc>
        <w:tc>
          <w:tcPr>
            <w:tcW w:w="640" w:type="dxa"/>
            <w:vAlign w:val="bottom"/>
            <w:tcBorders>
              <w:bottom w:val="single" w:sz="8" w:color="003A70"/>
            </w:tcBorders>
          </w:tcPr>
          <w:p>
            <w:pPr>
              <w:spacing w:after="0"/>
              <w:rPr>
                <w:sz w:val="2"/>
                <w:szCs w:val="2"/>
                <w:color w:val="auto"/>
              </w:rPr>
            </w:pPr>
          </w:p>
        </w:tc>
        <w:tc>
          <w:tcPr>
            <w:tcW w:w="420" w:type="dxa"/>
            <w:vAlign w:val="bottom"/>
            <w:tcBorders>
              <w:bottom w:val="single" w:sz="8" w:color="003A70"/>
            </w:tcBorders>
          </w:tcPr>
          <w:p>
            <w:pPr>
              <w:spacing w:after="0"/>
              <w:rPr>
                <w:sz w:val="2"/>
                <w:szCs w:val="2"/>
                <w:color w:val="auto"/>
              </w:rPr>
            </w:pPr>
          </w:p>
        </w:tc>
        <w:tc>
          <w:tcPr>
            <w:tcW w:w="600" w:type="dxa"/>
            <w:vAlign w:val="bottom"/>
            <w:tcBorders>
              <w:bottom w:val="single" w:sz="8" w:color="003A70"/>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3A70"/>
              </w:rPr>
              <w:t>S&amp;P</w:t>
            </w: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003A70"/>
              </w:rPr>
              <w:t>Compensation</w:t>
            </w:r>
          </w:p>
        </w:tc>
        <w:tc>
          <w:tcPr>
            <w:tcW w:w="11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003A70"/>
              </w:rPr>
              <w:t>Compensation</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Table Total</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Actually Paid</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Composite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003A70"/>
              </w:rPr>
              <w:t>Summary</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Compensation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for Non-PEO</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to Non-PEO</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1500 Hotels,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3A70"/>
              </w:rPr>
              <w:t>Adjusted</w:t>
            </w: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62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003A70"/>
              </w:rPr>
              <w:t>Compensation</w:t>
            </w:r>
          </w:p>
        </w:tc>
        <w:tc>
          <w:tcPr>
            <w:tcW w:w="280" w:type="dxa"/>
            <w:vAlign w:val="bottom"/>
          </w:tcPr>
          <w:p>
            <w:pPr>
              <w:spacing w:after="0"/>
              <w:rPr>
                <w:sz w:val="14"/>
                <w:szCs w:val="14"/>
                <w:color w:val="auto"/>
              </w:rPr>
            </w:pPr>
          </w:p>
        </w:tc>
        <w:tc>
          <w:tcPr>
            <w:tcW w:w="960" w:type="dxa"/>
            <w:vAlign w:val="bottom"/>
          </w:tcPr>
          <w:p>
            <w:pPr>
              <w:jc w:val="center"/>
              <w:ind w:right="206"/>
              <w:spacing w:after="0"/>
              <w:rPr>
                <w:sz w:val="20"/>
                <w:szCs w:val="20"/>
                <w:color w:val="auto"/>
              </w:rPr>
            </w:pPr>
            <w:r>
              <w:rPr>
                <w:rFonts w:ascii="Arial" w:cs="Arial" w:eastAsia="Arial" w:hAnsi="Arial"/>
                <w:sz w:val="14"/>
                <w:szCs w:val="14"/>
                <w:b w:val="1"/>
                <w:bCs w:val="1"/>
                <w:color w:val="003A70"/>
              </w:rPr>
              <w:t>Actually</w:t>
            </w:r>
          </w:p>
        </w:tc>
        <w:tc>
          <w:tcPr>
            <w:tcW w:w="260" w:type="dxa"/>
            <w:vAlign w:val="bottom"/>
          </w:tcPr>
          <w:p>
            <w:pPr>
              <w:spacing w:after="0"/>
              <w:rPr>
                <w:sz w:val="14"/>
                <w:szCs w:val="14"/>
                <w:color w:val="auto"/>
              </w:rPr>
            </w:pPr>
          </w:p>
        </w:tc>
        <w:tc>
          <w:tcPr>
            <w:tcW w:w="920" w:type="dxa"/>
            <w:vAlign w:val="bottom"/>
          </w:tcPr>
          <w:p>
            <w:pPr>
              <w:jc w:val="center"/>
              <w:ind w:right="183"/>
              <w:spacing w:after="0"/>
              <w:rPr>
                <w:sz w:val="20"/>
                <w:szCs w:val="20"/>
                <w:color w:val="auto"/>
              </w:rPr>
            </w:pPr>
            <w:r>
              <w:rPr>
                <w:rFonts w:ascii="Arial" w:cs="Arial" w:eastAsia="Arial" w:hAnsi="Arial"/>
                <w:sz w:val="14"/>
                <w:szCs w:val="14"/>
                <w:b w:val="1"/>
                <w:bCs w:val="1"/>
                <w:color w:val="003A70"/>
                <w:w w:val="98"/>
              </w:rPr>
              <w:t>Named</w:t>
            </w:r>
          </w:p>
        </w:tc>
        <w:tc>
          <w:tcPr>
            <w:tcW w:w="280" w:type="dxa"/>
            <w:vAlign w:val="bottom"/>
          </w:tcPr>
          <w:p>
            <w:pPr>
              <w:spacing w:after="0"/>
              <w:rPr>
                <w:sz w:val="14"/>
                <w:szCs w:val="14"/>
                <w:color w:val="auto"/>
              </w:rPr>
            </w:pPr>
          </w:p>
        </w:tc>
        <w:tc>
          <w:tcPr>
            <w:tcW w:w="900" w:type="dxa"/>
            <w:vAlign w:val="bottom"/>
          </w:tcPr>
          <w:p>
            <w:pPr>
              <w:jc w:val="center"/>
              <w:ind w:right="222"/>
              <w:spacing w:after="0"/>
              <w:rPr>
                <w:sz w:val="20"/>
                <w:szCs w:val="20"/>
                <w:color w:val="auto"/>
              </w:rPr>
            </w:pPr>
            <w:r>
              <w:rPr>
                <w:rFonts w:ascii="Arial" w:cs="Arial" w:eastAsia="Arial" w:hAnsi="Arial"/>
                <w:sz w:val="14"/>
                <w:szCs w:val="14"/>
                <w:b w:val="1"/>
                <w:bCs w:val="1"/>
                <w:color w:val="003A70"/>
              </w:rPr>
              <w:t>Named</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003A70"/>
              </w:rPr>
              <w:t>MVW Total</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Resorts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3A70"/>
              </w:rPr>
              <w:t>EBITDA</w:t>
            </w: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62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003A70"/>
              </w:rPr>
              <w:t>Table Total for</w:t>
            </w:r>
          </w:p>
        </w:tc>
        <w:tc>
          <w:tcPr>
            <w:tcW w:w="280" w:type="dxa"/>
            <w:vAlign w:val="bottom"/>
          </w:tcPr>
          <w:p>
            <w:pPr>
              <w:spacing w:after="0"/>
              <w:rPr>
                <w:sz w:val="14"/>
                <w:szCs w:val="14"/>
                <w:color w:val="auto"/>
              </w:rPr>
            </w:pPr>
          </w:p>
        </w:tc>
        <w:tc>
          <w:tcPr>
            <w:tcW w:w="960" w:type="dxa"/>
            <w:vAlign w:val="bottom"/>
          </w:tcPr>
          <w:p>
            <w:pPr>
              <w:jc w:val="center"/>
              <w:ind w:right="206"/>
              <w:spacing w:after="0"/>
              <w:rPr>
                <w:sz w:val="20"/>
                <w:szCs w:val="20"/>
                <w:color w:val="auto"/>
              </w:rPr>
            </w:pPr>
            <w:r>
              <w:rPr>
                <w:rFonts w:ascii="Arial" w:cs="Arial" w:eastAsia="Arial" w:hAnsi="Arial"/>
                <w:sz w:val="14"/>
                <w:szCs w:val="14"/>
                <w:b w:val="1"/>
                <w:bCs w:val="1"/>
                <w:color w:val="003A70"/>
              </w:rPr>
              <w:t>Paid to</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Executive</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Executive</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003A70"/>
              </w:rPr>
              <w:t>Stockholder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Cruise TSR</w:t>
            </w:r>
          </w:p>
        </w:tc>
        <w:tc>
          <w:tcPr>
            <w:tcW w:w="240" w:type="dxa"/>
            <w:vAlign w:val="bottom"/>
          </w:tcPr>
          <w:p>
            <w:pPr>
              <w:spacing w:after="0"/>
              <w:rPr>
                <w:sz w:val="14"/>
                <w:szCs w:val="14"/>
                <w:color w:val="auto"/>
              </w:rPr>
            </w:pPr>
          </w:p>
        </w:tc>
        <w:tc>
          <w:tcPr>
            <w:tcW w:w="1100" w:type="dxa"/>
            <w:vAlign w:val="bottom"/>
          </w:tcPr>
          <w:p>
            <w:pPr>
              <w:jc w:val="right"/>
              <w:ind w:right="222"/>
              <w:spacing w:after="0"/>
              <w:rPr>
                <w:sz w:val="20"/>
                <w:szCs w:val="20"/>
                <w:color w:val="auto"/>
              </w:rPr>
            </w:pPr>
            <w:r>
              <w:rPr>
                <w:rFonts w:ascii="Arial" w:cs="Arial" w:eastAsia="Arial" w:hAnsi="Arial"/>
                <w:sz w:val="14"/>
                <w:szCs w:val="14"/>
                <w:b w:val="1"/>
                <w:bCs w:val="1"/>
                <w:color w:val="003A70"/>
              </w:rPr>
              <w:t>Net Income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3A70"/>
              </w:rPr>
              <w:t>(Company</w:t>
            </w:r>
          </w:p>
        </w:tc>
        <w:tc>
          <w:tcPr>
            <w:tcW w:w="0" w:type="dxa"/>
            <w:vAlign w:val="bottom"/>
          </w:tcPr>
          <w:p>
            <w:pPr>
              <w:spacing w:after="0"/>
              <w:rPr>
                <w:sz w:val="1"/>
                <w:szCs w:val="1"/>
                <w:color w:val="auto"/>
              </w:rPr>
            </w:pPr>
          </w:p>
        </w:tc>
      </w:tr>
      <w:tr>
        <w:trPr>
          <w:trHeight w:val="249"/>
        </w:trPr>
        <w:tc>
          <w:tcPr>
            <w:tcW w:w="12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Fiscal Year</w:t>
            </w:r>
          </w:p>
        </w:tc>
        <w:tc>
          <w:tcPr>
            <w:tcW w:w="660" w:type="dxa"/>
            <w:vAlign w:val="bottom"/>
            <w:tcBorders>
              <w:bottom w:val="single" w:sz="8" w:color="003A70"/>
            </w:tcBorders>
          </w:tcPr>
          <w:p>
            <w:pPr>
              <w:spacing w:after="0"/>
              <w:rPr>
                <w:sz w:val="21"/>
                <w:szCs w:val="21"/>
                <w:color w:val="auto"/>
              </w:rPr>
            </w:pPr>
          </w:p>
        </w:tc>
        <w:tc>
          <w:tcPr>
            <w:tcW w:w="960" w:type="dxa"/>
            <w:vAlign w:val="bottom"/>
            <w:tcBorders>
              <w:bottom w:val="single" w:sz="8" w:color="003A70"/>
            </w:tcBorders>
          </w:tcPr>
          <w:p>
            <w:pPr>
              <w:jc w:val="center"/>
              <w:ind w:right="182"/>
              <w:spacing w:after="0"/>
              <w:rPr>
                <w:sz w:val="20"/>
                <w:szCs w:val="20"/>
                <w:color w:val="auto"/>
              </w:rPr>
            </w:pPr>
            <w:r>
              <w:rPr>
                <w:rFonts w:ascii="Arial" w:cs="Arial" w:eastAsia="Arial" w:hAnsi="Arial"/>
                <w:sz w:val="14"/>
                <w:szCs w:val="14"/>
                <w:b w:val="1"/>
                <w:bCs w:val="1"/>
                <w:color w:val="003A70"/>
              </w:rPr>
              <w:t>PEO</w:t>
            </w:r>
          </w:p>
        </w:tc>
        <w:tc>
          <w:tcPr>
            <w:tcW w:w="280" w:type="dxa"/>
            <w:vAlign w:val="bottom"/>
            <w:tcBorders>
              <w:bottom w:val="single" w:sz="8" w:color="003A70"/>
            </w:tcBorders>
          </w:tcPr>
          <w:p>
            <w:pPr>
              <w:spacing w:after="0"/>
              <w:rPr>
                <w:sz w:val="21"/>
                <w:szCs w:val="21"/>
                <w:color w:val="auto"/>
              </w:rPr>
            </w:pPr>
          </w:p>
        </w:tc>
        <w:tc>
          <w:tcPr>
            <w:tcW w:w="960" w:type="dxa"/>
            <w:vAlign w:val="bottom"/>
            <w:tcBorders>
              <w:bottom w:val="single" w:sz="8" w:color="003A70"/>
            </w:tcBorders>
          </w:tcPr>
          <w:p>
            <w:pPr>
              <w:jc w:val="center"/>
              <w:ind w:right="186"/>
              <w:spacing w:after="0" w:line="242" w:lineRule="exact"/>
              <w:rPr>
                <w:sz w:val="20"/>
                <w:szCs w:val="20"/>
                <w:color w:val="auto"/>
              </w:rPr>
            </w:pPr>
            <w:r>
              <w:rPr>
                <w:rFonts w:ascii="Arial" w:cs="Arial" w:eastAsia="Arial" w:hAnsi="Arial"/>
                <w:sz w:val="28"/>
                <w:szCs w:val="28"/>
                <w:b w:val="1"/>
                <w:bCs w:val="1"/>
                <w:color w:val="003A70"/>
                <w:w w:val="86"/>
                <w:vertAlign w:val="subscript"/>
              </w:rPr>
              <w:t>PEO</w:t>
            </w:r>
            <w:r>
              <w:rPr>
                <w:rFonts w:ascii="Arial" w:cs="Arial" w:eastAsia="Arial" w:hAnsi="Arial"/>
                <w:sz w:val="9"/>
                <w:szCs w:val="9"/>
                <w:color w:val="003A70"/>
                <w:w w:val="86"/>
              </w:rPr>
              <w:t>1,2,3,4</w:t>
            </w:r>
          </w:p>
        </w:tc>
        <w:tc>
          <w:tcPr>
            <w:tcW w:w="260" w:type="dxa"/>
            <w:vAlign w:val="bottom"/>
            <w:tcBorders>
              <w:bottom w:val="single" w:sz="8" w:color="003A70"/>
            </w:tcBorders>
          </w:tcPr>
          <w:p>
            <w:pPr>
              <w:spacing w:after="0"/>
              <w:rPr>
                <w:sz w:val="21"/>
                <w:szCs w:val="21"/>
                <w:color w:val="auto"/>
              </w:rPr>
            </w:pPr>
          </w:p>
        </w:tc>
        <w:tc>
          <w:tcPr>
            <w:tcW w:w="920" w:type="dxa"/>
            <w:vAlign w:val="bottom"/>
            <w:tcBorders>
              <w:bottom w:val="single" w:sz="8" w:color="003A70"/>
            </w:tcBorders>
          </w:tcPr>
          <w:p>
            <w:pPr>
              <w:jc w:val="center"/>
              <w:ind w:right="183"/>
              <w:spacing w:after="0"/>
              <w:rPr>
                <w:sz w:val="20"/>
                <w:szCs w:val="20"/>
                <w:color w:val="auto"/>
              </w:rPr>
            </w:pPr>
            <w:r>
              <w:rPr>
                <w:rFonts w:ascii="Arial" w:cs="Arial" w:eastAsia="Arial" w:hAnsi="Arial"/>
                <w:sz w:val="14"/>
                <w:szCs w:val="14"/>
                <w:b w:val="1"/>
                <w:bCs w:val="1"/>
                <w:color w:val="003A70"/>
              </w:rPr>
              <w:t>Officers</w:t>
            </w:r>
          </w:p>
        </w:tc>
        <w:tc>
          <w:tcPr>
            <w:tcW w:w="118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b w:val="1"/>
                <w:bCs w:val="1"/>
                <w:color w:val="003A70"/>
                <w:w w:val="91"/>
              </w:rPr>
              <w:t>Officers</w:t>
            </w:r>
            <w:r>
              <w:rPr>
                <w:rFonts w:ascii="Arial" w:cs="Arial" w:eastAsia="Arial" w:hAnsi="Arial"/>
                <w:sz w:val="17"/>
                <w:szCs w:val="17"/>
                <w:color w:val="003A70"/>
                <w:w w:val="91"/>
                <w:vertAlign w:val="superscript"/>
              </w:rPr>
              <w:t>1,2,5,6</w:t>
            </w:r>
          </w:p>
        </w:tc>
        <w:tc>
          <w:tcPr>
            <w:tcW w:w="980" w:type="dxa"/>
            <w:vAlign w:val="bottom"/>
            <w:tcBorders>
              <w:bottom w:val="single" w:sz="8" w:color="003A70"/>
            </w:tcBorders>
            <w:gridSpan w:val="2"/>
          </w:tcPr>
          <w:p>
            <w:pPr>
              <w:ind w:left="260"/>
              <w:spacing w:after="0"/>
              <w:rPr>
                <w:sz w:val="20"/>
                <w:szCs w:val="20"/>
                <w:color w:val="auto"/>
              </w:rPr>
            </w:pPr>
            <w:r>
              <w:rPr>
                <w:rFonts w:ascii="Arial" w:cs="Arial" w:eastAsia="Arial" w:hAnsi="Arial"/>
                <w:sz w:val="14"/>
                <w:szCs w:val="14"/>
                <w:b w:val="1"/>
                <w:bCs w:val="1"/>
                <w:color w:val="003A70"/>
              </w:rPr>
              <w:t>Return</w:t>
            </w:r>
          </w:p>
        </w:tc>
        <w:tc>
          <w:tcPr>
            <w:tcW w:w="102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b w:val="1"/>
                <w:bCs w:val="1"/>
                <w:color w:val="003A70"/>
              </w:rPr>
              <w:t>Index</w:t>
            </w:r>
          </w:p>
        </w:tc>
        <w:tc>
          <w:tcPr>
            <w:tcW w:w="240" w:type="dxa"/>
            <w:vAlign w:val="bottom"/>
            <w:tcBorders>
              <w:bottom w:val="single" w:sz="8" w:color="003A70"/>
            </w:tcBorders>
          </w:tcPr>
          <w:p>
            <w:pPr>
              <w:spacing w:after="0"/>
              <w:rPr>
                <w:sz w:val="21"/>
                <w:szCs w:val="21"/>
                <w:color w:val="auto"/>
              </w:rPr>
            </w:pPr>
          </w:p>
        </w:tc>
        <w:tc>
          <w:tcPr>
            <w:tcW w:w="1100" w:type="dxa"/>
            <w:vAlign w:val="bottom"/>
            <w:tcBorders>
              <w:bottom w:val="single" w:sz="8" w:color="003A70"/>
            </w:tcBorders>
          </w:tcPr>
          <w:p>
            <w:pPr>
              <w:jc w:val="right"/>
              <w:ind w:right="402"/>
              <w:spacing w:after="0"/>
              <w:rPr>
                <w:sz w:val="20"/>
                <w:szCs w:val="20"/>
                <w:color w:val="auto"/>
              </w:rPr>
            </w:pPr>
            <w:r>
              <w:rPr>
                <w:rFonts w:ascii="Arial" w:cs="Arial" w:eastAsia="Arial" w:hAnsi="Arial"/>
                <w:sz w:val="14"/>
                <w:szCs w:val="14"/>
                <w:b w:val="1"/>
                <w:bCs w:val="1"/>
                <w:color w:val="003A70"/>
              </w:rPr>
              <w:t>(Loss)</w:t>
            </w:r>
          </w:p>
        </w:tc>
        <w:tc>
          <w:tcPr>
            <w:tcW w:w="12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Measure)</w:t>
            </w:r>
            <w:r>
              <w:rPr>
                <w:rFonts w:ascii="Arial" w:cs="Arial" w:eastAsia="Arial" w:hAnsi="Arial"/>
                <w:sz w:val="17"/>
                <w:szCs w:val="17"/>
                <w:color w:val="003A70"/>
                <w:vertAlign w:val="superscript"/>
              </w:rPr>
              <w:t>7</w:t>
            </w:r>
          </w:p>
        </w:tc>
        <w:tc>
          <w:tcPr>
            <w:tcW w:w="0" w:type="dxa"/>
            <w:vAlign w:val="bottom"/>
          </w:tcPr>
          <w:p>
            <w:pPr>
              <w:spacing w:after="0"/>
              <w:rPr>
                <w:sz w:val="1"/>
                <w:szCs w:val="1"/>
                <w:color w:val="auto"/>
              </w:rPr>
            </w:pPr>
          </w:p>
        </w:tc>
      </w:tr>
      <w:tr>
        <w:trPr>
          <w:trHeight w:val="174"/>
        </w:trPr>
        <w:tc>
          <w:tcPr>
            <w:tcW w:w="1220" w:type="dxa"/>
            <w:vAlign w:val="bottom"/>
          </w:tcPr>
          <w:p>
            <w:pPr>
              <w:spacing w:after="0" w:line="175" w:lineRule="exact"/>
              <w:rPr>
                <w:sz w:val="20"/>
                <w:szCs w:val="20"/>
                <w:color w:val="auto"/>
              </w:rPr>
            </w:pPr>
            <w:r>
              <w:rPr>
                <w:rFonts w:ascii="Arial" w:cs="Arial" w:eastAsia="Arial" w:hAnsi="Arial"/>
                <w:sz w:val="16"/>
                <w:szCs w:val="16"/>
                <w:color w:val="auto"/>
              </w:rPr>
              <w:t>2024</w:t>
            </w:r>
          </w:p>
        </w:tc>
        <w:tc>
          <w:tcPr>
            <w:tcW w:w="660" w:type="dxa"/>
            <w:vAlign w:val="bottom"/>
          </w:tcPr>
          <w:p>
            <w:pPr>
              <w:jc w:val="right"/>
              <w:ind w:right="24"/>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line="175" w:lineRule="exact"/>
              <w:rPr>
                <w:sz w:val="20"/>
                <w:szCs w:val="20"/>
                <w:color w:val="auto"/>
              </w:rPr>
            </w:pPr>
            <w:r>
              <w:rPr>
                <w:rFonts w:ascii="Arial" w:cs="Arial" w:eastAsia="Arial" w:hAnsi="Arial"/>
                <w:sz w:val="16"/>
                <w:szCs w:val="16"/>
                <w:color w:val="auto"/>
              </w:rPr>
              <w:t>7,437,761</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
              <w:spacing w:after="0" w:line="175" w:lineRule="exact"/>
              <w:rPr>
                <w:sz w:val="20"/>
                <w:szCs w:val="20"/>
                <w:color w:val="auto"/>
              </w:rPr>
            </w:pPr>
            <w:r>
              <w:rPr>
                <w:rFonts w:ascii="Arial" w:cs="Arial" w:eastAsia="Arial" w:hAnsi="Arial"/>
                <w:sz w:val="16"/>
                <w:szCs w:val="16"/>
                <w:color w:val="auto"/>
              </w:rPr>
              <w:t>5,767,942</w:t>
            </w:r>
          </w:p>
        </w:tc>
        <w:tc>
          <w:tcPr>
            <w:tcW w:w="260" w:type="dxa"/>
            <w:vAlign w:val="bottom"/>
          </w:tcPr>
          <w:p>
            <w:pPr>
              <w:jc w:val="right"/>
              <w:ind w:right="5"/>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line="175" w:lineRule="exact"/>
              <w:rPr>
                <w:sz w:val="20"/>
                <w:szCs w:val="20"/>
                <w:color w:val="auto"/>
              </w:rPr>
            </w:pPr>
            <w:r>
              <w:rPr>
                <w:rFonts w:ascii="Arial" w:cs="Arial" w:eastAsia="Arial" w:hAnsi="Arial"/>
                <w:sz w:val="16"/>
                <w:szCs w:val="16"/>
                <w:color w:val="auto"/>
              </w:rPr>
              <w:t>2,086,757</w:t>
            </w:r>
          </w:p>
        </w:tc>
        <w:tc>
          <w:tcPr>
            <w:tcW w:w="280" w:type="dxa"/>
            <w:vAlign w:val="bottom"/>
          </w:tcPr>
          <w:p>
            <w:pPr>
              <w:jc w:val="right"/>
              <w:ind w:right="46"/>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1,596,477</w:t>
            </w:r>
          </w:p>
        </w:tc>
        <w:tc>
          <w:tcPr>
            <w:tcW w:w="340" w:type="dxa"/>
            <w:vAlign w:val="bottom"/>
          </w:tcPr>
          <w:p>
            <w:pPr>
              <w:ind w:left="60"/>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77.66</w:t>
            </w:r>
          </w:p>
        </w:tc>
        <w:tc>
          <w:tcPr>
            <w:tcW w:w="420" w:type="dxa"/>
            <w:vAlign w:val="bottom"/>
          </w:tcPr>
          <w:p>
            <w:pPr>
              <w:jc w:val="right"/>
              <w:ind w:right="166"/>
              <w:spacing w:after="0" w:line="175"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98"/>
              </w:rPr>
              <w:t>149.90</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line="175" w:lineRule="exact"/>
              <w:rPr>
                <w:sz w:val="20"/>
                <w:szCs w:val="20"/>
                <w:color w:val="auto"/>
              </w:rPr>
            </w:pPr>
            <w:r>
              <w:rPr>
                <w:rFonts w:ascii="Arial" w:cs="Arial" w:eastAsia="Arial" w:hAnsi="Arial"/>
                <w:sz w:val="16"/>
                <w:szCs w:val="16"/>
                <w:color w:val="auto"/>
              </w:rPr>
              <w:t>217,058,511</w:t>
            </w:r>
          </w:p>
        </w:tc>
        <w:tc>
          <w:tcPr>
            <w:tcW w:w="1200" w:type="dxa"/>
            <w:vAlign w:val="bottom"/>
          </w:tcPr>
          <w:p>
            <w:pPr>
              <w:jc w:val="right"/>
              <w:ind w:right="3"/>
              <w:spacing w:after="0" w:line="175" w:lineRule="exact"/>
              <w:rPr>
                <w:sz w:val="20"/>
                <w:szCs w:val="20"/>
                <w:color w:val="auto"/>
              </w:rPr>
            </w:pPr>
            <w:r>
              <w:rPr>
                <w:rFonts w:ascii="Arial" w:cs="Arial" w:eastAsia="Arial" w:hAnsi="Arial"/>
                <w:sz w:val="16"/>
                <w:szCs w:val="16"/>
                <w:color w:val="auto"/>
              </w:rPr>
              <w:t>$ 726,920,650</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20"/>
                <w:szCs w:val="20"/>
                <w:color w:val="auto"/>
              </w:rPr>
            </w:pPr>
            <w:r>
              <w:rPr>
                <w:rFonts w:ascii="Arial" w:cs="Arial" w:eastAsia="Arial" w:hAnsi="Arial"/>
                <w:sz w:val="16"/>
                <w:szCs w:val="16"/>
                <w:color w:val="auto"/>
              </w:rPr>
              <w:t>2023</w:t>
            </w:r>
          </w:p>
        </w:tc>
        <w:tc>
          <w:tcPr>
            <w:tcW w:w="6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5,360,952</w:t>
            </w:r>
          </w:p>
        </w:tc>
        <w:tc>
          <w:tcPr>
            <w:tcW w:w="28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1,100,008</w:t>
            </w:r>
          </w:p>
        </w:tc>
        <w:tc>
          <w:tcPr>
            <w:tcW w:w="26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1,915,795</w:t>
            </w:r>
          </w:p>
        </w:tc>
        <w:tc>
          <w:tcPr>
            <w:tcW w:w="2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581,977</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70.60</w:t>
            </w:r>
          </w:p>
        </w:tc>
        <w:tc>
          <w:tcPr>
            <w:tcW w:w="42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114.30</w:t>
            </w:r>
          </w:p>
        </w:tc>
        <w:tc>
          <w:tcPr>
            <w:tcW w:w="240" w:type="dxa"/>
            <w:vAlign w:val="bottom"/>
          </w:tcPr>
          <w:p>
            <w:pPr>
              <w:spacing w:after="0"/>
              <w:rPr>
                <w:sz w:val="16"/>
                <w:szCs w:val="16"/>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253,228,121</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760,717,150</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20"/>
                <w:szCs w:val="20"/>
                <w:color w:val="auto"/>
              </w:rPr>
            </w:pPr>
            <w:r>
              <w:rPr>
                <w:rFonts w:ascii="Arial" w:cs="Arial" w:eastAsia="Arial" w:hAnsi="Arial"/>
                <w:sz w:val="16"/>
                <w:szCs w:val="16"/>
                <w:color w:val="auto"/>
              </w:rPr>
              <w:t>2022</w:t>
            </w:r>
          </w:p>
        </w:tc>
        <w:tc>
          <w:tcPr>
            <w:tcW w:w="6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9,832,891</w:t>
            </w:r>
          </w:p>
        </w:tc>
        <w:tc>
          <w:tcPr>
            <w:tcW w:w="28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6,159,868</w:t>
            </w:r>
          </w:p>
        </w:tc>
        <w:tc>
          <w:tcPr>
            <w:tcW w:w="26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3,016,545</w:t>
            </w:r>
          </w:p>
        </w:tc>
        <w:tc>
          <w:tcPr>
            <w:tcW w:w="2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2,256,841</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107.79</w:t>
            </w:r>
          </w:p>
        </w:tc>
        <w:tc>
          <w:tcPr>
            <w:tcW w:w="42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71.44</w:t>
            </w:r>
          </w:p>
        </w:tc>
        <w:tc>
          <w:tcPr>
            <w:tcW w:w="240" w:type="dxa"/>
            <w:vAlign w:val="bottom"/>
          </w:tcPr>
          <w:p>
            <w:pPr>
              <w:jc w:val="right"/>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390,774,814</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 966,274,378</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20"/>
                <w:szCs w:val="20"/>
                <w:color w:val="auto"/>
              </w:rPr>
            </w:pPr>
            <w:r>
              <w:rPr>
                <w:rFonts w:ascii="Arial" w:cs="Arial" w:eastAsia="Arial" w:hAnsi="Arial"/>
                <w:sz w:val="16"/>
                <w:szCs w:val="16"/>
                <w:color w:val="auto"/>
              </w:rPr>
              <w:t>2021</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13,223,937</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17,472,019</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3,405,201</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4,215,723</w:t>
            </w:r>
          </w:p>
        </w:tc>
        <w:tc>
          <w:tcPr>
            <w:tcW w:w="340" w:type="dxa"/>
            <w:vAlign w:val="bottom"/>
          </w:tcPr>
          <w:p>
            <w:pPr>
              <w:ind w:left="240"/>
              <w:spacing w:after="0"/>
              <w:rPr>
                <w:sz w:val="20"/>
                <w:szCs w:val="20"/>
                <w:color w:val="auto"/>
              </w:rPr>
            </w:pPr>
            <w:r>
              <w:rPr>
                <w:rFonts w:ascii="Arial" w:cs="Arial" w:eastAsia="Arial" w:hAnsi="Arial"/>
                <w:sz w:val="11"/>
                <w:szCs w:val="11"/>
                <w:color w:val="auto"/>
                <w:w w:val="72"/>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132.49</w:t>
            </w:r>
          </w:p>
        </w:tc>
        <w:tc>
          <w:tcPr>
            <w:tcW w:w="420" w:type="dxa"/>
            <w:vAlign w:val="bottom"/>
          </w:tcPr>
          <w:p>
            <w:pPr>
              <w:jc w:val="right"/>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94.12</w:t>
            </w:r>
          </w:p>
        </w:tc>
        <w:tc>
          <w:tcPr>
            <w:tcW w:w="240" w:type="dxa"/>
            <w:vAlign w:val="bottom"/>
          </w:tcPr>
          <w:p>
            <w:pPr>
              <w:spacing w:after="0"/>
              <w:rPr>
                <w:sz w:val="16"/>
                <w:szCs w:val="16"/>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52,634,216</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656,728,515</w:t>
            </w:r>
          </w:p>
        </w:tc>
        <w:tc>
          <w:tcPr>
            <w:tcW w:w="0" w:type="dxa"/>
            <w:vAlign w:val="bottom"/>
          </w:tcPr>
          <w:p>
            <w:pPr>
              <w:spacing w:after="0"/>
              <w:rPr>
                <w:sz w:val="1"/>
                <w:szCs w:val="1"/>
                <w:color w:val="auto"/>
              </w:rPr>
            </w:pPr>
          </w:p>
        </w:tc>
      </w:tr>
      <w:tr>
        <w:trPr>
          <w:trHeight w:val="202"/>
        </w:trPr>
        <w:tc>
          <w:tcPr>
            <w:tcW w:w="122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003A70"/>
            </w:tcBorders>
          </w:tcPr>
          <w:p>
            <w:pPr>
              <w:spacing w:after="0"/>
              <w:rPr>
                <w:sz w:val="17"/>
                <w:szCs w:val="17"/>
                <w:color w:val="auto"/>
              </w:rPr>
            </w:pPr>
          </w:p>
        </w:tc>
        <w:tc>
          <w:tcPr>
            <w:tcW w:w="960" w:type="dxa"/>
            <w:vAlign w:val="bottom"/>
            <w:tcBorders>
              <w:bottom w:val="single" w:sz="8" w:color="003A70"/>
            </w:tcBorders>
          </w:tcPr>
          <w:p>
            <w:pPr>
              <w:jc w:val="right"/>
              <w:ind w:right="2"/>
              <w:spacing w:after="0"/>
              <w:rPr>
                <w:sz w:val="20"/>
                <w:szCs w:val="20"/>
                <w:color w:val="auto"/>
              </w:rPr>
            </w:pPr>
            <w:r>
              <w:rPr>
                <w:rFonts w:ascii="Arial" w:cs="Arial" w:eastAsia="Arial" w:hAnsi="Arial"/>
                <w:sz w:val="16"/>
                <w:szCs w:val="16"/>
                <w:color w:val="auto"/>
              </w:rPr>
              <w:t>6,134,009</w:t>
            </w:r>
          </w:p>
        </w:tc>
        <w:tc>
          <w:tcPr>
            <w:tcW w:w="280" w:type="dxa"/>
            <w:vAlign w:val="bottom"/>
            <w:tcBorders>
              <w:bottom w:val="single" w:sz="8" w:color="003A70"/>
            </w:tcBorders>
          </w:tcPr>
          <w:p>
            <w:pPr>
              <w:spacing w:after="0"/>
              <w:rPr>
                <w:sz w:val="17"/>
                <w:szCs w:val="17"/>
                <w:color w:val="auto"/>
              </w:rPr>
            </w:pPr>
          </w:p>
        </w:tc>
        <w:tc>
          <w:tcPr>
            <w:tcW w:w="960" w:type="dxa"/>
            <w:vAlign w:val="bottom"/>
            <w:tcBorders>
              <w:bottom w:val="single" w:sz="8" w:color="003A70"/>
            </w:tcBorders>
          </w:tcPr>
          <w:p>
            <w:pPr>
              <w:jc w:val="right"/>
              <w:ind w:right="6"/>
              <w:spacing w:after="0"/>
              <w:rPr>
                <w:sz w:val="20"/>
                <w:szCs w:val="20"/>
                <w:color w:val="auto"/>
              </w:rPr>
            </w:pPr>
            <w:r>
              <w:rPr>
                <w:rFonts w:ascii="Arial" w:cs="Arial" w:eastAsia="Arial" w:hAnsi="Arial"/>
                <w:sz w:val="16"/>
                <w:szCs w:val="16"/>
                <w:color w:val="auto"/>
              </w:rPr>
              <w:t>9,027,531</w:t>
            </w:r>
          </w:p>
        </w:tc>
        <w:tc>
          <w:tcPr>
            <w:tcW w:w="260" w:type="dxa"/>
            <w:vAlign w:val="bottom"/>
            <w:tcBorders>
              <w:bottom w:val="single" w:sz="8" w:color="003A70"/>
            </w:tcBorders>
          </w:tcPr>
          <w:p>
            <w:pPr>
              <w:spacing w:after="0"/>
              <w:rPr>
                <w:sz w:val="17"/>
                <w:szCs w:val="17"/>
                <w:color w:val="auto"/>
              </w:rPr>
            </w:pPr>
          </w:p>
        </w:tc>
        <w:tc>
          <w:tcPr>
            <w:tcW w:w="920" w:type="dxa"/>
            <w:vAlign w:val="bottom"/>
            <w:tcBorders>
              <w:bottom w:val="single" w:sz="8" w:color="003A70"/>
            </w:tcBorders>
          </w:tcPr>
          <w:p>
            <w:pPr>
              <w:jc w:val="right"/>
              <w:ind w:right="3"/>
              <w:spacing w:after="0"/>
              <w:rPr>
                <w:sz w:val="20"/>
                <w:szCs w:val="20"/>
                <w:color w:val="auto"/>
              </w:rPr>
            </w:pPr>
            <w:r>
              <w:rPr>
                <w:rFonts w:ascii="Arial" w:cs="Arial" w:eastAsia="Arial" w:hAnsi="Arial"/>
                <w:sz w:val="16"/>
                <w:szCs w:val="16"/>
                <w:color w:val="auto"/>
              </w:rPr>
              <w:t>1,712,700</w:t>
            </w:r>
          </w:p>
        </w:tc>
        <w:tc>
          <w:tcPr>
            <w:tcW w:w="280" w:type="dxa"/>
            <w:vAlign w:val="bottom"/>
            <w:tcBorders>
              <w:bottom w:val="single" w:sz="8" w:color="003A70"/>
            </w:tcBorders>
          </w:tcPr>
          <w:p>
            <w:pPr>
              <w:spacing w:after="0"/>
              <w:rPr>
                <w:sz w:val="17"/>
                <w:szCs w:val="17"/>
                <w:color w:val="auto"/>
              </w:rPr>
            </w:pPr>
          </w:p>
        </w:tc>
        <w:tc>
          <w:tcPr>
            <w:tcW w:w="900" w:type="dxa"/>
            <w:vAlign w:val="bottom"/>
            <w:tcBorders>
              <w:bottom w:val="single" w:sz="8" w:color="003A70"/>
            </w:tcBorders>
          </w:tcPr>
          <w:p>
            <w:pPr>
              <w:jc w:val="right"/>
              <w:ind w:right="22"/>
              <w:spacing w:after="0"/>
              <w:rPr>
                <w:sz w:val="20"/>
                <w:szCs w:val="20"/>
                <w:color w:val="auto"/>
              </w:rPr>
            </w:pPr>
            <w:r>
              <w:rPr>
                <w:rFonts w:ascii="Arial" w:cs="Arial" w:eastAsia="Arial" w:hAnsi="Arial"/>
                <w:sz w:val="16"/>
                <w:szCs w:val="16"/>
                <w:color w:val="auto"/>
              </w:rPr>
              <w:t>2,381,430</w:t>
            </w:r>
          </w:p>
        </w:tc>
        <w:tc>
          <w:tcPr>
            <w:tcW w:w="340" w:type="dxa"/>
            <w:vAlign w:val="bottom"/>
            <w:tcBorders>
              <w:bottom w:val="single" w:sz="8" w:color="003A70"/>
            </w:tcBorders>
          </w:tcPr>
          <w:p>
            <w:pPr>
              <w:spacing w:after="0"/>
              <w:rPr>
                <w:sz w:val="17"/>
                <w:szCs w:val="17"/>
                <w:color w:val="auto"/>
              </w:rPr>
            </w:pPr>
          </w:p>
        </w:tc>
        <w:tc>
          <w:tcPr>
            <w:tcW w:w="6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106.99</w:t>
            </w:r>
          </w:p>
        </w:tc>
        <w:tc>
          <w:tcPr>
            <w:tcW w:w="420" w:type="dxa"/>
            <w:vAlign w:val="bottom"/>
            <w:tcBorders>
              <w:bottom w:val="single" w:sz="8" w:color="003A70"/>
            </w:tcBorders>
          </w:tcPr>
          <w:p>
            <w:pPr>
              <w:spacing w:after="0"/>
              <w:rPr>
                <w:sz w:val="17"/>
                <w:szCs w:val="17"/>
                <w:color w:val="auto"/>
              </w:rPr>
            </w:pPr>
          </w:p>
        </w:tc>
        <w:tc>
          <w:tcPr>
            <w:tcW w:w="600" w:type="dxa"/>
            <w:vAlign w:val="bottom"/>
            <w:tcBorders>
              <w:bottom w:val="single" w:sz="8" w:color="003A70"/>
            </w:tcBorders>
          </w:tcPr>
          <w:p>
            <w:pPr>
              <w:jc w:val="right"/>
              <w:ind w:right="19"/>
              <w:spacing w:after="0"/>
              <w:rPr>
                <w:sz w:val="20"/>
                <w:szCs w:val="20"/>
                <w:color w:val="auto"/>
              </w:rPr>
            </w:pPr>
            <w:r>
              <w:rPr>
                <w:rFonts w:ascii="Arial" w:cs="Arial" w:eastAsia="Arial" w:hAnsi="Arial"/>
                <w:sz w:val="16"/>
                <w:szCs w:val="16"/>
                <w:color w:val="auto"/>
              </w:rPr>
              <w:t>77.40</w:t>
            </w:r>
          </w:p>
        </w:tc>
        <w:tc>
          <w:tcPr>
            <w:tcW w:w="240" w:type="dxa"/>
            <w:vAlign w:val="bottom"/>
            <w:tcBorders>
              <w:bottom w:val="single" w:sz="8" w:color="003A70"/>
            </w:tcBorders>
          </w:tcPr>
          <w:p>
            <w:pPr>
              <w:spacing w:after="0"/>
              <w:rPr>
                <w:sz w:val="17"/>
                <w:szCs w:val="17"/>
                <w:color w:val="auto"/>
              </w:rPr>
            </w:pPr>
          </w:p>
        </w:tc>
        <w:tc>
          <w:tcPr>
            <w:tcW w:w="11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(255,994,393)</w:t>
            </w:r>
          </w:p>
        </w:tc>
        <w:tc>
          <w:tcPr>
            <w:tcW w:w="1200" w:type="dxa"/>
            <w:vAlign w:val="bottom"/>
            <w:tcBorders>
              <w:bottom w:val="single" w:sz="8" w:color="003A70"/>
            </w:tcBorders>
          </w:tcPr>
          <w:p>
            <w:pPr>
              <w:jc w:val="right"/>
              <w:ind w:right="3"/>
              <w:spacing w:after="0"/>
              <w:rPr>
                <w:sz w:val="20"/>
                <w:szCs w:val="20"/>
                <w:color w:val="auto"/>
              </w:rPr>
            </w:pPr>
            <w:r>
              <w:rPr>
                <w:rFonts w:ascii="Arial" w:cs="Arial" w:eastAsia="Arial" w:hAnsi="Arial"/>
                <w:sz w:val="16"/>
                <w:szCs w:val="16"/>
                <w:color w:val="auto"/>
              </w:rPr>
              <w:t>234,980,182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60" w:right="40" w:hanging="325"/>
        <w:spacing w:after="0" w:line="237" w:lineRule="auto"/>
        <w:tabs>
          <w:tab w:leader="none" w:pos="46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Compensation actually paid is calculated starting with the total compensation as reported in the Summary Compensation Table (“SCT”), and then the SCT value of restricted stock and units (including performance-based awards) plus SAR awards are deducted. The amount equal to the fair value at the end of the prior fiscal year or awards granted in any prior fiscal year that fail to meet the applicable vesting conditions during the covered fiscal year are then deducted. Added to the calculation are: fair value, as of year-end, of awards granted in the first year that are outstanding and unvested; the change in fair value from the prior to current years for awards granted in prior fiscal years that are outstanding and unvested; and the change in fair value as of the vesting date (from the end of the prior fiscal year) for awards granted in any prior fiscal year for which all applicable vesting conditions were satisfied by the end of the covered fiscal year. The fair value of awards that are subject to performance conditions are based on the most probable outcome at the end of the covered fiscal year.</w:t>
      </w:r>
    </w:p>
    <w:p>
      <w:pPr>
        <w:spacing w:after="0" w:line="76" w:lineRule="exact"/>
        <w:rPr>
          <w:sz w:val="20"/>
          <w:szCs w:val="20"/>
          <w:color w:val="auto"/>
        </w:rPr>
      </w:pPr>
    </w:p>
    <w:p>
      <w:pPr>
        <w:ind w:left="460" w:hanging="325"/>
        <w:spacing w:after="0"/>
        <w:tabs>
          <w:tab w:leader="none" w:pos="46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SAR calculations measuring the year-end fair value of the outstanding awards were performed by an independent equity valuation firm.</w:t>
      </w:r>
    </w:p>
    <w:p>
      <w:pPr>
        <w:spacing w:after="0" w:line="76" w:lineRule="exact"/>
        <w:rPr>
          <w:sz w:val="20"/>
          <w:szCs w:val="20"/>
          <w:color w:val="auto"/>
        </w:rPr>
      </w:pPr>
    </w:p>
    <w:p>
      <w:pPr>
        <w:ind w:left="460" w:hanging="325"/>
        <w:spacing w:after="0"/>
        <w:tabs>
          <w:tab w:leader="none" w:pos="46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Mr. Geller served as the Company’s PEO for 2024 and 2023. Mr. Stephen P. Weisz served as the Company’s PEO for 2022, 2021 and 2020.</w:t>
      </w:r>
    </w:p>
    <w:p>
      <w:pPr>
        <w:spacing w:after="0" w:line="76" w:lineRule="exact"/>
        <w:rPr>
          <w:sz w:val="20"/>
          <w:szCs w:val="20"/>
          <w:color w:val="auto"/>
        </w:rPr>
      </w:pPr>
    </w:p>
    <w:p>
      <w:pPr>
        <w:ind w:left="460" w:hanging="325"/>
        <w:spacing w:after="0"/>
        <w:tabs>
          <w:tab w:leader="none" w:pos="46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The bridge between PEO reported SCT compensation to the Compensation Actually Paid is outlined below:</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0" w:type="dxa"/>
            <w:vAlign w:val="bottom"/>
          </w:tcPr>
          <w:p>
            <w:pPr>
              <w:jc w:val="right"/>
              <w:ind w:right="445"/>
              <w:spacing w:after="0"/>
              <w:rPr>
                <w:sz w:val="20"/>
                <w:szCs w:val="20"/>
                <w:color w:val="auto"/>
              </w:rPr>
            </w:pPr>
            <w:r>
              <w:rPr>
                <w:rFonts w:ascii="Arial" w:cs="Arial" w:eastAsia="Arial" w:hAnsi="Arial"/>
                <w:sz w:val="14"/>
                <w:szCs w:val="14"/>
                <w:b w:val="1"/>
                <w:bCs w:val="1"/>
                <w:color w:val="003A70"/>
              </w:rPr>
              <w:t>Fiscal</w:t>
            </w:r>
          </w:p>
        </w:tc>
        <w:tc>
          <w:tcPr>
            <w:tcW w:w="3100" w:type="dxa"/>
            <w:vAlign w:val="bottom"/>
            <w:gridSpan w:val="2"/>
          </w:tcPr>
          <w:p>
            <w:pPr>
              <w:ind w:left="520"/>
              <w:spacing w:after="0"/>
              <w:rPr>
                <w:sz w:val="20"/>
                <w:szCs w:val="20"/>
                <w:color w:val="auto"/>
              </w:rPr>
            </w:pPr>
            <w:r>
              <w:rPr>
                <w:rFonts w:ascii="Arial" w:cs="Arial" w:eastAsia="Arial" w:hAnsi="Arial"/>
                <w:sz w:val="14"/>
                <w:szCs w:val="14"/>
                <w:b w:val="1"/>
                <w:bCs w:val="1"/>
                <w:color w:val="003A70"/>
              </w:rPr>
              <w:t>Reported Summary Compensation</w:t>
            </w:r>
          </w:p>
        </w:tc>
        <w:tc>
          <w:tcPr>
            <w:tcW w:w="1740" w:type="dxa"/>
            <w:vAlign w:val="bottom"/>
          </w:tcPr>
          <w:p>
            <w:pPr>
              <w:ind w:left="240"/>
              <w:spacing w:after="0"/>
              <w:rPr>
                <w:sz w:val="20"/>
                <w:szCs w:val="20"/>
                <w:color w:val="auto"/>
              </w:rPr>
            </w:pPr>
            <w:r>
              <w:rPr>
                <w:rFonts w:ascii="Arial" w:cs="Arial" w:eastAsia="Arial" w:hAnsi="Arial"/>
                <w:sz w:val="14"/>
                <w:szCs w:val="14"/>
                <w:b w:val="1"/>
                <w:bCs w:val="1"/>
                <w:color w:val="003A70"/>
              </w:rPr>
              <w:t>Reported Value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A70"/>
              </w:rPr>
              <w:t>Equity Award</w:t>
            </w:r>
          </w:p>
        </w:tc>
        <w:tc>
          <w:tcPr>
            <w:tcW w:w="2240" w:type="dxa"/>
            <w:vAlign w:val="bottom"/>
            <w:gridSpan w:val="2"/>
          </w:tcPr>
          <w:p>
            <w:pPr>
              <w:ind w:left="200"/>
              <w:spacing w:after="0"/>
              <w:rPr>
                <w:sz w:val="20"/>
                <w:szCs w:val="20"/>
                <w:color w:val="auto"/>
              </w:rPr>
            </w:pPr>
            <w:r>
              <w:rPr>
                <w:rFonts w:ascii="Arial" w:cs="Arial" w:eastAsia="Arial" w:hAnsi="Arial"/>
                <w:sz w:val="14"/>
                <w:szCs w:val="14"/>
                <w:b w:val="1"/>
                <w:bCs w:val="1"/>
                <w:color w:val="003A70"/>
              </w:rPr>
              <w:t>Compensation Actually Paid</w:t>
            </w:r>
          </w:p>
        </w:tc>
      </w:tr>
      <w:tr>
        <w:trPr>
          <w:trHeight w:val="218"/>
        </w:trPr>
        <w:tc>
          <w:tcPr>
            <w:tcW w:w="900" w:type="dxa"/>
            <w:vAlign w:val="bottom"/>
          </w:tcPr>
          <w:p>
            <w:pPr>
              <w:spacing w:after="0"/>
              <w:rPr>
                <w:sz w:val="18"/>
                <w:szCs w:val="18"/>
                <w:color w:val="auto"/>
              </w:rPr>
            </w:pPr>
          </w:p>
        </w:tc>
        <w:tc>
          <w:tcPr>
            <w:tcW w:w="1600" w:type="dxa"/>
            <w:vAlign w:val="bottom"/>
            <w:tcBorders>
              <w:bottom w:val="single" w:sz="8" w:color="003A70"/>
            </w:tcBorders>
          </w:tcPr>
          <w:p>
            <w:pPr>
              <w:jc w:val="right"/>
              <w:ind w:right="505"/>
              <w:spacing w:after="0"/>
              <w:rPr>
                <w:sz w:val="20"/>
                <w:szCs w:val="20"/>
                <w:color w:val="auto"/>
              </w:rPr>
            </w:pPr>
            <w:r>
              <w:rPr>
                <w:rFonts w:ascii="Arial" w:cs="Arial" w:eastAsia="Arial" w:hAnsi="Arial"/>
                <w:sz w:val="14"/>
                <w:szCs w:val="14"/>
                <w:b w:val="1"/>
                <w:bCs w:val="1"/>
                <w:color w:val="003A70"/>
              </w:rPr>
              <w:t>Year</w:t>
            </w:r>
          </w:p>
        </w:tc>
        <w:tc>
          <w:tcPr>
            <w:tcW w:w="900" w:type="dxa"/>
            <w:vAlign w:val="bottom"/>
            <w:tcBorders>
              <w:bottom w:val="single" w:sz="8" w:color="003A70"/>
            </w:tcBorders>
          </w:tcPr>
          <w:p>
            <w:pPr>
              <w:spacing w:after="0"/>
              <w:rPr>
                <w:sz w:val="18"/>
                <w:szCs w:val="18"/>
                <w:color w:val="auto"/>
              </w:rPr>
            </w:pPr>
          </w:p>
        </w:tc>
        <w:tc>
          <w:tcPr>
            <w:tcW w:w="220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Table Total for PEO</w:t>
            </w:r>
          </w:p>
        </w:tc>
        <w:tc>
          <w:tcPr>
            <w:tcW w:w="1740" w:type="dxa"/>
            <w:vAlign w:val="bottom"/>
            <w:tcBorders>
              <w:bottom w:val="single" w:sz="8" w:color="003A70"/>
            </w:tcBorders>
          </w:tcPr>
          <w:p>
            <w:pPr>
              <w:ind w:left="340"/>
              <w:spacing w:after="0"/>
              <w:rPr>
                <w:sz w:val="20"/>
                <w:szCs w:val="20"/>
                <w:color w:val="auto"/>
              </w:rPr>
            </w:pPr>
            <w:r>
              <w:rPr>
                <w:rFonts w:ascii="Arial" w:cs="Arial" w:eastAsia="Arial" w:hAnsi="Arial"/>
                <w:sz w:val="14"/>
                <w:szCs w:val="14"/>
                <w:b w:val="1"/>
                <w:bCs w:val="1"/>
                <w:color w:val="003A70"/>
              </w:rPr>
              <w:t>Equity Awards</w:t>
            </w:r>
          </w:p>
        </w:tc>
        <w:tc>
          <w:tcPr>
            <w:tcW w:w="14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7"/>
              </w:rPr>
              <w:t>Adjustments</w:t>
            </w:r>
            <w:r>
              <w:rPr>
                <w:rFonts w:ascii="Arial" w:cs="Arial" w:eastAsia="Arial" w:hAnsi="Arial"/>
                <w:sz w:val="17"/>
                <w:szCs w:val="17"/>
                <w:color w:val="003A70"/>
                <w:w w:val="97"/>
                <w:vertAlign w:val="superscript"/>
              </w:rPr>
              <w:t>(a)</w:t>
            </w:r>
          </w:p>
        </w:tc>
        <w:tc>
          <w:tcPr>
            <w:tcW w:w="460" w:type="dxa"/>
            <w:vAlign w:val="bottom"/>
            <w:tcBorders>
              <w:bottom w:val="single" w:sz="8" w:color="003A70"/>
            </w:tcBorders>
          </w:tcPr>
          <w:p>
            <w:pPr>
              <w:spacing w:after="0"/>
              <w:rPr>
                <w:sz w:val="18"/>
                <w:szCs w:val="18"/>
                <w:color w:val="auto"/>
              </w:rPr>
            </w:pPr>
          </w:p>
        </w:tc>
        <w:tc>
          <w:tcPr>
            <w:tcW w:w="1780" w:type="dxa"/>
            <w:vAlign w:val="bottom"/>
            <w:tcBorders>
              <w:bottom w:val="single" w:sz="8" w:color="003A70"/>
            </w:tcBorders>
          </w:tcPr>
          <w:p>
            <w:pPr>
              <w:jc w:val="right"/>
              <w:ind w:right="771"/>
              <w:spacing w:after="0"/>
              <w:rPr>
                <w:sz w:val="20"/>
                <w:szCs w:val="20"/>
                <w:color w:val="auto"/>
              </w:rPr>
            </w:pPr>
            <w:r>
              <w:rPr>
                <w:rFonts w:ascii="Arial" w:cs="Arial" w:eastAsia="Arial" w:hAnsi="Arial"/>
                <w:sz w:val="14"/>
                <w:szCs w:val="14"/>
                <w:b w:val="1"/>
                <w:bCs w:val="1"/>
                <w:color w:val="003A70"/>
              </w:rPr>
              <w:t>to PEO</w:t>
            </w:r>
          </w:p>
        </w:tc>
      </w:tr>
      <w:tr>
        <w:trPr>
          <w:trHeight w:val="188"/>
        </w:trPr>
        <w:tc>
          <w:tcPr>
            <w:tcW w:w="900" w:type="dxa"/>
            <w:vAlign w:val="bottom"/>
          </w:tcPr>
          <w:p>
            <w:pPr>
              <w:spacing w:after="0"/>
              <w:rPr>
                <w:sz w:val="16"/>
                <w:szCs w:val="16"/>
                <w:color w:val="auto"/>
              </w:rPr>
            </w:pPr>
          </w:p>
        </w:tc>
        <w:tc>
          <w:tcPr>
            <w:tcW w:w="1600" w:type="dxa"/>
            <w:vAlign w:val="bottom"/>
            <w:tcBorders>
              <w:bottom w:val="single" w:sz="8" w:color="003A70"/>
            </w:tcBorders>
          </w:tcPr>
          <w:p>
            <w:pPr>
              <w:jc w:val="right"/>
              <w:ind w:right="445"/>
              <w:spacing w:after="0"/>
              <w:rPr>
                <w:sz w:val="20"/>
                <w:szCs w:val="20"/>
                <w:color w:val="auto"/>
              </w:rPr>
            </w:pPr>
            <w:r>
              <w:rPr>
                <w:rFonts w:ascii="Arial" w:cs="Arial" w:eastAsia="Arial" w:hAnsi="Arial"/>
                <w:sz w:val="16"/>
                <w:szCs w:val="16"/>
                <w:color w:val="auto"/>
              </w:rPr>
              <w:t>2024</w:t>
            </w:r>
          </w:p>
        </w:tc>
        <w:tc>
          <w:tcPr>
            <w:tcW w:w="900" w:type="dxa"/>
            <w:vAlign w:val="bottom"/>
            <w:tcBorders>
              <w:bottom w:val="single" w:sz="8" w:color="003A70"/>
            </w:tcBorders>
          </w:tcPr>
          <w:p>
            <w:pPr>
              <w:ind w:left="50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003A70"/>
            </w:tcBorders>
          </w:tcPr>
          <w:p>
            <w:pPr>
              <w:ind w:left="280"/>
              <w:spacing w:after="0"/>
              <w:rPr>
                <w:sz w:val="20"/>
                <w:szCs w:val="20"/>
                <w:color w:val="auto"/>
              </w:rPr>
            </w:pPr>
            <w:r>
              <w:rPr>
                <w:rFonts w:ascii="Arial" w:cs="Arial" w:eastAsia="Arial" w:hAnsi="Arial"/>
                <w:sz w:val="16"/>
                <w:szCs w:val="16"/>
                <w:color w:val="auto"/>
              </w:rPr>
              <w:t>                  7,437,761</w:t>
            </w:r>
          </w:p>
        </w:tc>
        <w:tc>
          <w:tcPr>
            <w:tcW w:w="1740" w:type="dxa"/>
            <w:vAlign w:val="bottom"/>
            <w:tcBorders>
              <w:bottom w:val="single" w:sz="8" w:color="003A70"/>
            </w:tcBorders>
          </w:tcPr>
          <w:p>
            <w:pPr>
              <w:ind w:left="240"/>
              <w:spacing w:after="0"/>
              <w:rPr>
                <w:sz w:val="20"/>
                <w:szCs w:val="20"/>
                <w:color w:val="auto"/>
              </w:rPr>
            </w:pPr>
            <w:r>
              <w:rPr>
                <w:rFonts w:ascii="Arial" w:cs="Arial" w:eastAsia="Arial" w:hAnsi="Arial"/>
                <w:sz w:val="16"/>
                <w:szCs w:val="16"/>
                <w:color w:val="auto"/>
              </w:rPr>
              <w:t>$        (6,000,007)</w:t>
            </w:r>
          </w:p>
        </w:tc>
        <w:tc>
          <w:tcPr>
            <w:tcW w:w="140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4,330,188</w:t>
            </w:r>
          </w:p>
        </w:tc>
        <w:tc>
          <w:tcPr>
            <w:tcW w:w="460" w:type="dxa"/>
            <w:vAlign w:val="bottom"/>
            <w:tcBorders>
              <w:bottom w:val="single" w:sz="8" w:color="003A70"/>
            </w:tcBorders>
          </w:tcPr>
          <w:p>
            <w:pPr>
              <w:ind w:left="2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003A70"/>
            </w:tcBorders>
          </w:tcPr>
          <w:p>
            <w:pPr>
              <w:jc w:val="right"/>
              <w:ind w:right="31"/>
              <w:spacing w:after="0"/>
              <w:rPr>
                <w:sz w:val="20"/>
                <w:szCs w:val="20"/>
                <w:color w:val="auto"/>
              </w:rPr>
            </w:pPr>
            <w:r>
              <w:rPr>
                <w:rFonts w:ascii="Arial" w:cs="Arial" w:eastAsia="Arial" w:hAnsi="Arial"/>
                <w:sz w:val="16"/>
                <w:szCs w:val="16"/>
                <w:color w:val="auto"/>
              </w:rPr>
              <w:t>               5,767,942</w:t>
            </w:r>
          </w:p>
        </w:tc>
      </w:tr>
      <w:tr>
        <w:trPr>
          <w:trHeight w:val="263"/>
        </w:trPr>
        <w:tc>
          <w:tcPr>
            <w:tcW w:w="34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w w:val="99"/>
              </w:rPr>
              <w:t xml:space="preserve">MARRIOTT VACATIONS WORLDWIDE </w:t>
            </w:r>
            <w:r>
              <w:rPr>
                <w:rFonts w:ascii="Arial" w:cs="Arial" w:eastAsia="Arial" w:hAnsi="Arial"/>
                <w:sz w:val="11"/>
                <w:szCs w:val="11"/>
                <w:color w:val="000000"/>
                <w:w w:val="99"/>
              </w:rPr>
              <w:t>2025 PROXY STATEMENT</w:t>
            </w:r>
          </w:p>
        </w:tc>
        <w:tc>
          <w:tcPr>
            <w:tcW w:w="3940" w:type="dxa"/>
            <w:vAlign w:val="bottom"/>
            <w:tcBorders>
              <w:bottom w:val="single" w:sz="8" w:color="003A70"/>
            </w:tcBorders>
            <w:gridSpan w:val="2"/>
          </w:tcPr>
          <w:p>
            <w:pPr>
              <w:ind w:left="960"/>
              <w:spacing w:after="0"/>
              <w:rPr>
                <w:sz w:val="20"/>
                <w:szCs w:val="20"/>
                <w:color w:val="auto"/>
              </w:rPr>
            </w:pPr>
            <w:r>
              <w:rPr>
                <w:rFonts w:ascii="Arial" w:cs="Arial" w:eastAsia="Arial" w:hAnsi="Arial"/>
                <w:sz w:val="11"/>
                <w:szCs w:val="11"/>
                <w:color w:val="auto"/>
              </w:rPr>
              <w:t>Executive Compensation Tables and Discussion</w:t>
            </w:r>
          </w:p>
        </w:tc>
        <w:tc>
          <w:tcPr>
            <w:tcW w:w="1400" w:type="dxa"/>
            <w:vAlign w:val="bottom"/>
            <w:tcBorders>
              <w:bottom w:val="single" w:sz="8" w:color="003A70"/>
            </w:tcBorders>
          </w:tcPr>
          <w:p>
            <w:pPr>
              <w:spacing w:after="0"/>
              <w:rPr>
                <w:sz w:val="22"/>
                <w:szCs w:val="22"/>
                <w:color w:val="auto"/>
              </w:rPr>
            </w:pPr>
          </w:p>
        </w:tc>
        <w:tc>
          <w:tcPr>
            <w:tcW w:w="460" w:type="dxa"/>
            <w:vAlign w:val="bottom"/>
            <w:tcBorders>
              <w:bottom w:val="single" w:sz="8" w:color="003A70"/>
            </w:tcBorders>
          </w:tcPr>
          <w:p>
            <w:pPr>
              <w:spacing w:after="0"/>
              <w:rPr>
                <w:sz w:val="22"/>
                <w:szCs w:val="22"/>
                <w:color w:val="auto"/>
              </w:rPr>
            </w:pPr>
          </w:p>
        </w:tc>
        <w:tc>
          <w:tcPr>
            <w:tcW w:w="178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47</w:t>
            </w:r>
          </w:p>
        </w:tc>
      </w:tr>
    </w:tbl>
    <w:p>
      <w:pPr>
        <w:sectPr>
          <w:pgSz w:w="11900" w:h="16838" w:orient="portrait"/>
          <w:cols w:equalWidth="0" w:num="1">
            <w:col w:w="11120"/>
          </w:cols>
          <w:pgMar w:left="320" w:top="480"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4" w:lineRule="exact"/>
        <w:rPr>
          <w:sz w:val="20"/>
          <w:szCs w:val="20"/>
          <w:color w:val="auto"/>
        </w:rPr>
      </w:pPr>
    </w:p>
    <w:p>
      <w:pPr>
        <w:ind w:left="880" w:hanging="422"/>
        <w:spacing w:after="0"/>
        <w:tabs>
          <w:tab w:leader="none" w:pos="88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The amounts deducted or added in calculating the equity award adjustments are as follows:</w:t>
      </w:r>
    </w:p>
    <w:p>
      <w:pPr>
        <w:spacing w:after="0" w:line="21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Change in Fair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Value from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Last Day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27"/>
              <w:spacing w:after="0"/>
              <w:rPr>
                <w:sz w:val="20"/>
                <w:szCs w:val="20"/>
                <w:color w:val="auto"/>
              </w:rPr>
            </w:pPr>
            <w:r>
              <w:rPr>
                <w:rFonts w:ascii="Arial" w:cs="Arial" w:eastAsia="Arial" w:hAnsi="Arial"/>
                <w:sz w:val="14"/>
                <w:szCs w:val="14"/>
                <w:b w:val="1"/>
                <w:bCs w:val="1"/>
                <w:color w:val="003A70"/>
                <w:w w:val="99"/>
              </w:rPr>
              <w:t>Value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Fair 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Prior Fiscal</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Fair Value at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Dividends or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003A70"/>
              </w:rPr>
              <w:t>Year End</w:t>
            </w: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as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Year to Vesting</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the End of the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Other Earnings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003A70"/>
              </w:rPr>
              <w:t>Fair Value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rPr>
              <w:t>Year Over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Vesting Date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Date of Equity</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w w:val="99"/>
              </w:rPr>
              <w:t>Prior Year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Paid on Stock</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003A70"/>
              </w:rPr>
              <w:t>Equity Awards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rPr>
              <w:t>Year Change in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of 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w w:val="98"/>
              </w:rPr>
              <w:t>Awards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Equity Awards</w:t>
            </w:r>
          </w:p>
        </w:tc>
        <w:tc>
          <w:tcPr>
            <w:tcW w:w="240" w:type="dxa"/>
            <w:vAlign w:val="bottom"/>
          </w:tcPr>
          <w:p>
            <w:pPr>
              <w:spacing w:after="0"/>
              <w:rPr>
                <w:sz w:val="14"/>
                <w:szCs w:val="14"/>
                <w:color w:val="auto"/>
              </w:rPr>
            </w:pPr>
          </w:p>
        </w:tc>
        <w:tc>
          <w:tcPr>
            <w:tcW w:w="1020" w:type="dxa"/>
            <w:vAlign w:val="bottom"/>
          </w:tcPr>
          <w:p>
            <w:pPr>
              <w:jc w:val="center"/>
              <w:ind w:right="127"/>
              <w:spacing w:after="0"/>
              <w:rPr>
                <w:sz w:val="20"/>
                <w:szCs w:val="20"/>
                <w:color w:val="auto"/>
              </w:rPr>
            </w:pPr>
            <w:r>
              <w:rPr>
                <w:rFonts w:ascii="Arial" w:cs="Arial" w:eastAsia="Arial" w:hAnsi="Arial"/>
                <w:sz w:val="14"/>
                <w:szCs w:val="14"/>
                <w:b w:val="1"/>
                <w:bCs w:val="1"/>
                <w:color w:val="003A70"/>
              </w:rPr>
              <w:t>or Option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003A70"/>
                <w:w w:val="99"/>
              </w:rPr>
              <w:t>Granted in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w w:val="99"/>
              </w:rPr>
              <w:t>Fair Value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rPr>
              <w:t>Granted in</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that Failed to</w:t>
            </w:r>
          </w:p>
        </w:tc>
        <w:tc>
          <w:tcPr>
            <w:tcW w:w="240" w:type="dxa"/>
            <w:vAlign w:val="bottom"/>
          </w:tcPr>
          <w:p>
            <w:pPr>
              <w:spacing w:after="0"/>
              <w:rPr>
                <w:sz w:val="14"/>
                <w:szCs w:val="14"/>
                <w:color w:val="auto"/>
              </w:rPr>
            </w:pPr>
          </w:p>
        </w:tc>
        <w:tc>
          <w:tcPr>
            <w:tcW w:w="1020" w:type="dxa"/>
            <w:vAlign w:val="bottom"/>
          </w:tcPr>
          <w:p>
            <w:pPr>
              <w:jc w:val="center"/>
              <w:ind w:right="127"/>
              <w:spacing w:after="0"/>
              <w:rPr>
                <w:sz w:val="20"/>
                <w:szCs w:val="20"/>
                <w:color w:val="auto"/>
              </w:rPr>
            </w:pPr>
            <w:r>
              <w:rPr>
                <w:rFonts w:ascii="Arial" w:cs="Arial" w:eastAsia="Arial" w:hAnsi="Arial"/>
                <w:sz w:val="14"/>
                <w:szCs w:val="14"/>
                <w:b w:val="1"/>
                <w:bCs w:val="1"/>
                <w:color w:val="003A70"/>
              </w:rPr>
              <w:t>Awards not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003A70"/>
              </w:rPr>
              <w:t>Fiscal</w:t>
            </w: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003A70"/>
              </w:rPr>
              <w:t>the Year and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rPr>
              <w:t>Outstanding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Granted and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A70"/>
                <w:w w:val="98"/>
              </w:rPr>
              <w:t>Prior Years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Meet Vesting</w:t>
            </w:r>
          </w:p>
        </w:tc>
        <w:tc>
          <w:tcPr>
            <w:tcW w:w="240" w:type="dxa"/>
            <w:vAlign w:val="bottom"/>
          </w:tcPr>
          <w:p>
            <w:pPr>
              <w:spacing w:after="0"/>
              <w:rPr>
                <w:sz w:val="14"/>
                <w:szCs w:val="14"/>
                <w:color w:val="auto"/>
              </w:rPr>
            </w:pPr>
          </w:p>
        </w:tc>
        <w:tc>
          <w:tcPr>
            <w:tcW w:w="1020" w:type="dxa"/>
            <w:vAlign w:val="bottom"/>
          </w:tcPr>
          <w:p>
            <w:pPr>
              <w:jc w:val="center"/>
              <w:ind w:right="127"/>
              <w:spacing w:after="0"/>
              <w:rPr>
                <w:sz w:val="20"/>
                <w:szCs w:val="20"/>
                <w:color w:val="auto"/>
              </w:rPr>
            </w:pPr>
            <w:r>
              <w:rPr>
                <w:rFonts w:ascii="Arial" w:cs="Arial" w:eastAsia="Arial" w:hAnsi="Arial"/>
                <w:sz w:val="14"/>
                <w:szCs w:val="14"/>
                <w:b w:val="1"/>
                <w:bCs w:val="1"/>
                <w:color w:val="003A70"/>
              </w:rPr>
              <w:t>Otherwise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A70"/>
                <w:w w:val="99"/>
              </w:rPr>
              <w:t>Total Equity</w:t>
            </w:r>
          </w:p>
        </w:tc>
        <w:tc>
          <w:tcPr>
            <w:tcW w:w="0" w:type="dxa"/>
            <w:vAlign w:val="bottom"/>
          </w:tcPr>
          <w:p>
            <w:pPr>
              <w:spacing w:after="0"/>
              <w:rPr>
                <w:sz w:val="1"/>
                <w:szCs w:val="1"/>
                <w:color w:val="auto"/>
              </w:rPr>
            </w:pPr>
          </w:p>
        </w:tc>
      </w:tr>
      <w:tr>
        <w:trPr>
          <w:trHeight w:val="148"/>
        </w:trPr>
        <w:tc>
          <w:tcPr>
            <w:tcW w:w="1220" w:type="dxa"/>
            <w:vAlign w:val="bottom"/>
            <w:vMerge w:val="continue"/>
          </w:tcPr>
          <w:p>
            <w:pPr>
              <w:spacing w:after="0"/>
              <w:rPr>
                <w:sz w:val="12"/>
                <w:szCs w:val="12"/>
                <w:color w:val="auto"/>
              </w:rPr>
            </w:pPr>
          </w:p>
        </w:tc>
        <w:tc>
          <w:tcPr>
            <w:tcW w:w="1480" w:type="dxa"/>
            <w:vAlign w:val="bottom"/>
          </w:tcPr>
          <w:p>
            <w:pPr>
              <w:jc w:val="center"/>
              <w:ind w:left="147"/>
              <w:spacing w:after="0" w:line="148" w:lineRule="exact"/>
              <w:rPr>
                <w:sz w:val="20"/>
                <w:szCs w:val="20"/>
                <w:color w:val="auto"/>
              </w:rPr>
            </w:pPr>
            <w:r>
              <w:rPr>
                <w:rFonts w:ascii="Arial" w:cs="Arial" w:eastAsia="Arial" w:hAnsi="Arial"/>
                <w:sz w:val="14"/>
                <w:szCs w:val="14"/>
                <w:b w:val="1"/>
                <w:bCs w:val="1"/>
                <w:color w:val="003A70"/>
              </w:rPr>
              <w:t>Unvested at</w:t>
            </w: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and Unvested</w:t>
            </w: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Vested in</w:t>
            </w:r>
          </w:p>
        </w:tc>
        <w:tc>
          <w:tcPr>
            <w:tcW w:w="132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that Vested in</w:t>
            </w:r>
          </w:p>
        </w:tc>
        <w:tc>
          <w:tcPr>
            <w:tcW w:w="12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003A70"/>
              </w:rPr>
              <w:t>Conditions in</w:t>
            </w:r>
          </w:p>
        </w:tc>
        <w:tc>
          <w:tcPr>
            <w:tcW w:w="240" w:type="dxa"/>
            <w:vAlign w:val="bottom"/>
          </w:tcPr>
          <w:p>
            <w:pPr>
              <w:spacing w:after="0"/>
              <w:rPr>
                <w:sz w:val="12"/>
                <w:szCs w:val="12"/>
                <w:color w:val="auto"/>
              </w:rPr>
            </w:pPr>
          </w:p>
        </w:tc>
        <w:tc>
          <w:tcPr>
            <w:tcW w:w="1020" w:type="dxa"/>
            <w:vAlign w:val="bottom"/>
          </w:tcPr>
          <w:p>
            <w:pPr>
              <w:jc w:val="center"/>
              <w:ind w:right="127"/>
              <w:spacing w:after="0" w:line="148" w:lineRule="exact"/>
              <w:rPr>
                <w:sz w:val="20"/>
                <w:szCs w:val="20"/>
                <w:color w:val="auto"/>
              </w:rPr>
            </w:pPr>
            <w:r>
              <w:rPr>
                <w:rFonts w:ascii="Arial" w:cs="Arial" w:eastAsia="Arial" w:hAnsi="Arial"/>
                <w:sz w:val="14"/>
                <w:szCs w:val="14"/>
                <w:b w:val="1"/>
                <w:bCs w:val="1"/>
                <w:color w:val="003A70"/>
              </w:rPr>
              <w:t>Reflected in</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Award</w:t>
            </w:r>
          </w:p>
        </w:tc>
        <w:tc>
          <w:tcPr>
            <w:tcW w:w="0" w:type="dxa"/>
            <w:vAlign w:val="bottom"/>
          </w:tcPr>
          <w:p>
            <w:pPr>
              <w:spacing w:after="0"/>
              <w:rPr>
                <w:sz w:val="1"/>
                <w:szCs w:val="1"/>
                <w:color w:val="auto"/>
              </w:rPr>
            </w:pPr>
          </w:p>
        </w:tc>
      </w:tr>
      <w:tr>
        <w:trPr>
          <w:trHeight w:val="218"/>
        </w:trPr>
        <w:tc>
          <w:tcPr>
            <w:tcW w:w="1220" w:type="dxa"/>
            <w:vAlign w:val="bottom"/>
            <w:tcBorders>
              <w:bottom w:val="single" w:sz="8" w:color="003A70"/>
            </w:tcBorders>
          </w:tcPr>
          <w:p>
            <w:pPr>
              <w:jc w:val="right"/>
              <w:ind w:right="325"/>
              <w:spacing w:after="0"/>
              <w:rPr>
                <w:sz w:val="20"/>
                <w:szCs w:val="20"/>
                <w:color w:val="auto"/>
              </w:rPr>
            </w:pPr>
            <w:r>
              <w:rPr>
                <w:rFonts w:ascii="Arial" w:cs="Arial" w:eastAsia="Arial" w:hAnsi="Arial"/>
                <w:sz w:val="14"/>
                <w:szCs w:val="14"/>
                <w:b w:val="1"/>
                <w:bCs w:val="1"/>
                <w:color w:val="003A70"/>
              </w:rPr>
              <w:t>Year</w:t>
            </w:r>
          </w:p>
        </w:tc>
        <w:tc>
          <w:tcPr>
            <w:tcW w:w="1480" w:type="dxa"/>
            <w:vAlign w:val="bottom"/>
            <w:tcBorders>
              <w:bottom w:val="single" w:sz="8" w:color="003A70"/>
            </w:tcBorders>
          </w:tcPr>
          <w:p>
            <w:pPr>
              <w:jc w:val="center"/>
              <w:ind w:left="147"/>
              <w:spacing w:after="0"/>
              <w:rPr>
                <w:sz w:val="20"/>
                <w:szCs w:val="20"/>
                <w:color w:val="auto"/>
              </w:rPr>
            </w:pPr>
            <w:r>
              <w:rPr>
                <w:rFonts w:ascii="Arial" w:cs="Arial" w:eastAsia="Arial" w:hAnsi="Arial"/>
                <w:sz w:val="14"/>
                <w:szCs w:val="14"/>
                <w:b w:val="1"/>
                <w:bCs w:val="1"/>
                <w:color w:val="003A70"/>
              </w:rPr>
              <w:t>Year End</w:t>
            </w:r>
          </w:p>
        </w:tc>
        <w:tc>
          <w:tcPr>
            <w:tcW w:w="12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Equity Awards</w:t>
            </w:r>
          </w:p>
        </w:tc>
        <w:tc>
          <w:tcPr>
            <w:tcW w:w="11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the Year</w:t>
            </w:r>
          </w:p>
        </w:tc>
        <w:tc>
          <w:tcPr>
            <w:tcW w:w="13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7"/>
              </w:rPr>
              <w:t>the Year</w:t>
            </w:r>
          </w:p>
        </w:tc>
        <w:tc>
          <w:tcPr>
            <w:tcW w:w="260" w:type="dxa"/>
            <w:vAlign w:val="bottom"/>
            <w:tcBorders>
              <w:bottom w:val="single" w:sz="8" w:color="003A70"/>
            </w:tcBorders>
          </w:tcPr>
          <w:p>
            <w:pPr>
              <w:spacing w:after="0"/>
              <w:rPr>
                <w:sz w:val="18"/>
                <w:szCs w:val="18"/>
                <w:color w:val="auto"/>
              </w:rPr>
            </w:pPr>
          </w:p>
        </w:tc>
        <w:tc>
          <w:tcPr>
            <w:tcW w:w="960" w:type="dxa"/>
            <w:vAlign w:val="bottom"/>
            <w:tcBorders>
              <w:bottom w:val="single" w:sz="8" w:color="003A70"/>
            </w:tcBorders>
          </w:tcPr>
          <w:p>
            <w:pPr>
              <w:jc w:val="center"/>
              <w:ind w:right="204"/>
              <w:spacing w:after="0"/>
              <w:rPr>
                <w:sz w:val="20"/>
                <w:szCs w:val="20"/>
                <w:color w:val="auto"/>
              </w:rPr>
            </w:pPr>
            <w:r>
              <w:rPr>
                <w:rFonts w:ascii="Arial" w:cs="Arial" w:eastAsia="Arial" w:hAnsi="Arial"/>
                <w:sz w:val="14"/>
                <w:szCs w:val="14"/>
                <w:b w:val="1"/>
                <w:bCs w:val="1"/>
                <w:color w:val="003A70"/>
              </w:rPr>
              <w:t>the Year</w:t>
            </w:r>
          </w:p>
        </w:tc>
        <w:tc>
          <w:tcPr>
            <w:tcW w:w="240" w:type="dxa"/>
            <w:vAlign w:val="bottom"/>
            <w:tcBorders>
              <w:bottom w:val="single" w:sz="8" w:color="003A70"/>
            </w:tcBorders>
          </w:tcPr>
          <w:p>
            <w:pPr>
              <w:spacing w:after="0"/>
              <w:rPr>
                <w:sz w:val="18"/>
                <w:szCs w:val="18"/>
                <w:color w:val="auto"/>
              </w:rPr>
            </w:pPr>
          </w:p>
        </w:tc>
        <w:tc>
          <w:tcPr>
            <w:tcW w:w="1020" w:type="dxa"/>
            <w:vAlign w:val="bottom"/>
            <w:tcBorders>
              <w:bottom w:val="single" w:sz="8" w:color="003A70"/>
            </w:tcBorders>
          </w:tcPr>
          <w:p>
            <w:pPr>
              <w:jc w:val="center"/>
              <w:ind w:right="127"/>
              <w:spacing w:after="0"/>
              <w:rPr>
                <w:sz w:val="20"/>
                <w:szCs w:val="20"/>
                <w:color w:val="auto"/>
              </w:rPr>
            </w:pPr>
            <w:r>
              <w:rPr>
                <w:rFonts w:ascii="Arial" w:cs="Arial" w:eastAsia="Arial" w:hAnsi="Arial"/>
                <w:sz w:val="14"/>
                <w:szCs w:val="14"/>
                <w:b w:val="1"/>
                <w:bCs w:val="1"/>
                <w:color w:val="003A70"/>
                <w:w w:val="98"/>
              </w:rPr>
              <w:t>Fair Value</w:t>
            </w:r>
          </w:p>
        </w:tc>
        <w:tc>
          <w:tcPr>
            <w:tcW w:w="11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Adjustments</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003A70"/>
            </w:tcBorders>
          </w:tcPr>
          <w:p>
            <w:pPr>
              <w:jc w:val="right"/>
              <w:ind w:right="265"/>
              <w:spacing w:after="0"/>
              <w:rPr>
                <w:sz w:val="20"/>
                <w:szCs w:val="20"/>
                <w:color w:val="auto"/>
              </w:rPr>
            </w:pPr>
            <w:r>
              <w:rPr>
                <w:rFonts w:ascii="Arial" w:cs="Arial" w:eastAsia="Arial" w:hAnsi="Arial"/>
                <w:sz w:val="16"/>
                <w:szCs w:val="16"/>
                <w:color w:val="auto"/>
              </w:rPr>
              <w:t>2024</w:t>
            </w:r>
          </w:p>
        </w:tc>
        <w:tc>
          <w:tcPr>
            <w:tcW w:w="1480" w:type="dxa"/>
            <w:vAlign w:val="bottom"/>
            <w:tcBorders>
              <w:bottom w:val="single" w:sz="8" w:color="003A70"/>
            </w:tcBorders>
          </w:tcPr>
          <w:p>
            <w:pPr>
              <w:jc w:val="center"/>
              <w:ind w:left="147"/>
              <w:spacing w:after="0"/>
              <w:rPr>
                <w:sz w:val="20"/>
                <w:szCs w:val="20"/>
                <w:color w:val="auto"/>
              </w:rPr>
            </w:pPr>
            <w:r>
              <w:rPr>
                <w:rFonts w:ascii="Arial" w:cs="Arial" w:eastAsia="Arial" w:hAnsi="Arial"/>
                <w:sz w:val="16"/>
                <w:szCs w:val="16"/>
                <w:color w:val="auto"/>
              </w:rPr>
              <w:t>$    4,527,302</w:t>
            </w:r>
          </w:p>
        </w:tc>
        <w:tc>
          <w:tcPr>
            <w:tcW w:w="128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(106,424)</w:t>
            </w:r>
          </w:p>
        </w:tc>
        <w:tc>
          <w:tcPr>
            <w:tcW w:w="112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003A70"/>
            </w:tcBorders>
          </w:tcPr>
          <w:p>
            <w:pPr>
              <w:ind w:left="360"/>
              <w:spacing w:after="0"/>
              <w:rPr>
                <w:sz w:val="20"/>
                <w:szCs w:val="20"/>
                <w:color w:val="auto"/>
              </w:rPr>
            </w:pPr>
            <w:r>
              <w:rPr>
                <w:rFonts w:ascii="Arial" w:cs="Arial" w:eastAsia="Arial" w:hAnsi="Arial"/>
                <w:sz w:val="16"/>
                <w:szCs w:val="16"/>
                <w:color w:val="auto"/>
              </w:rPr>
              <w:t>$   (90,690)</w:t>
            </w:r>
          </w:p>
        </w:tc>
        <w:tc>
          <w:tcPr>
            <w:tcW w:w="2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A70"/>
            </w:tcBorders>
          </w:tcPr>
          <w:p>
            <w:pPr>
              <w:ind w:left="20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3A70"/>
            </w:tcBorders>
          </w:tcPr>
          <w:p>
            <w:pPr>
              <w:ind w:left="28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4,330,188</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60" w:hanging="325"/>
        <w:spacing w:after="0" w:line="232" w:lineRule="auto"/>
        <w:tabs>
          <w:tab w:leader="none" w:pos="46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Included in the average compensation actually paid to Non-PEO named executive officers are the following individuals and time periods: Mr. Geller for 2022, 2021 and 2020; Mr. Marino for 2024 and 2023; Mr. Terry for 2023, 2022 and 2021; Mr. Miller and Ms. Marbert for 2024, 2023, 2022, 2021 and 2020; Mr. Hunter for 2024 and 2023; and Mr. Cunningham for 2021 and 2020.</w:t>
      </w:r>
    </w:p>
    <w:p>
      <w:pPr>
        <w:spacing w:after="0" w:line="77" w:lineRule="exact"/>
        <w:rPr>
          <w:sz w:val="20"/>
          <w:szCs w:val="20"/>
          <w:color w:val="auto"/>
        </w:rPr>
      </w:pPr>
    </w:p>
    <w:p>
      <w:pPr>
        <w:ind w:left="460" w:hanging="325"/>
        <w:spacing w:after="0"/>
        <w:tabs>
          <w:tab w:leader="none" w:pos="46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The bridge between non-PEO NEOs reported SCT compensation to the Compensation Actually Paid is outlined below:</w:t>
      </w:r>
    </w:p>
    <w:p>
      <w:pPr>
        <w:spacing w:after="0" w:line="21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14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003A70"/>
              </w:rPr>
              <w:t>Fiscal</w:t>
            </w:r>
          </w:p>
        </w:tc>
        <w:tc>
          <w:tcPr>
            <w:tcW w:w="2640" w:type="dxa"/>
            <w:vAlign w:val="bottom"/>
            <w:gridSpan w:val="2"/>
          </w:tcPr>
          <w:p>
            <w:pPr>
              <w:jc w:val="center"/>
              <w:ind w:left="85"/>
              <w:spacing w:after="0"/>
              <w:rPr>
                <w:sz w:val="20"/>
                <w:szCs w:val="20"/>
                <w:color w:val="auto"/>
              </w:rPr>
            </w:pPr>
            <w:r>
              <w:rPr>
                <w:rFonts w:ascii="Arial" w:cs="Arial" w:eastAsia="Arial" w:hAnsi="Arial"/>
                <w:sz w:val="14"/>
                <w:szCs w:val="14"/>
                <w:b w:val="1"/>
                <w:bCs w:val="1"/>
                <w:color w:val="003A70"/>
              </w:rPr>
              <w:t>Average Reported Summary</w:t>
            </w: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jc w:val="center"/>
              <w:ind w:left="46"/>
              <w:spacing w:after="0"/>
              <w:rPr>
                <w:sz w:val="20"/>
                <w:szCs w:val="20"/>
                <w:color w:val="auto"/>
              </w:rPr>
            </w:pPr>
            <w:r>
              <w:rPr>
                <w:rFonts w:ascii="Arial" w:cs="Arial" w:eastAsia="Arial" w:hAnsi="Arial"/>
                <w:sz w:val="14"/>
                <w:szCs w:val="14"/>
                <w:b w:val="1"/>
                <w:bCs w:val="1"/>
                <w:color w:val="003A70"/>
              </w:rPr>
              <w:t>Average Compensation</w:t>
            </w: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2640" w:type="dxa"/>
            <w:vAlign w:val="bottom"/>
            <w:gridSpan w:val="2"/>
          </w:tcPr>
          <w:p>
            <w:pPr>
              <w:jc w:val="center"/>
              <w:ind w:left="85"/>
              <w:spacing w:after="0" w:line="148" w:lineRule="exact"/>
              <w:rPr>
                <w:sz w:val="20"/>
                <w:szCs w:val="20"/>
                <w:color w:val="auto"/>
              </w:rPr>
            </w:pPr>
            <w:r>
              <w:rPr>
                <w:rFonts w:ascii="Arial" w:cs="Arial" w:eastAsia="Arial" w:hAnsi="Arial"/>
                <w:sz w:val="14"/>
                <w:szCs w:val="14"/>
                <w:b w:val="1"/>
                <w:bCs w:val="1"/>
                <w:color w:val="003A70"/>
              </w:rPr>
              <w:t>Compensation Table Total for</w:t>
            </w:r>
          </w:p>
        </w:tc>
        <w:tc>
          <w:tcPr>
            <w:tcW w:w="2300" w:type="dxa"/>
            <w:vAlign w:val="bottom"/>
          </w:tcPr>
          <w:p>
            <w:pPr>
              <w:jc w:val="right"/>
              <w:ind w:right="185"/>
              <w:spacing w:after="0" w:line="148" w:lineRule="exact"/>
              <w:rPr>
                <w:sz w:val="20"/>
                <w:szCs w:val="20"/>
                <w:color w:val="auto"/>
              </w:rPr>
            </w:pPr>
            <w:r>
              <w:rPr>
                <w:rFonts w:ascii="Arial" w:cs="Arial" w:eastAsia="Arial" w:hAnsi="Arial"/>
                <w:sz w:val="14"/>
                <w:szCs w:val="14"/>
                <w:b w:val="1"/>
                <w:bCs w:val="1"/>
                <w:color w:val="003A70"/>
              </w:rPr>
              <w:t>Average Reported Value of</w:t>
            </w:r>
          </w:p>
        </w:tc>
        <w:tc>
          <w:tcPr>
            <w:tcW w:w="19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003A70"/>
              </w:rPr>
              <w:t>Average Equity Award</w:t>
            </w:r>
          </w:p>
        </w:tc>
        <w:tc>
          <w:tcPr>
            <w:tcW w:w="2040" w:type="dxa"/>
            <w:vAlign w:val="bottom"/>
          </w:tcPr>
          <w:p>
            <w:pPr>
              <w:jc w:val="center"/>
              <w:ind w:left="26"/>
              <w:spacing w:after="0" w:line="148" w:lineRule="exact"/>
              <w:rPr>
                <w:sz w:val="20"/>
                <w:szCs w:val="20"/>
                <w:color w:val="auto"/>
              </w:rPr>
            </w:pPr>
            <w:r>
              <w:rPr>
                <w:rFonts w:ascii="Arial" w:cs="Arial" w:eastAsia="Arial" w:hAnsi="Arial"/>
                <w:sz w:val="14"/>
                <w:szCs w:val="14"/>
                <w:b w:val="1"/>
                <w:bCs w:val="1"/>
                <w:color w:val="003A70"/>
              </w:rPr>
              <w:t>Actually Paid to Non-PEO</w:t>
            </w:r>
          </w:p>
        </w:tc>
        <w:tc>
          <w:tcPr>
            <w:tcW w:w="0" w:type="dxa"/>
            <w:vAlign w:val="bottom"/>
          </w:tcPr>
          <w:p>
            <w:pPr>
              <w:spacing w:after="0"/>
              <w:rPr>
                <w:sz w:val="1"/>
                <w:szCs w:val="1"/>
                <w:color w:val="auto"/>
              </w:rPr>
            </w:pPr>
          </w:p>
        </w:tc>
      </w:tr>
      <w:tr>
        <w:trPr>
          <w:trHeight w:val="218"/>
        </w:trPr>
        <w:tc>
          <w:tcPr>
            <w:tcW w:w="1140" w:type="dxa"/>
            <w:vAlign w:val="bottom"/>
            <w:tcBorders>
              <w:bottom w:val="single" w:sz="8" w:color="003A70"/>
            </w:tcBorders>
          </w:tcPr>
          <w:p>
            <w:pPr>
              <w:jc w:val="right"/>
              <w:ind w:right="365"/>
              <w:spacing w:after="0"/>
              <w:rPr>
                <w:sz w:val="20"/>
                <w:szCs w:val="20"/>
                <w:color w:val="auto"/>
              </w:rPr>
            </w:pPr>
            <w:r>
              <w:rPr>
                <w:rFonts w:ascii="Arial" w:cs="Arial" w:eastAsia="Arial" w:hAnsi="Arial"/>
                <w:sz w:val="14"/>
                <w:szCs w:val="14"/>
                <w:b w:val="1"/>
                <w:bCs w:val="1"/>
                <w:color w:val="003A70"/>
              </w:rPr>
              <w:t>Year</w:t>
            </w:r>
          </w:p>
        </w:tc>
        <w:tc>
          <w:tcPr>
            <w:tcW w:w="680" w:type="dxa"/>
            <w:vAlign w:val="bottom"/>
            <w:tcBorders>
              <w:bottom w:val="single" w:sz="8" w:color="003A70"/>
            </w:tcBorders>
          </w:tcPr>
          <w:p>
            <w:pPr>
              <w:spacing w:after="0"/>
              <w:rPr>
                <w:sz w:val="18"/>
                <w:szCs w:val="18"/>
                <w:color w:val="auto"/>
              </w:rPr>
            </w:pPr>
          </w:p>
        </w:tc>
        <w:tc>
          <w:tcPr>
            <w:tcW w:w="1960" w:type="dxa"/>
            <w:vAlign w:val="bottom"/>
            <w:tcBorders>
              <w:bottom w:val="single" w:sz="8" w:color="003A70"/>
            </w:tcBorders>
          </w:tcPr>
          <w:p>
            <w:pPr>
              <w:jc w:val="center"/>
              <w:ind w:right="464"/>
              <w:spacing w:after="0"/>
              <w:rPr>
                <w:sz w:val="20"/>
                <w:szCs w:val="20"/>
                <w:color w:val="auto"/>
              </w:rPr>
            </w:pPr>
            <w:r>
              <w:rPr>
                <w:rFonts w:ascii="Arial" w:cs="Arial" w:eastAsia="Arial" w:hAnsi="Arial"/>
                <w:sz w:val="14"/>
                <w:szCs w:val="14"/>
                <w:b w:val="1"/>
                <w:bCs w:val="1"/>
                <w:color w:val="003A70"/>
              </w:rPr>
              <w:t>Non-PEO NEOs</w:t>
            </w:r>
          </w:p>
        </w:tc>
        <w:tc>
          <w:tcPr>
            <w:tcW w:w="2300" w:type="dxa"/>
            <w:vAlign w:val="bottom"/>
            <w:tcBorders>
              <w:bottom w:val="single" w:sz="8" w:color="003A70"/>
            </w:tcBorders>
          </w:tcPr>
          <w:p>
            <w:pPr>
              <w:jc w:val="right"/>
              <w:ind w:right="585"/>
              <w:spacing w:after="0"/>
              <w:rPr>
                <w:sz w:val="20"/>
                <w:szCs w:val="20"/>
                <w:color w:val="auto"/>
              </w:rPr>
            </w:pPr>
            <w:r>
              <w:rPr>
                <w:rFonts w:ascii="Arial" w:cs="Arial" w:eastAsia="Arial" w:hAnsi="Arial"/>
                <w:sz w:val="14"/>
                <w:szCs w:val="14"/>
                <w:b w:val="1"/>
                <w:bCs w:val="1"/>
                <w:color w:val="003A70"/>
              </w:rPr>
              <w:t>Equity Awards</w:t>
            </w:r>
          </w:p>
        </w:tc>
        <w:tc>
          <w:tcPr>
            <w:tcW w:w="400" w:type="dxa"/>
            <w:vAlign w:val="bottom"/>
            <w:tcBorders>
              <w:bottom w:val="single" w:sz="8" w:color="003A70"/>
            </w:tcBorders>
          </w:tcPr>
          <w:p>
            <w:pPr>
              <w:spacing w:after="0"/>
              <w:rPr>
                <w:sz w:val="18"/>
                <w:szCs w:val="18"/>
                <w:color w:val="auto"/>
              </w:rPr>
            </w:pPr>
          </w:p>
        </w:tc>
        <w:tc>
          <w:tcPr>
            <w:tcW w:w="1560" w:type="dxa"/>
            <w:vAlign w:val="bottom"/>
            <w:tcBorders>
              <w:bottom w:val="single" w:sz="8" w:color="003A70"/>
            </w:tcBorders>
          </w:tcPr>
          <w:p>
            <w:pPr>
              <w:ind w:left="100"/>
              <w:spacing w:after="0"/>
              <w:rPr>
                <w:sz w:val="20"/>
                <w:szCs w:val="20"/>
                <w:color w:val="auto"/>
              </w:rPr>
            </w:pPr>
            <w:r>
              <w:rPr>
                <w:rFonts w:ascii="Arial" w:cs="Arial" w:eastAsia="Arial" w:hAnsi="Arial"/>
                <w:sz w:val="14"/>
                <w:szCs w:val="14"/>
                <w:b w:val="1"/>
                <w:bCs w:val="1"/>
                <w:color w:val="003A70"/>
              </w:rPr>
              <w:t>Adjustments</w:t>
            </w:r>
            <w:r>
              <w:rPr>
                <w:rFonts w:ascii="Arial" w:cs="Arial" w:eastAsia="Arial" w:hAnsi="Arial"/>
                <w:sz w:val="17"/>
                <w:szCs w:val="17"/>
                <w:color w:val="003A70"/>
                <w:vertAlign w:val="superscript"/>
              </w:rPr>
              <w:t>(a)</w:t>
            </w:r>
          </w:p>
        </w:tc>
        <w:tc>
          <w:tcPr>
            <w:tcW w:w="2040" w:type="dxa"/>
            <w:vAlign w:val="bottom"/>
            <w:tcBorders>
              <w:bottom w:val="single" w:sz="8" w:color="003A70"/>
            </w:tcBorders>
          </w:tcPr>
          <w:p>
            <w:pPr>
              <w:jc w:val="center"/>
              <w:ind w:left="46"/>
              <w:spacing w:after="0"/>
              <w:rPr>
                <w:sz w:val="20"/>
                <w:szCs w:val="20"/>
                <w:color w:val="auto"/>
              </w:rPr>
            </w:pPr>
            <w:r>
              <w:rPr>
                <w:rFonts w:ascii="Arial" w:cs="Arial" w:eastAsia="Arial" w:hAnsi="Arial"/>
                <w:sz w:val="14"/>
                <w:szCs w:val="14"/>
                <w:b w:val="1"/>
                <w:bCs w:val="1"/>
                <w:color w:val="003A70"/>
              </w:rPr>
              <w:t>NEOs</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003A70"/>
            </w:tcBorders>
          </w:tcPr>
          <w:p>
            <w:pPr>
              <w:jc w:val="right"/>
              <w:ind w:right="305"/>
              <w:spacing w:after="0"/>
              <w:rPr>
                <w:sz w:val="20"/>
                <w:szCs w:val="20"/>
                <w:color w:val="auto"/>
              </w:rPr>
            </w:pPr>
            <w:r>
              <w:rPr>
                <w:rFonts w:ascii="Arial" w:cs="Arial" w:eastAsia="Arial" w:hAnsi="Arial"/>
                <w:sz w:val="16"/>
                <w:szCs w:val="16"/>
                <w:color w:val="auto"/>
              </w:rPr>
              <w:t>2024</w:t>
            </w:r>
          </w:p>
        </w:tc>
        <w:tc>
          <w:tcPr>
            <w:tcW w:w="680" w:type="dxa"/>
            <w:vAlign w:val="bottom"/>
            <w:tcBorders>
              <w:bottom w:val="single" w:sz="8" w:color="003A70"/>
            </w:tcBorders>
          </w:tcPr>
          <w:p>
            <w:pPr>
              <w:jc w:val="right"/>
              <w:ind w:right="125"/>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003A70"/>
            </w:tcBorders>
          </w:tcPr>
          <w:p>
            <w:pPr>
              <w:ind w:left="180"/>
              <w:spacing w:after="0"/>
              <w:rPr>
                <w:sz w:val="20"/>
                <w:szCs w:val="20"/>
                <w:color w:val="auto"/>
              </w:rPr>
            </w:pPr>
            <w:r>
              <w:rPr>
                <w:rFonts w:ascii="Arial" w:cs="Arial" w:eastAsia="Arial" w:hAnsi="Arial"/>
                <w:sz w:val="16"/>
                <w:szCs w:val="16"/>
                <w:color w:val="auto"/>
              </w:rPr>
              <w:t>               2,086,757</w:t>
            </w:r>
          </w:p>
        </w:tc>
        <w:tc>
          <w:tcPr>
            <w:tcW w:w="2300" w:type="dxa"/>
            <w:vAlign w:val="bottom"/>
            <w:tcBorders>
              <w:bottom w:val="single" w:sz="8" w:color="003A70"/>
            </w:tcBorders>
          </w:tcPr>
          <w:p>
            <w:pPr>
              <w:jc w:val="right"/>
              <w:ind w:right="165"/>
              <w:spacing w:after="0"/>
              <w:rPr>
                <w:sz w:val="20"/>
                <w:szCs w:val="20"/>
                <w:color w:val="auto"/>
              </w:rPr>
            </w:pPr>
            <w:r>
              <w:rPr>
                <w:rFonts w:ascii="Arial" w:cs="Arial" w:eastAsia="Arial" w:hAnsi="Arial"/>
                <w:sz w:val="16"/>
                <w:szCs w:val="16"/>
                <w:color w:val="auto"/>
              </w:rPr>
              <w:t>$            (1,310,009)</w:t>
            </w:r>
          </w:p>
        </w:tc>
        <w:tc>
          <w:tcPr>
            <w:tcW w:w="400" w:type="dxa"/>
            <w:vAlign w:val="bottom"/>
            <w:tcBorders>
              <w:bottom w:val="single" w:sz="8" w:color="003A70"/>
            </w:tcBorders>
          </w:tcPr>
          <w:p>
            <w:pPr>
              <w:ind w:left="2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3A70"/>
            </w:tcBorders>
          </w:tcPr>
          <w:p>
            <w:pPr>
              <w:ind w:left="280"/>
              <w:spacing w:after="0"/>
              <w:rPr>
                <w:sz w:val="20"/>
                <w:szCs w:val="20"/>
                <w:color w:val="auto"/>
              </w:rPr>
            </w:pPr>
            <w:r>
              <w:rPr>
                <w:rFonts w:ascii="Arial" w:cs="Arial" w:eastAsia="Arial" w:hAnsi="Arial"/>
                <w:sz w:val="16"/>
                <w:szCs w:val="16"/>
                <w:color w:val="auto"/>
              </w:rPr>
              <w:t>         819,729</w:t>
            </w:r>
          </w:p>
        </w:tc>
        <w:tc>
          <w:tcPr>
            <w:tcW w:w="2040" w:type="dxa"/>
            <w:vAlign w:val="bottom"/>
            <w:tcBorders>
              <w:bottom w:val="single" w:sz="8" w:color="003A70"/>
            </w:tcBorders>
          </w:tcPr>
          <w:p>
            <w:pPr>
              <w:jc w:val="center"/>
              <w:ind w:left="46"/>
              <w:spacing w:after="0"/>
              <w:rPr>
                <w:sz w:val="20"/>
                <w:szCs w:val="20"/>
                <w:color w:val="auto"/>
              </w:rPr>
            </w:pPr>
            <w:r>
              <w:rPr>
                <w:rFonts w:ascii="Arial" w:cs="Arial" w:eastAsia="Arial" w:hAnsi="Arial"/>
                <w:sz w:val="16"/>
                <w:szCs w:val="16"/>
                <w:color w:val="auto"/>
              </w:rPr>
              <w:t>$                 1,596,477</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80" w:hanging="422"/>
        <w:spacing w:after="0"/>
        <w:tabs>
          <w:tab w:leader="none" w:pos="88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The amounts deducted or added in calculating the equity award adjustments are as follows:</w:t>
      </w:r>
    </w:p>
    <w:p>
      <w:pPr>
        <w:spacing w:after="0" w:line="21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Average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Change in Fair</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w w:val="99"/>
              </w:rPr>
              <w:t>Value from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Last Day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Average Value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jc w:val="center"/>
              <w:ind w:left="187"/>
              <w:spacing w:after="0"/>
              <w:rPr>
                <w:sz w:val="20"/>
                <w:szCs w:val="20"/>
                <w:color w:val="auto"/>
              </w:rPr>
            </w:pPr>
            <w:r>
              <w:rPr>
                <w:rFonts w:ascii="Arial" w:cs="Arial" w:eastAsia="Arial" w:hAnsi="Arial"/>
                <w:sz w:val="14"/>
                <w:szCs w:val="14"/>
                <w:b w:val="1"/>
                <w:bCs w:val="1"/>
                <w:color w:val="003A70"/>
              </w:rPr>
              <w:t>Average</w:t>
            </w:r>
          </w:p>
        </w:tc>
        <w:tc>
          <w:tcPr>
            <w:tcW w:w="1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Average Fair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Prior Fiscal</w:t>
            </w:r>
          </w:p>
        </w:tc>
        <w:tc>
          <w:tcPr>
            <w:tcW w:w="220" w:type="dxa"/>
            <w:vAlign w:val="bottom"/>
          </w:tcPr>
          <w:p>
            <w:pPr>
              <w:spacing w:after="0"/>
              <w:rPr>
                <w:sz w:val="14"/>
                <w:szCs w:val="14"/>
                <w:color w:val="auto"/>
              </w:rPr>
            </w:pPr>
          </w:p>
        </w:tc>
        <w:tc>
          <w:tcPr>
            <w:tcW w:w="1160" w:type="dxa"/>
            <w:vAlign w:val="bottom"/>
          </w:tcPr>
          <w:p>
            <w:pPr>
              <w:jc w:val="center"/>
              <w:ind w:right="146"/>
              <w:spacing w:after="0"/>
              <w:rPr>
                <w:sz w:val="20"/>
                <w:szCs w:val="20"/>
                <w:color w:val="auto"/>
              </w:rPr>
            </w:pPr>
            <w:r>
              <w:rPr>
                <w:rFonts w:ascii="Arial" w:cs="Arial" w:eastAsia="Arial" w:hAnsi="Arial"/>
                <w:sz w:val="14"/>
                <w:szCs w:val="14"/>
                <w:b w:val="1"/>
                <w:bCs w:val="1"/>
                <w:color w:val="003A70"/>
              </w:rPr>
              <w:t>Average Fair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of Dividends or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jc w:val="center"/>
              <w:ind w:left="207"/>
              <w:spacing w:after="0"/>
              <w:rPr>
                <w:sz w:val="20"/>
                <w:szCs w:val="20"/>
                <w:color w:val="auto"/>
              </w:rPr>
            </w:pPr>
            <w:r>
              <w:rPr>
                <w:rFonts w:ascii="Arial" w:cs="Arial" w:eastAsia="Arial" w:hAnsi="Arial"/>
                <w:sz w:val="14"/>
                <w:szCs w:val="14"/>
                <w:b w:val="1"/>
                <w:bCs w:val="1"/>
                <w:color w:val="003A70"/>
              </w:rPr>
              <w:t>Year End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w w:val="99"/>
              </w:rPr>
              <w:t>Year Over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Value as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Year to Vesting</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Value at the End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Other Earnings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jc w:val="center"/>
              <w:ind w:left="187"/>
              <w:spacing w:after="0"/>
              <w:rPr>
                <w:sz w:val="20"/>
                <w:szCs w:val="20"/>
                <w:color w:val="auto"/>
              </w:rPr>
            </w:pPr>
            <w:r>
              <w:rPr>
                <w:rFonts w:ascii="Arial" w:cs="Arial" w:eastAsia="Arial" w:hAnsi="Arial"/>
                <w:sz w:val="14"/>
                <w:szCs w:val="14"/>
                <w:b w:val="1"/>
                <w:bCs w:val="1"/>
                <w:color w:val="003A70"/>
                <w:w w:val="99"/>
              </w:rPr>
              <w:t>Fair Value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Year Average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Vesting 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Date of Equity</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of the Prior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Paid on Stock</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jc w:val="center"/>
              <w:ind w:left="187"/>
              <w:spacing w:after="0"/>
              <w:rPr>
                <w:sz w:val="20"/>
                <w:szCs w:val="20"/>
                <w:color w:val="auto"/>
              </w:rPr>
            </w:pPr>
            <w:r>
              <w:rPr>
                <w:rFonts w:ascii="Arial" w:cs="Arial" w:eastAsia="Arial" w:hAnsi="Arial"/>
                <w:sz w:val="14"/>
                <w:szCs w:val="14"/>
                <w:b w:val="1"/>
                <w:bCs w:val="1"/>
                <w:color w:val="003A70"/>
              </w:rPr>
              <w:t>Equity Awards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Change in Fair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of Equity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of Equity Awards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or Option</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460" w:type="dxa"/>
            <w:vAlign w:val="bottom"/>
          </w:tcPr>
          <w:p>
            <w:pPr>
              <w:jc w:val="center"/>
              <w:ind w:left="187"/>
              <w:spacing w:after="0"/>
              <w:rPr>
                <w:sz w:val="20"/>
                <w:szCs w:val="20"/>
                <w:color w:val="auto"/>
              </w:rPr>
            </w:pPr>
            <w:r>
              <w:rPr>
                <w:rFonts w:ascii="Arial" w:cs="Arial" w:eastAsia="Arial" w:hAnsi="Arial"/>
                <w:sz w:val="14"/>
                <w:szCs w:val="14"/>
                <w:b w:val="1"/>
                <w:bCs w:val="1"/>
                <w:color w:val="003A70"/>
              </w:rPr>
              <w:t>Granted in the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w w:val="99"/>
              </w:rPr>
              <w:t>Value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Granted in</w:t>
            </w:r>
          </w:p>
        </w:tc>
        <w:tc>
          <w:tcPr>
            <w:tcW w:w="220" w:type="dxa"/>
            <w:vAlign w:val="bottom"/>
          </w:tcPr>
          <w:p>
            <w:pPr>
              <w:spacing w:after="0"/>
              <w:rPr>
                <w:sz w:val="14"/>
                <w:szCs w:val="14"/>
                <w:color w:val="auto"/>
              </w:rPr>
            </w:pPr>
          </w:p>
        </w:tc>
        <w:tc>
          <w:tcPr>
            <w:tcW w:w="1160" w:type="dxa"/>
            <w:vAlign w:val="bottom"/>
          </w:tcPr>
          <w:p>
            <w:pPr>
              <w:jc w:val="center"/>
              <w:ind w:right="146"/>
              <w:spacing w:after="0"/>
              <w:rPr>
                <w:sz w:val="20"/>
                <w:szCs w:val="20"/>
                <w:color w:val="auto"/>
              </w:rPr>
            </w:pPr>
            <w:r>
              <w:rPr>
                <w:rFonts w:ascii="Arial" w:cs="Arial" w:eastAsia="Arial" w:hAnsi="Arial"/>
                <w:sz w:val="14"/>
                <w:szCs w:val="14"/>
                <w:b w:val="1"/>
                <w:bCs w:val="1"/>
                <w:color w:val="003A70"/>
              </w:rPr>
              <w:t>that Failed to</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Awards not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003A70"/>
              </w:rPr>
              <w:t>Fiscal</w:t>
            </w:r>
          </w:p>
        </w:tc>
        <w:tc>
          <w:tcPr>
            <w:tcW w:w="1460" w:type="dxa"/>
            <w:vAlign w:val="bottom"/>
          </w:tcPr>
          <w:p>
            <w:pPr>
              <w:jc w:val="center"/>
              <w:ind w:left="187"/>
              <w:spacing w:after="0"/>
              <w:rPr>
                <w:sz w:val="20"/>
                <w:szCs w:val="20"/>
                <w:color w:val="auto"/>
              </w:rPr>
            </w:pPr>
            <w:r>
              <w:rPr>
                <w:rFonts w:ascii="Arial" w:cs="Arial" w:eastAsia="Arial" w:hAnsi="Arial"/>
                <w:sz w:val="14"/>
                <w:szCs w:val="14"/>
                <w:b w:val="1"/>
                <w:bCs w:val="1"/>
                <w:color w:val="003A70"/>
              </w:rPr>
              <w:t>Year and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Outstanding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3A70"/>
              </w:rPr>
              <w:t>Granted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3A70"/>
              </w:rPr>
              <w:t>Prior Years</w:t>
            </w:r>
          </w:p>
        </w:tc>
        <w:tc>
          <w:tcPr>
            <w:tcW w:w="220" w:type="dxa"/>
            <w:vAlign w:val="bottom"/>
          </w:tcPr>
          <w:p>
            <w:pPr>
              <w:spacing w:after="0"/>
              <w:rPr>
                <w:sz w:val="14"/>
                <w:szCs w:val="14"/>
                <w:color w:val="auto"/>
              </w:rPr>
            </w:pPr>
          </w:p>
        </w:tc>
        <w:tc>
          <w:tcPr>
            <w:tcW w:w="1160" w:type="dxa"/>
            <w:vAlign w:val="bottom"/>
          </w:tcPr>
          <w:p>
            <w:pPr>
              <w:jc w:val="center"/>
              <w:ind w:right="126"/>
              <w:spacing w:after="0"/>
              <w:rPr>
                <w:sz w:val="20"/>
                <w:szCs w:val="20"/>
                <w:color w:val="auto"/>
              </w:rPr>
            </w:pPr>
            <w:r>
              <w:rPr>
                <w:rFonts w:ascii="Arial" w:cs="Arial" w:eastAsia="Arial" w:hAnsi="Arial"/>
                <w:sz w:val="14"/>
                <w:szCs w:val="14"/>
                <w:b w:val="1"/>
                <w:bCs w:val="1"/>
                <w:color w:val="003A70"/>
              </w:rPr>
              <w:t>Meet Vesting</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Otherwise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3A70"/>
              </w:rPr>
              <w:t>Total Average</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460" w:type="dxa"/>
            <w:vAlign w:val="bottom"/>
          </w:tcPr>
          <w:p>
            <w:pPr>
              <w:jc w:val="center"/>
              <w:ind w:left="187"/>
              <w:spacing w:after="0" w:line="148" w:lineRule="exact"/>
              <w:rPr>
                <w:sz w:val="20"/>
                <w:szCs w:val="20"/>
                <w:color w:val="auto"/>
              </w:rPr>
            </w:pPr>
            <w:r>
              <w:rPr>
                <w:rFonts w:ascii="Arial" w:cs="Arial" w:eastAsia="Arial" w:hAnsi="Arial"/>
                <w:sz w:val="14"/>
                <w:szCs w:val="14"/>
                <w:b w:val="1"/>
                <w:bCs w:val="1"/>
                <w:color w:val="003A70"/>
              </w:rPr>
              <w:t>Unvested at</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and Unvested</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Vested in the</w:t>
            </w: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that Vested in</w:t>
            </w:r>
          </w:p>
        </w:tc>
        <w:tc>
          <w:tcPr>
            <w:tcW w:w="13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003A70"/>
              </w:rPr>
              <w:t>Conditions in the</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Reflected in</w:t>
            </w: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003A70"/>
              </w:rPr>
              <w:t>Equity Award</w:t>
            </w:r>
          </w:p>
        </w:tc>
        <w:tc>
          <w:tcPr>
            <w:tcW w:w="0" w:type="dxa"/>
            <w:vAlign w:val="bottom"/>
          </w:tcPr>
          <w:p>
            <w:pPr>
              <w:spacing w:after="0"/>
              <w:rPr>
                <w:sz w:val="1"/>
                <w:szCs w:val="1"/>
                <w:color w:val="auto"/>
              </w:rPr>
            </w:pPr>
          </w:p>
        </w:tc>
      </w:tr>
      <w:tr>
        <w:trPr>
          <w:trHeight w:val="218"/>
        </w:trPr>
        <w:tc>
          <w:tcPr>
            <w:tcW w:w="1380" w:type="dxa"/>
            <w:vAlign w:val="bottom"/>
            <w:tcBorders>
              <w:bottom w:val="single" w:sz="8" w:color="003A70"/>
            </w:tcBorders>
          </w:tcPr>
          <w:p>
            <w:pPr>
              <w:jc w:val="right"/>
              <w:ind w:right="365"/>
              <w:spacing w:after="0"/>
              <w:rPr>
                <w:sz w:val="20"/>
                <w:szCs w:val="20"/>
                <w:color w:val="auto"/>
              </w:rPr>
            </w:pPr>
            <w:r>
              <w:rPr>
                <w:rFonts w:ascii="Arial" w:cs="Arial" w:eastAsia="Arial" w:hAnsi="Arial"/>
                <w:sz w:val="14"/>
                <w:szCs w:val="14"/>
                <w:b w:val="1"/>
                <w:bCs w:val="1"/>
                <w:color w:val="003A70"/>
              </w:rPr>
              <w:t>Year</w:t>
            </w:r>
          </w:p>
        </w:tc>
        <w:tc>
          <w:tcPr>
            <w:tcW w:w="1460" w:type="dxa"/>
            <w:vAlign w:val="bottom"/>
            <w:tcBorders>
              <w:bottom w:val="single" w:sz="8" w:color="003A70"/>
            </w:tcBorders>
          </w:tcPr>
          <w:p>
            <w:pPr>
              <w:jc w:val="center"/>
              <w:ind w:left="207"/>
              <w:spacing w:after="0"/>
              <w:rPr>
                <w:sz w:val="20"/>
                <w:szCs w:val="20"/>
                <w:color w:val="auto"/>
              </w:rPr>
            </w:pPr>
            <w:r>
              <w:rPr>
                <w:rFonts w:ascii="Arial" w:cs="Arial" w:eastAsia="Arial" w:hAnsi="Arial"/>
                <w:sz w:val="14"/>
                <w:szCs w:val="14"/>
                <w:b w:val="1"/>
                <w:bCs w:val="1"/>
                <w:color w:val="003A70"/>
              </w:rPr>
              <w:t>Year End</w:t>
            </w:r>
          </w:p>
        </w:tc>
        <w:tc>
          <w:tcPr>
            <w:tcW w:w="12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Equity Awards</w:t>
            </w:r>
          </w:p>
        </w:tc>
        <w:tc>
          <w:tcPr>
            <w:tcW w:w="10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Year</w:t>
            </w:r>
          </w:p>
        </w:tc>
        <w:tc>
          <w:tcPr>
            <w:tcW w:w="12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the Year</w:t>
            </w:r>
          </w:p>
        </w:tc>
        <w:tc>
          <w:tcPr>
            <w:tcW w:w="220" w:type="dxa"/>
            <w:vAlign w:val="bottom"/>
            <w:tcBorders>
              <w:bottom w:val="single" w:sz="8" w:color="003A70"/>
            </w:tcBorders>
          </w:tcPr>
          <w:p>
            <w:pPr>
              <w:spacing w:after="0"/>
              <w:rPr>
                <w:sz w:val="18"/>
                <w:szCs w:val="18"/>
                <w:color w:val="auto"/>
              </w:rPr>
            </w:pPr>
          </w:p>
        </w:tc>
        <w:tc>
          <w:tcPr>
            <w:tcW w:w="1160" w:type="dxa"/>
            <w:vAlign w:val="bottom"/>
            <w:tcBorders>
              <w:bottom w:val="single" w:sz="8" w:color="003A70"/>
            </w:tcBorders>
          </w:tcPr>
          <w:p>
            <w:pPr>
              <w:jc w:val="center"/>
              <w:ind w:right="146"/>
              <w:spacing w:after="0"/>
              <w:rPr>
                <w:sz w:val="20"/>
                <w:szCs w:val="20"/>
                <w:color w:val="auto"/>
              </w:rPr>
            </w:pPr>
            <w:r>
              <w:rPr>
                <w:rFonts w:ascii="Arial" w:cs="Arial" w:eastAsia="Arial" w:hAnsi="Arial"/>
                <w:sz w:val="14"/>
                <w:szCs w:val="14"/>
                <w:b w:val="1"/>
                <w:bCs w:val="1"/>
                <w:color w:val="003A70"/>
                <w:w w:val="98"/>
              </w:rPr>
              <w:t>Year</w:t>
            </w:r>
          </w:p>
        </w:tc>
        <w:tc>
          <w:tcPr>
            <w:tcW w:w="12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Fair Value</w:t>
            </w:r>
          </w:p>
        </w:tc>
        <w:tc>
          <w:tcPr>
            <w:tcW w:w="11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Adjustments</w:t>
            </w:r>
          </w:p>
        </w:tc>
        <w:tc>
          <w:tcPr>
            <w:tcW w:w="0" w:type="dxa"/>
            <w:vAlign w:val="bottom"/>
          </w:tcPr>
          <w:p>
            <w:pPr>
              <w:spacing w:after="0"/>
              <w:rPr>
                <w:sz w:val="1"/>
                <w:szCs w:val="1"/>
                <w:color w:val="auto"/>
              </w:rPr>
            </w:pPr>
          </w:p>
        </w:tc>
      </w:tr>
      <w:tr>
        <w:trPr>
          <w:trHeight w:val="188"/>
        </w:trPr>
        <w:tc>
          <w:tcPr>
            <w:tcW w:w="1380" w:type="dxa"/>
            <w:vAlign w:val="bottom"/>
            <w:tcBorders>
              <w:bottom w:val="single" w:sz="8" w:color="003A70"/>
            </w:tcBorders>
          </w:tcPr>
          <w:p>
            <w:pPr>
              <w:jc w:val="right"/>
              <w:ind w:right="305"/>
              <w:spacing w:after="0"/>
              <w:rPr>
                <w:sz w:val="20"/>
                <w:szCs w:val="20"/>
                <w:color w:val="auto"/>
              </w:rPr>
            </w:pPr>
            <w:r>
              <w:rPr>
                <w:rFonts w:ascii="Arial" w:cs="Arial" w:eastAsia="Arial" w:hAnsi="Arial"/>
                <w:sz w:val="16"/>
                <w:szCs w:val="16"/>
                <w:color w:val="auto"/>
              </w:rPr>
              <w:t>2024</w:t>
            </w:r>
          </w:p>
        </w:tc>
        <w:tc>
          <w:tcPr>
            <w:tcW w:w="1460" w:type="dxa"/>
            <w:vAlign w:val="bottom"/>
            <w:tcBorders>
              <w:bottom w:val="single" w:sz="8" w:color="003A70"/>
            </w:tcBorders>
          </w:tcPr>
          <w:p>
            <w:pPr>
              <w:jc w:val="center"/>
              <w:ind w:left="187"/>
              <w:spacing w:after="0"/>
              <w:rPr>
                <w:sz w:val="20"/>
                <w:szCs w:val="20"/>
                <w:color w:val="auto"/>
              </w:rPr>
            </w:pPr>
            <w:r>
              <w:rPr>
                <w:rFonts w:ascii="Arial" w:cs="Arial" w:eastAsia="Arial" w:hAnsi="Arial"/>
                <w:sz w:val="16"/>
                <w:szCs w:val="16"/>
                <w:color w:val="auto"/>
              </w:rPr>
              <w:t>$     836,211</w:t>
            </w:r>
          </w:p>
        </w:tc>
        <w:tc>
          <w:tcPr>
            <w:tcW w:w="122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(17,734)</w:t>
            </w:r>
          </w:p>
        </w:tc>
        <w:tc>
          <w:tcPr>
            <w:tcW w:w="108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43,738</w:t>
            </w:r>
          </w:p>
        </w:tc>
        <w:tc>
          <w:tcPr>
            <w:tcW w:w="12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(42,486)</w:t>
            </w:r>
          </w:p>
        </w:tc>
        <w:tc>
          <w:tcPr>
            <w:tcW w:w="2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03A70"/>
            </w:tcBorders>
          </w:tcPr>
          <w:p>
            <w:pPr>
              <w:ind w:left="260"/>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819,729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60" w:hanging="325"/>
        <w:spacing w:after="0"/>
        <w:tabs>
          <w:tab w:leader="none" w:pos="46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Refer to description and reconciliation of Adjusted EBITDA in Appendix A.</w:t>
      </w:r>
    </w:p>
    <w:p>
      <w:pPr>
        <w:spacing w:after="0" w:line="116"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48</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right="380"/>
        <w:spacing w:after="0" w:line="258" w:lineRule="auto"/>
        <w:rPr>
          <w:sz w:val="20"/>
          <w:szCs w:val="20"/>
          <w:color w:val="auto"/>
        </w:rPr>
      </w:pPr>
      <w:r>
        <w:rPr>
          <w:rFonts w:ascii="Arial" w:cs="Arial" w:eastAsia="Arial" w:hAnsi="Arial"/>
          <w:sz w:val="16"/>
          <w:szCs w:val="16"/>
          <w:color w:val="auto"/>
        </w:rPr>
        <w:t>The below charts represent the alignment of the PEO and NEO pay to Net Income, Adjusted EBITDA, and Company and peer TSR. The graphical representation demonstrates that both the PEO and NEO compensation actually paid (“CAP”) is aligned with stockholder performance. As noted, the financial metrics have increased year over year, whereas the CAP and Company TSR have responded to various market conditions in a correlated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172720</wp:posOffset>
            </wp:positionV>
            <wp:extent cx="6338570" cy="3689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38570" cy="3689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0"/>
        <w:spacing w:after="0"/>
        <w:tabs>
          <w:tab w:leader="none" w:pos="44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COMPENSATION ARRANGEMENTS FOR NON-EMPLOYEE DIRECTORS</w:t>
      </w:r>
    </w:p>
    <w:p>
      <w:pPr>
        <w:spacing w:after="0" w:line="111" w:lineRule="exact"/>
        <w:rPr>
          <w:sz w:val="20"/>
          <w:szCs w:val="20"/>
          <w:color w:val="auto"/>
        </w:rPr>
      </w:pPr>
    </w:p>
    <w:p>
      <w:pPr>
        <w:jc w:val="both"/>
        <w:ind w:left="140" w:right="100"/>
        <w:spacing w:after="0" w:line="255" w:lineRule="auto"/>
        <w:rPr>
          <w:sz w:val="20"/>
          <w:szCs w:val="20"/>
          <w:color w:val="auto"/>
        </w:rPr>
      </w:pPr>
      <w:r>
        <w:rPr>
          <w:rFonts w:ascii="Arial" w:cs="Arial" w:eastAsia="Arial" w:hAnsi="Arial"/>
          <w:sz w:val="16"/>
          <w:szCs w:val="16"/>
          <w:color w:val="auto"/>
        </w:rPr>
        <w:t>In designing and implementing compensation programs applicable to our non-employee directors, our CPC considered the advice and recommendations of Exequity. In determining its recommendation to the Board with respect to compensation for our non-employee directors for 2024, the CPC considered the external market pay practices of the same companies that comprised the peer group it considered with respect to the compensation of our executive officers for 2024 and generally looks to the median of such market data when making director compensation decisions. As a result of the external market review, the CPC did not recommend changes to non-employee director compensation in 2024.</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2024, our compensation arrangements for our non-employee directors for service on our Board consisted of:</w:t>
      </w:r>
    </w:p>
    <w:p>
      <w:pPr>
        <w:spacing w:after="0" w:line="45" w:lineRule="exact"/>
        <w:rPr>
          <w:sz w:val="20"/>
          <w:szCs w:val="20"/>
          <w:color w:val="auto"/>
        </w:rPr>
      </w:pPr>
    </w:p>
    <w:p>
      <w:pPr>
        <w:ind w:left="360" w:hanging="225"/>
        <w:spacing w:after="0"/>
        <w:tabs>
          <w:tab w:leader="none" w:pos="360" w:val="left"/>
        </w:tabs>
        <w:numPr>
          <w:ilvl w:val="0"/>
          <w:numId w:val="91"/>
        </w:numPr>
        <w:rPr>
          <w:rFonts w:ascii="Arial" w:cs="Arial" w:eastAsia="Arial" w:hAnsi="Arial"/>
          <w:sz w:val="16"/>
          <w:szCs w:val="16"/>
          <w:color w:val="003A70"/>
        </w:rPr>
      </w:pPr>
      <w:r>
        <w:rPr>
          <w:rFonts w:ascii="Arial" w:cs="Arial" w:eastAsia="Arial" w:hAnsi="Arial"/>
          <w:sz w:val="16"/>
          <w:szCs w:val="16"/>
          <w:color w:val="auto"/>
        </w:rPr>
        <w:t>an annual cash retainer of $85,000 for each non-employee director other than the Chairman and $130,000 for the Chairman;</w:t>
      </w:r>
    </w:p>
    <w:p>
      <w:pPr>
        <w:spacing w:after="0" w:line="44" w:lineRule="exact"/>
        <w:rPr>
          <w:rFonts w:ascii="Arial" w:cs="Arial" w:eastAsia="Arial" w:hAnsi="Arial"/>
          <w:sz w:val="16"/>
          <w:szCs w:val="16"/>
          <w:color w:val="003A70"/>
        </w:rPr>
      </w:pPr>
    </w:p>
    <w:p>
      <w:pPr>
        <w:ind w:left="360" w:right="360" w:hanging="225"/>
        <w:spacing w:after="0" w:line="271" w:lineRule="auto"/>
        <w:tabs>
          <w:tab w:leader="none" w:pos="360" w:val="left"/>
        </w:tabs>
        <w:numPr>
          <w:ilvl w:val="0"/>
          <w:numId w:val="91"/>
        </w:numPr>
        <w:rPr>
          <w:rFonts w:ascii="Arial" w:cs="Arial" w:eastAsia="Arial" w:hAnsi="Arial"/>
          <w:sz w:val="16"/>
          <w:szCs w:val="16"/>
          <w:color w:val="003A70"/>
        </w:rPr>
      </w:pPr>
      <w:r>
        <w:rPr>
          <w:rFonts w:ascii="Arial" w:cs="Arial" w:eastAsia="Arial" w:hAnsi="Arial"/>
          <w:sz w:val="16"/>
          <w:szCs w:val="16"/>
          <w:color w:val="auto"/>
        </w:rPr>
        <w:t>an annual cash retainer of $25,000 for the chairs of each of the Audit Committee, Compensation Policy Committee and Nominating and Corporate Governance Committee;</w:t>
      </w:r>
    </w:p>
    <w:p>
      <w:pPr>
        <w:spacing w:after="0" w:line="1" w:lineRule="exact"/>
        <w:rPr>
          <w:rFonts w:ascii="Arial" w:cs="Arial" w:eastAsia="Arial" w:hAnsi="Arial"/>
          <w:sz w:val="16"/>
          <w:szCs w:val="16"/>
          <w:color w:val="003A70"/>
        </w:rPr>
      </w:pPr>
    </w:p>
    <w:p>
      <w:pPr>
        <w:ind w:left="360" w:right="380" w:hanging="225"/>
        <w:spacing w:after="0" w:line="271" w:lineRule="auto"/>
        <w:tabs>
          <w:tab w:leader="none" w:pos="360" w:val="left"/>
        </w:tabs>
        <w:numPr>
          <w:ilvl w:val="0"/>
          <w:numId w:val="91"/>
        </w:numPr>
        <w:rPr>
          <w:rFonts w:ascii="Arial" w:cs="Arial" w:eastAsia="Arial" w:hAnsi="Arial"/>
          <w:sz w:val="16"/>
          <w:szCs w:val="16"/>
          <w:color w:val="003A70"/>
        </w:rPr>
      </w:pPr>
      <w:r>
        <w:rPr>
          <w:rFonts w:ascii="Arial" w:cs="Arial" w:eastAsia="Arial" w:hAnsi="Arial"/>
          <w:sz w:val="16"/>
          <w:szCs w:val="16"/>
          <w:color w:val="auto"/>
        </w:rPr>
        <w:t>an annual cash retainer of $10,000 for the members (other than the Chairs) of each of the Audit Committee, Compensation Policy Committee and Nominating and Corporate Governance Committee; and</w:t>
      </w:r>
    </w:p>
    <w:p>
      <w:pPr>
        <w:spacing w:after="0" w:line="1" w:lineRule="exact"/>
        <w:rPr>
          <w:rFonts w:ascii="Arial" w:cs="Arial" w:eastAsia="Arial" w:hAnsi="Arial"/>
          <w:sz w:val="16"/>
          <w:szCs w:val="16"/>
          <w:color w:val="003A70"/>
        </w:rPr>
      </w:pPr>
    </w:p>
    <w:p>
      <w:pPr>
        <w:ind w:left="360" w:right="20" w:hanging="225"/>
        <w:spacing w:after="0" w:line="284" w:lineRule="auto"/>
        <w:tabs>
          <w:tab w:leader="none" w:pos="360" w:val="left"/>
        </w:tabs>
        <w:numPr>
          <w:ilvl w:val="0"/>
          <w:numId w:val="91"/>
        </w:numPr>
        <w:rPr>
          <w:rFonts w:ascii="Arial" w:cs="Arial" w:eastAsia="Arial" w:hAnsi="Arial"/>
          <w:sz w:val="16"/>
          <w:szCs w:val="16"/>
          <w:color w:val="003A70"/>
        </w:rPr>
      </w:pPr>
      <w:r>
        <w:rPr>
          <w:rFonts w:ascii="Arial" w:cs="Arial" w:eastAsia="Arial" w:hAnsi="Arial"/>
          <w:sz w:val="16"/>
          <w:szCs w:val="16"/>
          <w:color w:val="auto"/>
        </w:rPr>
        <w:t>an annual equity grant (the “Non-Employee Director Share Awards”) with a grant date value of $175,000 for each non-employee director other than the Chairman and $250,000 for the Chairman.</w:t>
      </w:r>
    </w:p>
    <w:p>
      <w:pPr>
        <w:spacing w:after="0" w:line="49"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3" w:lineRule="exact"/>
        <w:rPr>
          <w:sz w:val="20"/>
          <w:szCs w:val="20"/>
          <w:color w:val="auto"/>
        </w:rPr>
      </w:pPr>
    </w:p>
    <w:p>
      <w:pPr>
        <w:jc w:val="both"/>
        <w:ind w:left="360" w:right="500" w:hanging="225"/>
        <w:spacing w:after="0" w:line="263" w:lineRule="auto"/>
        <w:tabs>
          <w:tab w:leader="none" w:pos="360" w:val="left"/>
        </w:tabs>
        <w:numPr>
          <w:ilvl w:val="0"/>
          <w:numId w:val="92"/>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stock units with terms, including the payment of dividends, as specified in the relevant equity plan, with distribution in the form of shares of the Company’s common stock to occur as elected by the non-employee director as permitted pursuant to the relevant equity plan; or</w:t>
      </w:r>
    </w:p>
    <w:p>
      <w:pPr>
        <w:ind w:left="360" w:right="520" w:hanging="225"/>
        <w:spacing w:after="0" w:line="284" w:lineRule="auto"/>
        <w:tabs>
          <w:tab w:leader="none" w:pos="360" w:val="left"/>
        </w:tabs>
        <w:numPr>
          <w:ilvl w:val="0"/>
          <w:numId w:val="92"/>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shares of the Company’s common stock, to be issued as soon as practicable following the grant date.</w:t>
      </w:r>
    </w:p>
    <w:p>
      <w:pPr>
        <w:spacing w:after="0" w:line="49" w:lineRule="exact"/>
        <w:rPr>
          <w:sz w:val="20"/>
          <w:szCs w:val="20"/>
          <w:color w:val="auto"/>
        </w:rPr>
      </w:pPr>
    </w:p>
    <w:p>
      <w:pPr>
        <w:jc w:val="both"/>
        <w:ind w:left="140" w:right="120"/>
        <w:spacing w:after="0" w:line="258" w:lineRule="auto"/>
        <w:rPr>
          <w:sz w:val="20"/>
          <w:szCs w:val="20"/>
          <w:color w:val="auto"/>
        </w:rPr>
      </w:pPr>
      <w:r>
        <w:rPr>
          <w:rFonts w:ascii="Arial" w:cs="Arial" w:eastAsia="Arial" w:hAnsi="Arial"/>
          <w:sz w:val="16"/>
          <w:szCs w:val="16"/>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the compensation paid to our non-employee directors during the fiscal year ended December 31, 2024.</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60" w:type="dxa"/>
            <w:vAlign w:val="bottom"/>
          </w:tcPr>
          <w:p>
            <w:pPr>
              <w:jc w:val="center"/>
              <w:ind w:left="3161"/>
              <w:spacing w:after="0"/>
              <w:rPr>
                <w:sz w:val="20"/>
                <w:szCs w:val="20"/>
                <w:color w:val="auto"/>
              </w:rPr>
            </w:pPr>
            <w:r>
              <w:rPr>
                <w:rFonts w:ascii="Arial" w:cs="Arial" w:eastAsia="Arial" w:hAnsi="Arial"/>
                <w:sz w:val="14"/>
                <w:szCs w:val="14"/>
                <w:b w:val="1"/>
                <w:bCs w:val="1"/>
                <w:color w:val="003A70"/>
              </w:rPr>
              <w:t>Fees Earned</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1"/>
        </w:trPr>
        <w:tc>
          <w:tcPr>
            <w:tcW w:w="5020" w:type="dxa"/>
            <w:vAlign w:val="bottom"/>
          </w:tcPr>
          <w:p>
            <w:pPr>
              <w:spacing w:after="0"/>
              <w:rPr>
                <w:sz w:val="14"/>
                <w:szCs w:val="14"/>
                <w:color w:val="auto"/>
              </w:rPr>
            </w:pPr>
          </w:p>
        </w:tc>
        <w:tc>
          <w:tcPr>
            <w:tcW w:w="4260" w:type="dxa"/>
            <w:vAlign w:val="bottom"/>
          </w:tcPr>
          <w:p>
            <w:pPr>
              <w:jc w:val="center"/>
              <w:ind w:left="3161"/>
              <w:spacing w:after="0"/>
              <w:rPr>
                <w:sz w:val="20"/>
                <w:szCs w:val="20"/>
                <w:color w:val="auto"/>
              </w:rPr>
            </w:pPr>
            <w:r>
              <w:rPr>
                <w:rFonts w:ascii="Arial" w:cs="Arial" w:eastAsia="Arial" w:hAnsi="Arial"/>
                <w:sz w:val="14"/>
                <w:szCs w:val="14"/>
                <w:b w:val="1"/>
                <w:bCs w:val="1"/>
                <w:color w:val="003A70"/>
              </w:rPr>
              <w:t>or Paid in</w:t>
            </w:r>
          </w:p>
        </w:tc>
        <w:tc>
          <w:tcPr>
            <w:tcW w:w="840" w:type="dxa"/>
            <w:vAlign w:val="bottom"/>
          </w:tcPr>
          <w:p>
            <w:pPr>
              <w:jc w:val="right"/>
              <w:ind w:right="141"/>
              <w:spacing w:after="0"/>
              <w:rPr>
                <w:sz w:val="20"/>
                <w:szCs w:val="20"/>
                <w:color w:val="auto"/>
              </w:rPr>
            </w:pPr>
            <w:r>
              <w:rPr>
                <w:rFonts w:ascii="Arial" w:cs="Arial" w:eastAsia="Arial" w:hAnsi="Arial"/>
                <w:sz w:val="14"/>
                <w:szCs w:val="14"/>
                <w:b w:val="1"/>
                <w:bCs w:val="1"/>
                <w:color w:val="003A70"/>
              </w:rPr>
              <w:t>Stock</w:t>
            </w:r>
          </w:p>
        </w:tc>
        <w:tc>
          <w:tcPr>
            <w:tcW w:w="860" w:type="dxa"/>
            <w:vAlign w:val="bottom"/>
          </w:tcPr>
          <w:p>
            <w:pPr>
              <w:spacing w:after="0"/>
              <w:rPr>
                <w:sz w:val="14"/>
                <w:szCs w:val="14"/>
                <w:color w:val="auto"/>
              </w:rPr>
            </w:pPr>
          </w:p>
        </w:tc>
      </w:tr>
      <w:tr>
        <w:trPr>
          <w:trHeight w:val="191"/>
        </w:trPr>
        <w:tc>
          <w:tcPr>
            <w:tcW w:w="50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260" w:type="dxa"/>
            <w:vAlign w:val="bottom"/>
            <w:tcBorders>
              <w:bottom w:val="single" w:sz="8" w:color="003A70"/>
            </w:tcBorders>
          </w:tcPr>
          <w:p>
            <w:pPr>
              <w:jc w:val="center"/>
              <w:ind w:left="3141"/>
              <w:spacing w:after="0" w:line="185" w:lineRule="exact"/>
              <w:rPr>
                <w:sz w:val="20"/>
                <w:szCs w:val="20"/>
                <w:color w:val="auto"/>
              </w:rPr>
            </w:pPr>
            <w:r>
              <w:rPr>
                <w:rFonts w:ascii="Arial" w:cs="Arial" w:eastAsia="Arial" w:hAnsi="Arial"/>
                <w:sz w:val="14"/>
                <w:szCs w:val="14"/>
                <w:b w:val="1"/>
                <w:bCs w:val="1"/>
                <w:color w:val="003A70"/>
                <w:w w:val="95"/>
              </w:rPr>
              <w:t>Cash</w:t>
            </w:r>
            <w:r>
              <w:rPr>
                <w:rFonts w:ascii="Arial" w:cs="Arial" w:eastAsia="Arial" w:hAnsi="Arial"/>
                <w:sz w:val="17"/>
                <w:szCs w:val="17"/>
                <w:color w:val="003A70"/>
                <w:w w:val="95"/>
                <w:vertAlign w:val="superscript"/>
              </w:rPr>
              <w:t>1,2</w:t>
            </w:r>
          </w:p>
        </w:tc>
        <w:tc>
          <w:tcPr>
            <w:tcW w:w="840" w:type="dxa"/>
            <w:vAlign w:val="bottom"/>
            <w:tcBorders>
              <w:bottom w:val="single" w:sz="8" w:color="003A70"/>
            </w:tcBorders>
          </w:tcPr>
          <w:p>
            <w:pPr>
              <w:jc w:val="right"/>
              <w:ind w:right="61"/>
              <w:spacing w:after="0" w:line="185"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17"/>
                <w:szCs w:val="17"/>
                <w:color w:val="003A70"/>
                <w:vertAlign w:val="superscript"/>
              </w:rPr>
              <w:t>3</w:t>
            </w:r>
          </w:p>
        </w:tc>
        <w:tc>
          <w:tcPr>
            <w:tcW w:w="860" w:type="dxa"/>
            <w:vAlign w:val="bottom"/>
            <w:tcBorders>
              <w:bottom w:val="single" w:sz="8" w:color="003A70"/>
            </w:tcBorders>
          </w:tcPr>
          <w:p>
            <w:pPr>
              <w:jc w:val="right"/>
              <w:ind w:right="140"/>
              <w:spacing w:after="0"/>
              <w:rPr>
                <w:sz w:val="20"/>
                <w:szCs w:val="20"/>
                <w:color w:val="auto"/>
              </w:rPr>
            </w:pPr>
            <w:r>
              <w:rPr>
                <w:rFonts w:ascii="Arial" w:cs="Arial" w:eastAsia="Arial" w:hAnsi="Arial"/>
                <w:sz w:val="14"/>
                <w:szCs w:val="14"/>
                <w:b w:val="1"/>
                <w:bCs w:val="1"/>
                <w:color w:val="003A70"/>
              </w:rPr>
              <w:t>Total </w:t>
            </w:r>
          </w:p>
        </w:tc>
      </w:tr>
      <w:tr>
        <w:trPr>
          <w:trHeight w:val="188"/>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J. Shaw</w:t>
            </w:r>
          </w:p>
        </w:tc>
        <w:tc>
          <w:tcPr>
            <w:tcW w:w="4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  130,000</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$249,984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$379,984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C.E. Andrews</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120,000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294,989  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Lizanne Galbreath</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105,000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279,989  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Mary E. Galligan</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93,736</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268,725  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Raymond L. Gellein, Jr.</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105,000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279,989  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Jonice M. Gray</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105,000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279,989  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Melquiades R. Martinez</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94,588</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269,577  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William W. McCarten</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105,000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279,989  </w:t>
            </w:r>
          </w:p>
        </w:tc>
      </w:tr>
      <w:tr>
        <w:trPr>
          <w:trHeight w:val="182"/>
        </w:trPr>
        <w:tc>
          <w:tcPr>
            <w:tcW w:w="502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Dianna F. Morgan</w:t>
            </w:r>
          </w:p>
        </w:tc>
        <w:tc>
          <w:tcPr>
            <w:tcW w:w="426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120,000</w:t>
            </w:r>
          </w:p>
        </w:tc>
        <w:tc>
          <w:tcPr>
            <w:tcW w:w="84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294,989  </w:t>
            </w:r>
          </w:p>
        </w:tc>
      </w:tr>
      <w:tr>
        <w:trPr>
          <w:trHeight w:val="182"/>
        </w:trPr>
        <w:tc>
          <w:tcPr>
            <w:tcW w:w="502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Stephen R. Quazzo</w:t>
            </w:r>
          </w:p>
        </w:tc>
        <w:tc>
          <w:tcPr>
            <w:tcW w:w="4260" w:type="dxa"/>
            <w:vAlign w:val="bottom"/>
            <w:tcBorders>
              <w:bottom w:val="single" w:sz="8" w:color="003A70"/>
            </w:tcBorders>
          </w:tcPr>
          <w:p>
            <w:pPr>
              <w:jc w:val="right"/>
              <w:ind w:right="1"/>
              <w:spacing w:after="0" w:line="182" w:lineRule="exact"/>
              <w:rPr>
                <w:sz w:val="20"/>
                <w:szCs w:val="20"/>
                <w:color w:val="auto"/>
              </w:rPr>
            </w:pPr>
            <w:r>
              <w:rPr>
                <w:rFonts w:ascii="Arial" w:cs="Arial" w:eastAsia="Arial" w:hAnsi="Arial"/>
                <w:sz w:val="16"/>
                <w:szCs w:val="16"/>
                <w:color w:val="auto"/>
              </w:rPr>
              <w:t>118,104</w:t>
            </w:r>
          </w:p>
        </w:tc>
        <w:tc>
          <w:tcPr>
            <w:tcW w:w="840" w:type="dxa"/>
            <w:vAlign w:val="bottom"/>
            <w:tcBorders>
              <w:bottom w:val="single" w:sz="8" w:color="003A70"/>
            </w:tcBorders>
          </w:tcPr>
          <w:p>
            <w:pPr>
              <w:jc w:val="right"/>
              <w:ind w:right="1"/>
              <w:spacing w:after="0" w:line="182" w:lineRule="exact"/>
              <w:rPr>
                <w:sz w:val="20"/>
                <w:szCs w:val="20"/>
                <w:color w:val="auto"/>
              </w:rPr>
            </w:pPr>
            <w:r>
              <w:rPr>
                <w:rFonts w:ascii="Arial" w:cs="Arial" w:eastAsia="Arial" w:hAnsi="Arial"/>
                <w:sz w:val="16"/>
                <w:szCs w:val="16"/>
                <w:color w:val="auto"/>
              </w:rPr>
              <w:t>174,989</w:t>
            </w:r>
          </w:p>
        </w:tc>
        <w:tc>
          <w:tcPr>
            <w:tcW w:w="86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293,093  </w:t>
            </w:r>
          </w:p>
        </w:tc>
      </w:tr>
    </w:tbl>
    <w:p>
      <w:pPr>
        <w:spacing w:after="0" w:line="71" w:lineRule="exact"/>
        <w:rPr>
          <w:sz w:val="20"/>
          <w:szCs w:val="20"/>
          <w:color w:val="auto"/>
        </w:rPr>
      </w:pPr>
    </w:p>
    <w:p>
      <w:pPr>
        <w:ind w:left="460" w:right="160" w:hanging="325"/>
        <w:spacing w:after="0" w:line="229" w:lineRule="auto"/>
        <w:tabs>
          <w:tab w:leader="none" w:pos="46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Directors may elect to defer their cash retainer and committee fees pursuant to the MVW Deferred Compensation Plan. No director elected to defer their cash retainer and committee fees pursuant to the MVW Deferred Compensation Plan in 2024.</w:t>
      </w:r>
    </w:p>
    <w:p>
      <w:pPr>
        <w:spacing w:after="0" w:line="52" w:lineRule="exact"/>
        <w:rPr>
          <w:sz w:val="20"/>
          <w:szCs w:val="20"/>
          <w:color w:val="auto"/>
        </w:rPr>
      </w:pPr>
    </w:p>
    <w:p>
      <w:pPr>
        <w:ind w:left="460" w:right="140" w:hanging="325"/>
        <w:spacing w:after="0" w:line="229" w:lineRule="auto"/>
        <w:tabs>
          <w:tab w:leader="none" w:pos="46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Directors may elect to receive their cash retainer and committee fees in the form of equity awards. Mr. Gellein and Ms. Gray elected equity in lieu of their cash retainer and committee fees in 2024.</w:t>
      </w:r>
    </w:p>
    <w:p>
      <w:pPr>
        <w:spacing w:after="0" w:line="116"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50</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4" w:lineRule="exact"/>
        <w:rPr>
          <w:sz w:val="20"/>
          <w:szCs w:val="20"/>
          <w:color w:val="auto"/>
        </w:rPr>
      </w:pPr>
    </w:p>
    <w:p>
      <w:pPr>
        <w:ind w:left="460" w:hanging="325"/>
        <w:spacing w:after="0"/>
        <w:tabs>
          <w:tab w:leader="none" w:pos="46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The following table indicates the number of outstanding equity awards held by each non-employee director as of December 31, 2024.</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Number of Securities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w w:val="99"/>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Underlying Unexercised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Shares or Units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Shares or Units</w:t>
            </w: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6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b w:val="1"/>
                <w:bCs w:val="1"/>
                <w:color w:val="003A70"/>
              </w:rPr>
              <w:t>Options/SARs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3A70"/>
              </w:rPr>
              <w:t>of Stock That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A70"/>
              </w:rPr>
              <w:t>of Stock That</w:t>
            </w:r>
          </w:p>
        </w:tc>
      </w:tr>
      <w:tr>
        <w:trPr>
          <w:trHeight w:val="175"/>
        </w:trPr>
        <w:tc>
          <w:tcPr>
            <w:tcW w:w="238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Name</w:t>
            </w:r>
          </w:p>
        </w:tc>
        <w:tc>
          <w:tcPr>
            <w:tcW w:w="3620" w:type="dxa"/>
            <w:vAlign w:val="bottom"/>
            <w:tcBorders>
              <w:bottom w:val="single" w:sz="8" w:color="003A70"/>
            </w:tcBorders>
          </w:tcPr>
          <w:p>
            <w:pPr>
              <w:ind w:left="680"/>
              <w:spacing w:after="0"/>
              <w:rPr>
                <w:sz w:val="20"/>
                <w:szCs w:val="20"/>
                <w:color w:val="auto"/>
              </w:rPr>
            </w:pPr>
            <w:r>
              <w:rPr>
                <w:rFonts w:ascii="Arial" w:cs="Arial" w:eastAsia="Arial" w:hAnsi="Arial"/>
                <w:sz w:val="14"/>
                <w:szCs w:val="14"/>
                <w:b w:val="1"/>
                <w:bCs w:val="1"/>
                <w:color w:val="003A70"/>
              </w:rPr>
              <w:t>Award Type</w:t>
            </w:r>
          </w:p>
        </w:tc>
        <w:tc>
          <w:tcPr>
            <w:tcW w:w="96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Exercisable</w:t>
            </w:r>
          </w:p>
        </w:tc>
        <w:tc>
          <w:tcPr>
            <w:tcW w:w="1100" w:type="dxa"/>
            <w:vAlign w:val="bottom"/>
            <w:tcBorders>
              <w:bottom w:val="single" w:sz="8" w:color="003A70"/>
            </w:tcBorders>
          </w:tcPr>
          <w:p>
            <w:pPr>
              <w:ind w:left="60"/>
              <w:spacing w:after="0"/>
              <w:rPr>
                <w:sz w:val="20"/>
                <w:szCs w:val="20"/>
                <w:color w:val="auto"/>
              </w:rPr>
            </w:pPr>
            <w:r>
              <w:rPr>
                <w:rFonts w:ascii="Arial" w:cs="Arial" w:eastAsia="Arial" w:hAnsi="Arial"/>
                <w:sz w:val="14"/>
                <w:szCs w:val="14"/>
                <w:b w:val="1"/>
                <w:bCs w:val="1"/>
                <w:color w:val="003A70"/>
              </w:rPr>
              <w:t>Unexercisable</w:t>
            </w:r>
          </w:p>
        </w:tc>
        <w:tc>
          <w:tcPr>
            <w:tcW w:w="12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Have Not Vested</w:t>
            </w:r>
          </w:p>
        </w:tc>
        <w:tc>
          <w:tcPr>
            <w:tcW w:w="12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Have Vested</w:t>
            </w:r>
          </w:p>
        </w:tc>
      </w:tr>
      <w:tr>
        <w:trPr>
          <w:trHeight w:val="18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William J. Shaw</w:t>
            </w:r>
          </w:p>
        </w:tc>
        <w:tc>
          <w:tcPr>
            <w:tcW w:w="3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33,410</w:t>
            </w:r>
          </w:p>
        </w:tc>
      </w:tr>
      <w:tr>
        <w:trPr>
          <w:trHeight w:val="182"/>
        </w:trPr>
        <w:tc>
          <w:tcPr>
            <w:tcW w:w="23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C.E. Andrews</w:t>
            </w:r>
          </w:p>
        </w:tc>
        <w:tc>
          <w:tcPr>
            <w:tcW w:w="36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line="182"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19,487</w:t>
            </w:r>
          </w:p>
        </w:tc>
      </w:tr>
      <w:tr>
        <w:trPr>
          <w:trHeight w:val="168"/>
        </w:trPr>
        <w:tc>
          <w:tcPr>
            <w:tcW w:w="2380" w:type="dxa"/>
            <w:vAlign w:val="bottom"/>
            <w:gridSpan w:val="2"/>
          </w:tcPr>
          <w:p>
            <w:pPr>
              <w:spacing w:after="0" w:line="168" w:lineRule="exact"/>
              <w:rPr>
                <w:sz w:val="20"/>
                <w:szCs w:val="20"/>
                <w:color w:val="auto"/>
              </w:rPr>
            </w:pPr>
            <w:r>
              <w:rPr>
                <w:rFonts w:ascii="Arial" w:cs="Arial" w:eastAsia="Arial" w:hAnsi="Arial"/>
                <w:sz w:val="16"/>
                <w:szCs w:val="16"/>
                <w:color w:val="auto"/>
              </w:rPr>
              <w:t>Lizanne Galbreath</w:t>
            </w:r>
          </w:p>
        </w:tc>
        <w:tc>
          <w:tcPr>
            <w:tcW w:w="3620" w:type="dxa"/>
            <w:vAlign w:val="bottom"/>
          </w:tcPr>
          <w:p>
            <w:pPr>
              <w:ind w:left="68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420"/>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ind w:left="50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ind w:left="540"/>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line="168" w:lineRule="exact"/>
              <w:rPr>
                <w:sz w:val="20"/>
                <w:szCs w:val="20"/>
                <w:color w:val="auto"/>
              </w:rPr>
            </w:pPr>
            <w:r>
              <w:rPr>
                <w:rFonts w:ascii="Arial" w:cs="Arial" w:eastAsia="Arial" w:hAnsi="Arial"/>
                <w:sz w:val="16"/>
                <w:szCs w:val="16"/>
                <w:color w:val="auto"/>
              </w:rPr>
              <w:t>7,487</w:t>
            </w:r>
          </w:p>
        </w:tc>
      </w:tr>
      <w:tr>
        <w:trPr>
          <w:trHeight w:val="202"/>
        </w:trPr>
        <w:tc>
          <w:tcPr>
            <w:tcW w:w="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2,825</w:t>
            </w:r>
          </w:p>
        </w:tc>
      </w:tr>
      <w:tr>
        <w:trPr>
          <w:trHeight w:val="182"/>
        </w:trPr>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Mary E. Galligan</w:t>
            </w:r>
          </w:p>
        </w:tc>
        <w:tc>
          <w:tcPr>
            <w:tcW w:w="36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line="182"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1,768</w:t>
            </w:r>
          </w:p>
        </w:tc>
      </w:tr>
      <w:tr>
        <w:trPr>
          <w:trHeight w:val="168"/>
        </w:trPr>
        <w:tc>
          <w:tcPr>
            <w:tcW w:w="2380" w:type="dxa"/>
            <w:vAlign w:val="bottom"/>
            <w:gridSpan w:val="2"/>
          </w:tcPr>
          <w:p>
            <w:pPr>
              <w:spacing w:after="0" w:line="168" w:lineRule="exact"/>
              <w:rPr>
                <w:sz w:val="20"/>
                <w:szCs w:val="20"/>
                <w:color w:val="auto"/>
              </w:rPr>
            </w:pPr>
            <w:r>
              <w:rPr>
                <w:rFonts w:ascii="Arial" w:cs="Arial" w:eastAsia="Arial" w:hAnsi="Arial"/>
                <w:sz w:val="16"/>
                <w:szCs w:val="16"/>
                <w:color w:val="auto"/>
              </w:rPr>
              <w:t>Raymond L. Gellein, Jr.</w:t>
            </w:r>
          </w:p>
        </w:tc>
        <w:tc>
          <w:tcPr>
            <w:tcW w:w="3620" w:type="dxa"/>
            <w:vAlign w:val="bottom"/>
          </w:tcPr>
          <w:p>
            <w:pPr>
              <w:ind w:left="68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420"/>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ind w:left="50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ind w:left="540"/>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line="168" w:lineRule="exact"/>
              <w:rPr>
                <w:sz w:val="20"/>
                <w:szCs w:val="20"/>
                <w:color w:val="auto"/>
              </w:rPr>
            </w:pPr>
            <w:r>
              <w:rPr>
                <w:rFonts w:ascii="Arial" w:cs="Arial" w:eastAsia="Arial" w:hAnsi="Arial"/>
                <w:sz w:val="16"/>
                <w:szCs w:val="16"/>
                <w:color w:val="auto"/>
              </w:rPr>
              <w:t>19,105</w:t>
            </w:r>
          </w:p>
        </w:tc>
      </w:tr>
      <w:tr>
        <w:trPr>
          <w:trHeight w:val="202"/>
        </w:trPr>
        <w:tc>
          <w:tcPr>
            <w:tcW w:w="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5,896</w:t>
            </w:r>
          </w:p>
        </w:tc>
      </w:tr>
      <w:tr>
        <w:trPr>
          <w:trHeight w:val="168"/>
        </w:trPr>
        <w:tc>
          <w:tcPr>
            <w:tcW w:w="20" w:type="dxa"/>
            <w:vAlign w:val="bottom"/>
          </w:tcPr>
          <w:p>
            <w:pPr>
              <w:spacing w:after="0"/>
              <w:rPr>
                <w:sz w:val="14"/>
                <w:szCs w:val="14"/>
                <w:color w:val="auto"/>
              </w:rPr>
            </w:pPr>
          </w:p>
        </w:tc>
        <w:tc>
          <w:tcPr>
            <w:tcW w:w="2360" w:type="dxa"/>
            <w:vAlign w:val="bottom"/>
          </w:tcPr>
          <w:p>
            <w:pPr>
              <w:spacing w:after="0" w:line="168" w:lineRule="exact"/>
              <w:rPr>
                <w:sz w:val="20"/>
                <w:szCs w:val="20"/>
                <w:color w:val="auto"/>
              </w:rPr>
            </w:pPr>
            <w:r>
              <w:rPr>
                <w:rFonts w:ascii="Arial" w:cs="Arial" w:eastAsia="Arial" w:hAnsi="Arial"/>
                <w:sz w:val="16"/>
                <w:szCs w:val="16"/>
                <w:color w:val="auto"/>
              </w:rPr>
              <w:t>Jonice M. Gray</w:t>
            </w:r>
          </w:p>
        </w:tc>
        <w:tc>
          <w:tcPr>
            <w:tcW w:w="3620" w:type="dxa"/>
            <w:vAlign w:val="bottom"/>
          </w:tcPr>
          <w:p>
            <w:pPr>
              <w:ind w:left="68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420"/>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ind w:left="50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ind w:left="540"/>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line="168" w:lineRule="exact"/>
              <w:rPr>
                <w:sz w:val="20"/>
                <w:szCs w:val="20"/>
                <w:color w:val="auto"/>
              </w:rPr>
            </w:pPr>
            <w:r>
              <w:rPr>
                <w:rFonts w:ascii="Arial" w:cs="Arial" w:eastAsia="Arial" w:hAnsi="Arial"/>
                <w:sz w:val="16"/>
                <w:szCs w:val="16"/>
                <w:color w:val="auto"/>
              </w:rPr>
              <w:t>4,506</w:t>
            </w:r>
          </w:p>
        </w:tc>
      </w:tr>
      <w:tr>
        <w:trPr>
          <w:trHeight w:val="202"/>
        </w:trPr>
        <w:tc>
          <w:tcPr>
            <w:tcW w:w="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3,002</w:t>
            </w:r>
          </w:p>
        </w:tc>
      </w:tr>
      <w:tr>
        <w:trPr>
          <w:trHeight w:val="182"/>
        </w:trPr>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Melquiades R. Martinez</w:t>
            </w:r>
          </w:p>
        </w:tc>
        <w:tc>
          <w:tcPr>
            <w:tcW w:w="36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line="182"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12,837</w:t>
            </w:r>
          </w:p>
        </w:tc>
      </w:tr>
      <w:tr>
        <w:trPr>
          <w:trHeight w:val="182"/>
        </w:trPr>
        <w:tc>
          <w:tcPr>
            <w:tcW w:w="23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William W. McCarten</w:t>
            </w:r>
          </w:p>
        </w:tc>
        <w:tc>
          <w:tcPr>
            <w:tcW w:w="36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line="182"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21,024</w:t>
            </w:r>
          </w:p>
        </w:tc>
      </w:tr>
      <w:tr>
        <w:trPr>
          <w:trHeight w:val="182"/>
        </w:trPr>
        <w:tc>
          <w:tcPr>
            <w:tcW w:w="23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Dianna F. Morgan</w:t>
            </w:r>
          </w:p>
        </w:tc>
        <w:tc>
          <w:tcPr>
            <w:tcW w:w="3620" w:type="dxa"/>
            <w:vAlign w:val="bottom"/>
            <w:tcBorders>
              <w:bottom w:val="single" w:sz="8" w:color="auto"/>
            </w:tcBorders>
          </w:tcPr>
          <w:p>
            <w:pPr>
              <w:ind w:left="680"/>
              <w:spacing w:after="0" w:line="182"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50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40"/>
              <w:spacing w:after="0" w:line="182"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1"/>
              <w:spacing w:after="0" w:line="182" w:lineRule="exact"/>
              <w:rPr>
                <w:sz w:val="20"/>
                <w:szCs w:val="20"/>
                <w:color w:val="auto"/>
              </w:rPr>
            </w:pPr>
            <w:r>
              <w:rPr>
                <w:rFonts w:ascii="Arial" w:cs="Arial" w:eastAsia="Arial" w:hAnsi="Arial"/>
                <w:sz w:val="16"/>
                <w:szCs w:val="16"/>
                <w:color w:val="auto"/>
              </w:rPr>
              <w:t>13,406</w:t>
            </w:r>
          </w:p>
        </w:tc>
      </w:tr>
      <w:tr>
        <w:trPr>
          <w:trHeight w:val="168"/>
        </w:trPr>
        <w:tc>
          <w:tcPr>
            <w:tcW w:w="2380" w:type="dxa"/>
            <w:vAlign w:val="bottom"/>
            <w:gridSpan w:val="2"/>
          </w:tcPr>
          <w:p>
            <w:pPr>
              <w:spacing w:after="0" w:line="168" w:lineRule="exact"/>
              <w:rPr>
                <w:sz w:val="20"/>
                <w:szCs w:val="20"/>
                <w:color w:val="auto"/>
              </w:rPr>
            </w:pPr>
            <w:r>
              <w:rPr>
                <w:rFonts w:ascii="Arial" w:cs="Arial" w:eastAsia="Arial" w:hAnsi="Arial"/>
                <w:sz w:val="16"/>
                <w:szCs w:val="16"/>
                <w:color w:val="auto"/>
              </w:rPr>
              <w:t>Stephen R. Quazzo</w:t>
            </w:r>
          </w:p>
        </w:tc>
        <w:tc>
          <w:tcPr>
            <w:tcW w:w="3620" w:type="dxa"/>
            <w:vAlign w:val="bottom"/>
          </w:tcPr>
          <w:p>
            <w:pPr>
              <w:ind w:left="68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420"/>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ind w:left="50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ind w:left="540"/>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line="168" w:lineRule="exact"/>
              <w:rPr>
                <w:sz w:val="20"/>
                <w:szCs w:val="20"/>
                <w:color w:val="auto"/>
              </w:rPr>
            </w:pPr>
            <w:r>
              <w:rPr>
                <w:rFonts w:ascii="Arial" w:cs="Arial" w:eastAsia="Arial" w:hAnsi="Arial"/>
                <w:sz w:val="16"/>
                <w:szCs w:val="16"/>
                <w:color w:val="auto"/>
              </w:rPr>
              <w:t>1,739</w:t>
            </w:r>
          </w:p>
        </w:tc>
      </w:tr>
      <w:tr>
        <w:trPr>
          <w:trHeight w:val="202"/>
        </w:trPr>
        <w:tc>
          <w:tcPr>
            <w:tcW w:w="20" w:type="dxa"/>
            <w:vAlign w:val="bottom"/>
          </w:tcPr>
          <w:p>
            <w:pPr>
              <w:spacing w:after="0"/>
              <w:rPr>
                <w:sz w:val="17"/>
                <w:szCs w:val="17"/>
                <w:color w:val="auto"/>
              </w:rPr>
            </w:pPr>
          </w:p>
        </w:tc>
        <w:tc>
          <w:tcPr>
            <w:tcW w:w="2360" w:type="dxa"/>
            <w:vAlign w:val="bottom"/>
            <w:tcBorders>
              <w:bottom w:val="single" w:sz="8" w:color="003A70"/>
            </w:tcBorders>
          </w:tcPr>
          <w:p>
            <w:pPr>
              <w:spacing w:after="0"/>
              <w:rPr>
                <w:sz w:val="17"/>
                <w:szCs w:val="17"/>
                <w:color w:val="auto"/>
              </w:rPr>
            </w:pPr>
          </w:p>
        </w:tc>
        <w:tc>
          <w:tcPr>
            <w:tcW w:w="3620" w:type="dxa"/>
            <w:vAlign w:val="bottom"/>
            <w:tcBorders>
              <w:bottom w:val="single" w:sz="8" w:color="003A70"/>
            </w:tcBorders>
          </w:tcPr>
          <w:p>
            <w:pPr>
              <w:ind w:left="68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003A70"/>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3A70"/>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003A70"/>
            </w:tcBorders>
          </w:tcPr>
          <w:p>
            <w:pPr>
              <w:ind w:left="5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3A70"/>
            </w:tcBorders>
          </w:tcPr>
          <w:p>
            <w:pPr>
              <w:jc w:val="right"/>
              <w:ind w:right="261"/>
              <w:spacing w:after="0"/>
              <w:rPr>
                <w:sz w:val="20"/>
                <w:szCs w:val="20"/>
                <w:color w:val="auto"/>
              </w:rPr>
            </w:pPr>
            <w:r>
              <w:rPr>
                <w:rFonts w:ascii="Arial" w:cs="Arial" w:eastAsia="Arial" w:hAnsi="Arial"/>
                <w:sz w:val="16"/>
                <w:szCs w:val="16"/>
                <w:color w:val="auto"/>
              </w:rPr>
              <w:t>1,046</w:t>
            </w:r>
          </w:p>
        </w:tc>
      </w:tr>
    </w:tbl>
    <w:p>
      <w:pPr>
        <w:spacing w:after="0" w:line="29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Deferred Compensation Plan</w:t>
      </w:r>
    </w:p>
    <w:p>
      <w:pPr>
        <w:spacing w:after="0" w:line="102" w:lineRule="exact"/>
        <w:rPr>
          <w:sz w:val="20"/>
          <w:szCs w:val="20"/>
          <w:color w:val="auto"/>
        </w:rPr>
      </w:pPr>
    </w:p>
    <w:p>
      <w:pPr>
        <w:ind w:left="140" w:right="140"/>
        <w:spacing w:after="0" w:line="255" w:lineRule="auto"/>
        <w:rPr>
          <w:sz w:val="20"/>
          <w:szCs w:val="20"/>
          <w:color w:val="auto"/>
        </w:rPr>
      </w:pPr>
      <w:r>
        <w:rPr>
          <w:rFonts w:ascii="Arial" w:cs="Arial" w:eastAsia="Arial" w:hAnsi="Arial"/>
          <w:sz w:val="16"/>
          <w:szCs w:val="16"/>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72" w:lineRule="exact"/>
        <w:rPr>
          <w:sz w:val="20"/>
          <w:szCs w:val="20"/>
          <w:color w:val="auto"/>
        </w:rPr>
      </w:pPr>
    </w:p>
    <w:p>
      <w:pPr>
        <w:ind w:left="140" w:right="20"/>
        <w:spacing w:after="0" w:line="252" w:lineRule="auto"/>
        <w:rPr>
          <w:sz w:val="20"/>
          <w:szCs w:val="20"/>
          <w:color w:val="auto"/>
        </w:rPr>
      </w:pPr>
      <w:r>
        <w:rPr>
          <w:rFonts w:ascii="Arial" w:cs="Arial" w:eastAsia="Arial" w:hAnsi="Arial"/>
          <w:sz w:val="16"/>
          <w:szCs w:val="16"/>
          <w:color w:val="auto"/>
        </w:rPr>
        <w:t>For 2024, participants were able to select a fixed rate of return of 3.5%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2024, participants may select a rate of return based on market-based investment alternatives for up to 100% of their contributions and existing balances. There are no earnings reported in the Change in Pension Value and Nonqualified Deferred Compensation Earnings column as the fixed rate of return in the MVW Deferred Compensation Plan was less than 120% of the applicable federal long-term rate.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Clawbacks</w:t>
      </w:r>
    </w:p>
    <w:p>
      <w:pPr>
        <w:spacing w:after="0" w:line="102" w:lineRule="exact"/>
        <w:rPr>
          <w:sz w:val="20"/>
          <w:szCs w:val="20"/>
          <w:color w:val="auto"/>
        </w:rPr>
      </w:pPr>
    </w:p>
    <w:p>
      <w:pPr>
        <w:ind w:left="140" w:right="40"/>
        <w:spacing w:after="0" w:line="265" w:lineRule="auto"/>
        <w:rPr>
          <w:sz w:val="20"/>
          <w:szCs w:val="20"/>
          <w:color w:val="auto"/>
        </w:rPr>
      </w:pPr>
      <w:r>
        <w:rPr>
          <w:rFonts w:ascii="Arial" w:cs="Arial" w:eastAsia="Arial" w:hAnsi="Arial"/>
          <w:sz w:val="16"/>
          <w:szCs w:val="16"/>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Stock Ownership Guidelines</w:t>
      </w:r>
    </w:p>
    <w:p>
      <w:pPr>
        <w:spacing w:after="0" w:line="102" w:lineRule="exact"/>
        <w:rPr>
          <w:sz w:val="20"/>
          <w:szCs w:val="20"/>
          <w:color w:val="auto"/>
        </w:rPr>
      </w:pPr>
    </w:p>
    <w:p>
      <w:pPr>
        <w:ind w:left="140" w:right="100"/>
        <w:spacing w:after="0" w:line="250" w:lineRule="auto"/>
        <w:rPr>
          <w:sz w:val="20"/>
          <w:szCs w:val="20"/>
          <w:color w:val="auto"/>
        </w:rPr>
      </w:pPr>
      <w:r>
        <w:rPr>
          <w:rFonts w:ascii="Arial" w:cs="Arial" w:eastAsia="Arial" w:hAnsi="Arial"/>
          <w:sz w:val="16"/>
          <w:szCs w:val="16"/>
          <w:color w:val="auto"/>
        </w:rPr>
        <w:t>Under our stock ownership guidelines, non-employee directors are required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 shares held by a trust if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CPC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2024, all directors had achieved the required ownership levels with the exception of one director, who was appointed in December 2023 and who has until the end of 2028 to achieve the ownership level in the stock ownership guidelines.</w:t>
      </w:r>
    </w:p>
    <w:p>
      <w:pPr>
        <w:spacing w:after="0" w:line="119" w:lineRule="exact"/>
        <w:rPr>
          <w:sz w:val="20"/>
          <w:szCs w:val="20"/>
          <w:color w:val="auto"/>
        </w:rPr>
      </w:pPr>
    </w:p>
    <w:p>
      <w:pPr>
        <w:ind w:left="140"/>
        <w:spacing w:after="0"/>
        <w:tabs>
          <w:tab w:leader="none" w:pos="44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INSIDER TRADING, PLEDGING, HEDGING, AND DERIVATIVE TRANSACTIONS</w:t>
      </w:r>
    </w:p>
    <w:p>
      <w:pPr>
        <w:spacing w:after="0" w:line="111" w:lineRule="exact"/>
        <w:rPr>
          <w:sz w:val="20"/>
          <w:szCs w:val="20"/>
          <w:color w:val="auto"/>
        </w:rPr>
      </w:pPr>
    </w:p>
    <w:p>
      <w:pPr>
        <w:ind w:left="140" w:right="80"/>
        <w:spacing w:after="0" w:line="250" w:lineRule="auto"/>
        <w:rPr>
          <w:sz w:val="20"/>
          <w:szCs w:val="20"/>
          <w:color w:val="auto"/>
        </w:rPr>
      </w:pPr>
      <w:r>
        <w:rPr>
          <w:rFonts w:ascii="Arial" w:cs="Arial" w:eastAsia="Arial" w:hAnsi="Arial"/>
          <w:sz w:val="16"/>
          <w:szCs w:val="16"/>
          <w:color w:val="auto"/>
        </w:rPr>
        <w:t>We have adopted a securities trading policy (our “Insider Trading Policy”), which governs the purchase, sale and other dispositions of our securities by directors, officers and employees (including, as applicable, their family members and controlled entities, in each case, as defined in the Insider Trading Policy) and the Company, and is designed to promote compliance with insider trading laws, rules and regulations, as well as the rules and regulations of the NYSE. Among other things, the Insider Trading Policy prohibits the purchase and sale of our securities by any employee, officer or director who may be in possession of material non-public information relating to the Company. The Insider Trading Policy provides guidance as to what constitutes material information and when information becomes public. The Insider Trading Policy addresses transactions by family members and under Company plans, as well as other transactions which may be prohibited. For more information about our Insider Trading Policy, please see the full text of the Insider Trading Policy, a copy of which was filed as an exhibit to our Annual Report on Form 10-K for the year ended December 31, 2024, and is available through our website www.marriottvacationsworldwide.com under the “Investor Relations” tab.</w:t>
      </w:r>
    </w:p>
    <w:p>
      <w:pPr>
        <w:spacing w:after="0" w:line="78" w:lineRule="exact"/>
        <w:rPr>
          <w:sz w:val="20"/>
          <w:szCs w:val="20"/>
          <w:color w:val="auto"/>
        </w:rPr>
      </w:pPr>
    </w:p>
    <w:p>
      <w:pPr>
        <w:ind w:left="140" w:right="60"/>
        <w:spacing w:after="0" w:line="251" w:lineRule="auto"/>
        <w:rPr>
          <w:sz w:val="20"/>
          <w:szCs w:val="20"/>
          <w:color w:val="auto"/>
        </w:rPr>
      </w:pPr>
      <w:r>
        <w:rPr>
          <w:rFonts w:ascii="Arial" w:cs="Arial" w:eastAsia="Arial" w:hAnsi="Arial"/>
          <w:sz w:val="16"/>
          <w:szCs w:val="16"/>
          <w:color w:val="auto"/>
        </w:rPr>
        <w:t>Under our Insider Trading Policy, 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sets forth information about the securities authorized for issuance under our equity compensation plans as of December 31, 2024.</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380" w:type="dxa"/>
            <w:vAlign w:val="bottom"/>
          </w:tcPr>
          <w:p>
            <w:pPr>
              <w:jc w:val="center"/>
              <w:ind w:left="285"/>
              <w:spacing w:after="0"/>
              <w:rPr>
                <w:sz w:val="20"/>
                <w:szCs w:val="20"/>
                <w:color w:val="auto"/>
              </w:rPr>
            </w:pPr>
            <w:r>
              <w:rPr>
                <w:rFonts w:ascii="Arial" w:cs="Arial" w:eastAsia="Arial" w:hAnsi="Arial"/>
                <w:sz w:val="14"/>
                <w:szCs w:val="14"/>
                <w:b w:val="1"/>
                <w:bCs w:val="1"/>
                <w:color w:val="003A70"/>
              </w:rPr>
              <w:t>Number of Securities</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003A70"/>
              </w:rPr>
              <w:t>Weighted Average</w:t>
            </w:r>
          </w:p>
        </w:tc>
        <w:tc>
          <w:tcPr>
            <w:tcW w:w="1900" w:type="dxa"/>
            <w:vAlign w:val="bottom"/>
          </w:tcPr>
          <w:p>
            <w:pPr>
              <w:jc w:val="center"/>
              <w:ind w:left="185"/>
              <w:spacing w:after="0"/>
              <w:rPr>
                <w:sz w:val="20"/>
                <w:szCs w:val="20"/>
                <w:color w:val="auto"/>
              </w:rPr>
            </w:pPr>
            <w:r>
              <w:rPr>
                <w:rFonts w:ascii="Arial" w:cs="Arial" w:eastAsia="Arial" w:hAnsi="Arial"/>
                <w:sz w:val="14"/>
                <w:szCs w:val="14"/>
                <w:b w:val="1"/>
                <w:bCs w:val="1"/>
                <w:color w:val="003A70"/>
              </w:rPr>
              <w:t>Number of Securities</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380" w:type="dxa"/>
            <w:vAlign w:val="bottom"/>
          </w:tcPr>
          <w:p>
            <w:pPr>
              <w:jc w:val="center"/>
              <w:ind w:left="285"/>
              <w:spacing w:after="0" w:line="148" w:lineRule="exact"/>
              <w:rPr>
                <w:sz w:val="20"/>
                <w:szCs w:val="20"/>
                <w:color w:val="auto"/>
              </w:rPr>
            </w:pPr>
            <w:r>
              <w:rPr>
                <w:rFonts w:ascii="Arial" w:cs="Arial" w:eastAsia="Arial" w:hAnsi="Arial"/>
                <w:sz w:val="14"/>
                <w:szCs w:val="14"/>
                <w:b w:val="1"/>
                <w:bCs w:val="1"/>
                <w:color w:val="003A70"/>
              </w:rPr>
              <w:t>to be Issued Upon</w:t>
            </w:r>
          </w:p>
        </w:tc>
        <w:tc>
          <w:tcPr>
            <w:tcW w:w="2000" w:type="dxa"/>
            <w:vAlign w:val="bottom"/>
            <w:vMerge w:val="continue"/>
          </w:tcPr>
          <w:p>
            <w:pPr>
              <w:spacing w:after="0"/>
              <w:rPr>
                <w:sz w:val="12"/>
                <w:szCs w:val="12"/>
                <w:color w:val="auto"/>
              </w:rPr>
            </w:pPr>
          </w:p>
        </w:tc>
        <w:tc>
          <w:tcPr>
            <w:tcW w:w="1900" w:type="dxa"/>
            <w:vAlign w:val="bottom"/>
          </w:tcPr>
          <w:p>
            <w:pPr>
              <w:jc w:val="center"/>
              <w:ind w:left="185"/>
              <w:spacing w:after="0" w:line="148" w:lineRule="exact"/>
              <w:rPr>
                <w:sz w:val="20"/>
                <w:szCs w:val="20"/>
                <w:color w:val="auto"/>
              </w:rPr>
            </w:pPr>
            <w:r>
              <w:rPr>
                <w:rFonts w:ascii="Arial" w:cs="Arial" w:eastAsia="Arial" w:hAnsi="Arial"/>
                <w:sz w:val="14"/>
                <w:szCs w:val="14"/>
                <w:b w:val="1"/>
                <w:bCs w:val="1"/>
                <w:color w:val="003A70"/>
              </w:rPr>
              <w:t>Remaining Available for</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380" w:type="dxa"/>
            <w:vAlign w:val="bottom"/>
          </w:tcPr>
          <w:p>
            <w:pPr>
              <w:jc w:val="center"/>
              <w:ind w:left="285"/>
              <w:spacing w:after="0"/>
              <w:rPr>
                <w:sz w:val="20"/>
                <w:szCs w:val="20"/>
                <w:color w:val="auto"/>
              </w:rPr>
            </w:pPr>
            <w:r>
              <w:rPr>
                <w:rFonts w:ascii="Arial" w:cs="Arial" w:eastAsia="Arial" w:hAnsi="Arial"/>
                <w:sz w:val="14"/>
                <w:szCs w:val="14"/>
                <w:b w:val="1"/>
                <w:bCs w:val="1"/>
                <w:color w:val="003A70"/>
              </w:rPr>
              <w:t>Exercise of</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3A70"/>
              </w:rPr>
              <w:t>Exercise Price of</w:t>
            </w:r>
          </w:p>
        </w:tc>
        <w:tc>
          <w:tcPr>
            <w:tcW w:w="1900" w:type="dxa"/>
            <w:vAlign w:val="bottom"/>
          </w:tcPr>
          <w:p>
            <w:pPr>
              <w:jc w:val="center"/>
              <w:ind w:left="165"/>
              <w:spacing w:after="0"/>
              <w:rPr>
                <w:sz w:val="20"/>
                <w:szCs w:val="20"/>
                <w:color w:val="auto"/>
              </w:rPr>
            </w:pPr>
            <w:r>
              <w:rPr>
                <w:rFonts w:ascii="Arial" w:cs="Arial" w:eastAsia="Arial" w:hAnsi="Arial"/>
                <w:sz w:val="14"/>
                <w:szCs w:val="14"/>
                <w:b w:val="1"/>
                <w:bCs w:val="1"/>
                <w:color w:val="003A70"/>
              </w:rPr>
              <w:t>Future Issuance</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380" w:type="dxa"/>
            <w:vAlign w:val="bottom"/>
          </w:tcPr>
          <w:p>
            <w:pPr>
              <w:jc w:val="center"/>
              <w:ind w:left="285"/>
              <w:spacing w:after="0"/>
              <w:rPr>
                <w:sz w:val="20"/>
                <w:szCs w:val="20"/>
                <w:color w:val="auto"/>
              </w:rPr>
            </w:pPr>
            <w:r>
              <w:rPr>
                <w:rFonts w:ascii="Arial" w:cs="Arial" w:eastAsia="Arial" w:hAnsi="Arial"/>
                <w:sz w:val="14"/>
                <w:szCs w:val="14"/>
                <w:b w:val="1"/>
                <w:bCs w:val="1"/>
                <w:color w:val="003A70"/>
              </w:rPr>
              <w:t>Outstanding Options,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3A70"/>
              </w:rPr>
              <w:t>Outstanding Options,</w:t>
            </w:r>
          </w:p>
        </w:tc>
        <w:tc>
          <w:tcPr>
            <w:tcW w:w="1900" w:type="dxa"/>
            <w:vAlign w:val="bottom"/>
          </w:tcPr>
          <w:p>
            <w:pPr>
              <w:jc w:val="center"/>
              <w:ind w:left="185"/>
              <w:spacing w:after="0"/>
              <w:rPr>
                <w:sz w:val="20"/>
                <w:szCs w:val="20"/>
                <w:color w:val="auto"/>
              </w:rPr>
            </w:pPr>
            <w:r>
              <w:rPr>
                <w:rFonts w:ascii="Arial" w:cs="Arial" w:eastAsia="Arial" w:hAnsi="Arial"/>
                <w:sz w:val="14"/>
                <w:szCs w:val="14"/>
                <w:b w:val="1"/>
                <w:bCs w:val="1"/>
                <w:color w:val="003A70"/>
              </w:rPr>
              <w:t>Under Equity</w:t>
            </w:r>
          </w:p>
        </w:tc>
        <w:tc>
          <w:tcPr>
            <w:tcW w:w="0" w:type="dxa"/>
            <w:vAlign w:val="bottom"/>
          </w:tcPr>
          <w:p>
            <w:pPr>
              <w:spacing w:after="0"/>
              <w:rPr>
                <w:sz w:val="1"/>
                <w:szCs w:val="1"/>
                <w:color w:val="auto"/>
              </w:rPr>
            </w:pPr>
          </w:p>
        </w:tc>
      </w:tr>
      <w:tr>
        <w:trPr>
          <w:trHeight w:val="191"/>
        </w:trPr>
        <w:tc>
          <w:tcPr>
            <w:tcW w:w="47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Plan Category</w:t>
            </w:r>
          </w:p>
        </w:tc>
        <w:tc>
          <w:tcPr>
            <w:tcW w:w="2380" w:type="dxa"/>
            <w:vAlign w:val="bottom"/>
            <w:tcBorders>
              <w:bottom w:val="single" w:sz="8" w:color="003A70"/>
            </w:tcBorders>
          </w:tcPr>
          <w:p>
            <w:pPr>
              <w:jc w:val="center"/>
              <w:ind w:left="285"/>
              <w:spacing w:after="0"/>
              <w:rPr>
                <w:sz w:val="20"/>
                <w:szCs w:val="20"/>
                <w:color w:val="auto"/>
              </w:rPr>
            </w:pPr>
            <w:r>
              <w:rPr>
                <w:rFonts w:ascii="Arial" w:cs="Arial" w:eastAsia="Arial" w:hAnsi="Arial"/>
                <w:sz w:val="14"/>
                <w:szCs w:val="14"/>
                <w:b w:val="1"/>
                <w:bCs w:val="1"/>
                <w:color w:val="003A70"/>
              </w:rPr>
              <w:t>Warrants and Rights</w:t>
            </w:r>
          </w:p>
        </w:tc>
        <w:tc>
          <w:tcPr>
            <w:tcW w:w="20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Warrants and Rights</w:t>
            </w:r>
          </w:p>
        </w:tc>
        <w:tc>
          <w:tcPr>
            <w:tcW w:w="1900" w:type="dxa"/>
            <w:vAlign w:val="bottom"/>
            <w:tcBorders>
              <w:bottom w:val="single" w:sz="8" w:color="003A70"/>
            </w:tcBorders>
          </w:tcPr>
          <w:p>
            <w:pPr>
              <w:jc w:val="center"/>
              <w:ind w:left="165"/>
              <w:spacing w:after="0"/>
              <w:rPr>
                <w:sz w:val="20"/>
                <w:szCs w:val="20"/>
                <w:color w:val="auto"/>
              </w:rPr>
            </w:pPr>
            <w:r>
              <w:rPr>
                <w:rFonts w:ascii="Arial" w:cs="Arial" w:eastAsia="Arial" w:hAnsi="Arial"/>
                <w:sz w:val="14"/>
                <w:szCs w:val="14"/>
                <w:b w:val="1"/>
                <w:bCs w:val="1"/>
                <w:color w:val="003A70"/>
              </w:rPr>
              <w:t>Compensation Plans</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Equity compensation plans approved by stockholders</w:t>
            </w:r>
          </w:p>
        </w:tc>
        <w:tc>
          <w:tcPr>
            <w:tcW w:w="2380" w:type="dxa"/>
            <w:vAlign w:val="bottom"/>
            <w:tcBorders>
              <w:bottom w:val="single" w:sz="8" w:color="auto"/>
            </w:tcBorders>
          </w:tcPr>
          <w:p>
            <w:pPr>
              <w:ind w:left="1060"/>
              <w:spacing w:after="0" w:line="188" w:lineRule="exact"/>
              <w:rPr>
                <w:sz w:val="20"/>
                <w:szCs w:val="20"/>
                <w:color w:val="auto"/>
              </w:rPr>
            </w:pPr>
            <w:r>
              <w:rPr>
                <w:rFonts w:ascii="Arial" w:cs="Arial" w:eastAsia="Arial" w:hAnsi="Arial"/>
                <w:sz w:val="16"/>
                <w:szCs w:val="16"/>
                <w:color w:val="auto"/>
              </w:rPr>
              <w:t>1,918,088 </w:t>
            </w:r>
            <w:r>
              <w:rPr>
                <w:rFonts w:ascii="Arial" w:cs="Arial" w:eastAsia="Arial" w:hAnsi="Arial"/>
                <w:sz w:val="20"/>
                <w:szCs w:val="20"/>
                <w:color w:val="auto"/>
                <w:vertAlign w:val="superscript"/>
              </w:rPr>
              <w:t>1</w:t>
            </w:r>
          </w:p>
        </w:tc>
        <w:tc>
          <w:tcPr>
            <w:tcW w:w="200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$116.59</w:t>
            </w:r>
          </w:p>
        </w:tc>
        <w:tc>
          <w:tcPr>
            <w:tcW w:w="1900" w:type="dxa"/>
            <w:vAlign w:val="bottom"/>
            <w:tcBorders>
              <w:bottom w:val="single" w:sz="8" w:color="auto"/>
            </w:tcBorders>
          </w:tcPr>
          <w:p>
            <w:pPr>
              <w:ind w:left="740"/>
              <w:spacing w:after="0" w:line="188" w:lineRule="exact"/>
              <w:rPr>
                <w:sz w:val="20"/>
                <w:szCs w:val="20"/>
                <w:color w:val="auto"/>
              </w:rPr>
            </w:pPr>
            <w:r>
              <w:rPr>
                <w:rFonts w:ascii="Arial" w:cs="Arial" w:eastAsia="Arial" w:hAnsi="Arial"/>
                <w:sz w:val="16"/>
                <w:szCs w:val="16"/>
                <w:color w:val="auto"/>
              </w:rPr>
              <w:t>$2,502,907 </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Equity compensation plans not approved by stockholders</w:t>
            </w:r>
          </w:p>
        </w:tc>
        <w:tc>
          <w:tcPr>
            <w:tcW w:w="2380" w:type="dxa"/>
            <w:vAlign w:val="bottom"/>
            <w:tcBorders>
              <w:bottom w:val="single" w:sz="8" w:color="auto"/>
            </w:tcBorders>
          </w:tcPr>
          <w:p>
            <w:pPr>
              <w:ind w:left="1620"/>
              <w:spacing w:after="0" w:line="182" w:lineRule="exact"/>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564"/>
              <w:spacing w:after="0" w:line="182" w:lineRule="exact"/>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ind w:left="140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003A70"/>
            </w:tcBorders>
          </w:tcPr>
          <w:p>
            <w:pPr>
              <w:ind w:left="1060"/>
              <w:spacing w:after="0" w:line="182" w:lineRule="exact"/>
              <w:rPr>
                <w:sz w:val="20"/>
                <w:szCs w:val="20"/>
                <w:color w:val="auto"/>
              </w:rPr>
            </w:pPr>
            <w:r>
              <w:rPr>
                <w:rFonts w:ascii="Arial" w:cs="Arial" w:eastAsia="Arial" w:hAnsi="Arial"/>
                <w:sz w:val="16"/>
                <w:szCs w:val="16"/>
                <w:b w:val="1"/>
                <w:bCs w:val="1"/>
                <w:color w:val="auto"/>
              </w:rPr>
              <w:t>1,918,088</w:t>
            </w:r>
            <w:r>
              <w:rPr>
                <w:rFonts w:ascii="Arial" w:cs="Arial" w:eastAsia="Arial" w:hAnsi="Arial"/>
                <w:sz w:val="16"/>
                <w:szCs w:val="16"/>
                <w:color w:val="auto"/>
              </w:rPr>
              <w:t xml:space="preserve"> </w:t>
            </w:r>
          </w:p>
        </w:tc>
        <w:tc>
          <w:tcPr>
            <w:tcW w:w="2000" w:type="dxa"/>
            <w:vAlign w:val="bottom"/>
            <w:tcBorders>
              <w:bottom w:val="single" w:sz="8" w:color="003A70"/>
            </w:tcBorders>
          </w:tcPr>
          <w:p>
            <w:pPr>
              <w:jc w:val="right"/>
              <w:ind w:right="524"/>
              <w:spacing w:after="0" w:line="182" w:lineRule="exact"/>
              <w:rPr>
                <w:sz w:val="20"/>
                <w:szCs w:val="20"/>
                <w:color w:val="auto"/>
              </w:rPr>
            </w:pPr>
            <w:r>
              <w:rPr>
                <w:rFonts w:ascii="Arial" w:cs="Arial" w:eastAsia="Arial" w:hAnsi="Arial"/>
                <w:sz w:val="16"/>
                <w:szCs w:val="16"/>
                <w:b w:val="1"/>
                <w:bCs w:val="1"/>
                <w:color w:val="auto"/>
              </w:rPr>
              <w:t>$116.59</w:t>
            </w:r>
            <w:r>
              <w:rPr>
                <w:rFonts w:ascii="Arial" w:cs="Arial" w:eastAsia="Arial" w:hAnsi="Arial"/>
                <w:sz w:val="16"/>
                <w:szCs w:val="16"/>
                <w:color w:val="auto"/>
              </w:rPr>
              <w:t xml:space="preserve"> </w:t>
            </w:r>
          </w:p>
        </w:tc>
        <w:tc>
          <w:tcPr>
            <w:tcW w:w="1900" w:type="dxa"/>
            <w:vAlign w:val="bottom"/>
            <w:tcBorders>
              <w:bottom w:val="single" w:sz="8" w:color="003A70"/>
            </w:tcBorders>
          </w:tcPr>
          <w:p>
            <w:pPr>
              <w:ind w:left="740"/>
              <w:spacing w:after="0" w:line="182" w:lineRule="exact"/>
              <w:rPr>
                <w:sz w:val="20"/>
                <w:szCs w:val="20"/>
                <w:color w:val="auto"/>
              </w:rPr>
            </w:pPr>
            <w:r>
              <w:rPr>
                <w:rFonts w:ascii="Arial" w:cs="Arial" w:eastAsia="Arial" w:hAnsi="Arial"/>
                <w:sz w:val="16"/>
                <w:szCs w:val="16"/>
                <w:b w:val="1"/>
                <w:bCs w:val="1"/>
                <w:color w:val="auto"/>
              </w:rPr>
              <w:t>$2,502,907</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540" w:hanging="325"/>
        <w:spacing w:after="0" w:line="229" w:lineRule="auto"/>
        <w:tabs>
          <w:tab w:leader="none" w:pos="46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Includes 1,159,359 outstanding deferred stock bonus shares and RSUs, as well as Non-Employee Director Share Awards awarded to directors under our equity compensation plans, that are not included in the calculation of the Weighted-Average Exercise Price.</w:t>
      </w:r>
    </w:p>
    <w:p>
      <w:pPr>
        <w:spacing w:after="0" w:line="35" w:lineRule="exact"/>
        <w:rPr>
          <w:sz w:val="20"/>
          <w:szCs w:val="20"/>
          <w:color w:val="auto"/>
        </w:rPr>
      </w:pPr>
    </w:p>
    <w:p>
      <w:pPr>
        <w:ind w:left="460" w:hanging="325"/>
        <w:spacing w:after="0"/>
        <w:tabs>
          <w:tab w:leader="none" w:pos="46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Consists of 2,200,456 shares available for issuance under our equity compensation plans and 302,452 shares available under the ESPP.</w:t>
      </w:r>
    </w:p>
    <w:p>
      <w:pPr>
        <w:spacing w:after="0" w:line="116" w:lineRule="exact"/>
        <w:rPr>
          <w:sz w:val="20"/>
          <w:szCs w:val="20"/>
          <w:color w:val="auto"/>
        </w:rPr>
      </w:pPr>
    </w:p>
    <w:p>
      <w:pPr>
        <w:ind w:left="140"/>
        <w:spacing w:after="0"/>
        <w:tabs>
          <w:tab w:leader="none" w:pos="4480" w:val="left"/>
          <w:tab w:leader="none" w:pos="7820" w:val="left"/>
        </w:tabs>
        <w:rPr>
          <w:sz w:val="20"/>
          <w:szCs w:val="20"/>
          <w:color w:val="auto"/>
        </w:rPr>
      </w:pPr>
      <w:r>
        <w:rPr>
          <w:rFonts w:ascii="Arial" w:cs="Arial" w:eastAsia="Arial" w:hAnsi="Arial"/>
          <w:sz w:val="11"/>
          <w:szCs w:val="11"/>
          <w:b w:val="1"/>
          <w:bCs w:val="1"/>
          <w:color w:val="003A70"/>
        </w:rPr>
        <w:t>52</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54"/>
          <w:szCs w:val="54"/>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-356235</wp:posOffset>
            </wp:positionV>
            <wp:extent cx="85725" cy="4445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STOCK OWNERSHIP OF OUR DIRECTORS, EXECUTIVE OFFICERS AND CERTAIN BENEFICIAL OWNERS</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sets forth the beneficial ownership of the Company’s common stock as of March 14, 2025 (unless otherwise noted) by:</w:t>
      </w:r>
    </w:p>
    <w:p>
      <w:pPr>
        <w:spacing w:after="0" w:line="45" w:lineRule="exact"/>
        <w:rPr>
          <w:sz w:val="20"/>
          <w:szCs w:val="20"/>
          <w:color w:val="auto"/>
        </w:rPr>
      </w:pPr>
    </w:p>
    <w:p>
      <w:pPr>
        <w:ind w:left="360" w:right="80" w:hanging="225"/>
        <w:spacing w:after="0" w:line="271" w:lineRule="auto"/>
        <w:tabs>
          <w:tab w:leader="none" w:pos="360" w:val="left"/>
        </w:tabs>
        <w:numPr>
          <w:ilvl w:val="0"/>
          <w:numId w:val="98"/>
        </w:numPr>
        <w:rPr>
          <w:rFonts w:ascii="Arial" w:cs="Arial" w:eastAsia="Arial" w:hAnsi="Arial"/>
          <w:sz w:val="16"/>
          <w:szCs w:val="16"/>
          <w:color w:val="003A70"/>
        </w:rPr>
      </w:pPr>
      <w:r>
        <w:rPr>
          <w:rFonts w:ascii="Arial" w:cs="Arial" w:eastAsia="Arial" w:hAnsi="Arial"/>
          <w:sz w:val="16"/>
          <w:szCs w:val="16"/>
          <w:color w:val="auto"/>
        </w:rPr>
        <w:t>those persons or entities (or group of affiliated persons or entities) known by management to beneficially own more than 5% of the outstanding shares of the Company’s common stock;</w:t>
      </w:r>
    </w:p>
    <w:p>
      <w:pPr>
        <w:spacing w:after="0" w:line="1" w:lineRule="exact"/>
        <w:rPr>
          <w:rFonts w:ascii="Arial" w:cs="Arial" w:eastAsia="Arial" w:hAnsi="Arial"/>
          <w:sz w:val="16"/>
          <w:szCs w:val="16"/>
          <w:color w:val="003A70"/>
        </w:rPr>
      </w:pPr>
    </w:p>
    <w:p>
      <w:pPr>
        <w:ind w:left="360" w:hanging="225"/>
        <w:spacing w:after="0"/>
        <w:tabs>
          <w:tab w:leader="none" w:pos="360" w:val="left"/>
        </w:tabs>
        <w:numPr>
          <w:ilvl w:val="0"/>
          <w:numId w:val="98"/>
        </w:numPr>
        <w:rPr>
          <w:rFonts w:ascii="Arial" w:cs="Arial" w:eastAsia="Arial" w:hAnsi="Arial"/>
          <w:sz w:val="16"/>
          <w:szCs w:val="16"/>
          <w:color w:val="003A70"/>
        </w:rPr>
      </w:pPr>
      <w:r>
        <w:rPr>
          <w:rFonts w:ascii="Arial" w:cs="Arial" w:eastAsia="Arial" w:hAnsi="Arial"/>
          <w:sz w:val="16"/>
          <w:szCs w:val="16"/>
          <w:color w:val="auto"/>
        </w:rPr>
        <w:t>each director and director nominee of the Company;</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98"/>
        </w:numPr>
        <w:rPr>
          <w:rFonts w:ascii="Arial" w:cs="Arial" w:eastAsia="Arial" w:hAnsi="Arial"/>
          <w:sz w:val="16"/>
          <w:szCs w:val="16"/>
          <w:color w:val="003A70"/>
        </w:rPr>
      </w:pPr>
      <w:r>
        <w:rPr>
          <w:rFonts w:ascii="Arial" w:cs="Arial" w:eastAsia="Arial" w:hAnsi="Arial"/>
          <w:sz w:val="16"/>
          <w:szCs w:val="16"/>
          <w:color w:val="auto"/>
        </w:rPr>
        <w:t>each named executive officer of the Company; and</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98"/>
        </w:numPr>
        <w:rPr>
          <w:rFonts w:ascii="Arial" w:cs="Arial" w:eastAsia="Arial" w:hAnsi="Arial"/>
          <w:sz w:val="16"/>
          <w:szCs w:val="16"/>
          <w:color w:val="003A70"/>
        </w:rPr>
      </w:pPr>
      <w:r>
        <w:rPr>
          <w:rFonts w:ascii="Arial" w:cs="Arial" w:eastAsia="Arial" w:hAnsi="Arial"/>
          <w:sz w:val="16"/>
          <w:szCs w:val="16"/>
          <w:color w:val="auto"/>
        </w:rPr>
        <w:t>all of the current executive officers and directors of the Company as a group.</w:t>
      </w:r>
    </w:p>
    <w:p>
      <w:pPr>
        <w:spacing w:after="0" w:line="112" w:lineRule="exact"/>
        <w:rPr>
          <w:sz w:val="20"/>
          <w:szCs w:val="20"/>
          <w:color w:val="auto"/>
        </w:rPr>
      </w:pPr>
    </w:p>
    <w:p>
      <w:pPr>
        <w:ind w:left="140" w:right="380"/>
        <w:spacing w:after="0" w:line="284" w:lineRule="auto"/>
        <w:rPr>
          <w:sz w:val="20"/>
          <w:szCs w:val="20"/>
          <w:color w:val="auto"/>
        </w:rPr>
      </w:pPr>
      <w:r>
        <w:rPr>
          <w:rFonts w:ascii="Arial" w:cs="Arial" w:eastAsia="Arial" w:hAnsi="Arial"/>
          <w:sz w:val="16"/>
          <w:szCs w:val="16"/>
          <w:color w:val="auto"/>
        </w:rPr>
        <w:t>Ownership consists of sole voting and sole dispositive power, except as indicated in the notes below, and except for shares registered in the name of children sharing the same household or subject to any community property laws.</w:t>
      </w:r>
    </w:p>
    <w:p>
      <w:pPr>
        <w:spacing w:after="0" w:line="49" w:lineRule="exact"/>
        <w:rPr>
          <w:sz w:val="20"/>
          <w:szCs w:val="20"/>
          <w:color w:val="auto"/>
        </w:rPr>
      </w:pPr>
    </w:p>
    <w:p>
      <w:pPr>
        <w:ind w:left="140" w:right="200"/>
        <w:spacing w:after="0" w:line="255"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34,563,443 shares of the Company’s common stock outstanding on March 14, 2025.</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660" w:type="dxa"/>
            <w:vAlign w:val="bottom"/>
          </w:tcPr>
          <w:p>
            <w:pPr>
              <w:jc w:val="center"/>
              <w:ind w:left="2160"/>
              <w:spacing w:after="0"/>
              <w:rPr>
                <w:sz w:val="20"/>
                <w:szCs w:val="20"/>
                <w:color w:val="auto"/>
              </w:rPr>
            </w:pPr>
            <w:r>
              <w:rPr>
                <w:rFonts w:ascii="Arial" w:cs="Arial" w:eastAsia="Arial" w:hAnsi="Arial"/>
                <w:sz w:val="14"/>
                <w:szCs w:val="14"/>
                <w:b w:val="1"/>
                <w:bCs w:val="1"/>
                <w:color w:val="003A70"/>
              </w:rPr>
              <w:t>Amount and Nature</w:t>
            </w:r>
          </w:p>
        </w:tc>
        <w:tc>
          <w:tcPr>
            <w:tcW w:w="800" w:type="dxa"/>
            <w:vAlign w:val="bottom"/>
          </w:tcPr>
          <w:p>
            <w:pPr>
              <w:spacing w:after="0"/>
              <w:rPr>
                <w:sz w:val="14"/>
                <w:szCs w:val="14"/>
                <w:color w:val="auto"/>
              </w:rPr>
            </w:pPr>
          </w:p>
        </w:tc>
      </w:tr>
      <w:tr>
        <w:trPr>
          <w:trHeight w:val="161"/>
        </w:trPr>
        <w:tc>
          <w:tcPr>
            <w:tcW w:w="6520" w:type="dxa"/>
            <w:vAlign w:val="bottom"/>
          </w:tcPr>
          <w:p>
            <w:pPr>
              <w:spacing w:after="0"/>
              <w:rPr>
                <w:sz w:val="14"/>
                <w:szCs w:val="14"/>
                <w:color w:val="auto"/>
              </w:rPr>
            </w:pPr>
          </w:p>
        </w:tc>
        <w:tc>
          <w:tcPr>
            <w:tcW w:w="3660" w:type="dxa"/>
            <w:vAlign w:val="bottom"/>
          </w:tcPr>
          <w:p>
            <w:pPr>
              <w:jc w:val="center"/>
              <w:ind w:left="2160"/>
              <w:spacing w:after="0"/>
              <w:rPr>
                <w:sz w:val="20"/>
                <w:szCs w:val="20"/>
                <w:color w:val="auto"/>
              </w:rPr>
            </w:pPr>
            <w:r>
              <w:rPr>
                <w:rFonts w:ascii="Arial" w:cs="Arial" w:eastAsia="Arial" w:hAnsi="Arial"/>
                <w:sz w:val="14"/>
                <w:szCs w:val="14"/>
                <w:b w:val="1"/>
                <w:bCs w:val="1"/>
                <w:color w:val="003A70"/>
              </w:rPr>
              <w:t>of Beneficial</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003A70"/>
              </w:rPr>
              <w:t>Percent of</w:t>
            </w:r>
          </w:p>
        </w:tc>
      </w:tr>
      <w:tr>
        <w:trPr>
          <w:trHeight w:val="191"/>
        </w:trPr>
        <w:tc>
          <w:tcPr>
            <w:tcW w:w="65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3660" w:type="dxa"/>
            <w:vAlign w:val="bottom"/>
            <w:tcBorders>
              <w:bottom w:val="single" w:sz="8" w:color="003A70"/>
            </w:tcBorders>
          </w:tcPr>
          <w:p>
            <w:pPr>
              <w:jc w:val="center"/>
              <w:ind w:left="2160"/>
              <w:spacing w:after="0"/>
              <w:rPr>
                <w:sz w:val="20"/>
                <w:szCs w:val="20"/>
                <w:color w:val="auto"/>
              </w:rPr>
            </w:pPr>
            <w:r>
              <w:rPr>
                <w:rFonts w:ascii="Arial" w:cs="Arial" w:eastAsia="Arial" w:hAnsi="Arial"/>
                <w:sz w:val="14"/>
                <w:szCs w:val="14"/>
                <w:b w:val="1"/>
                <w:bCs w:val="1"/>
                <w:color w:val="003A70"/>
              </w:rPr>
              <w:t>Ownership</w:t>
            </w:r>
          </w:p>
        </w:tc>
        <w:tc>
          <w:tcPr>
            <w:tcW w:w="800" w:type="dxa"/>
            <w:vAlign w:val="bottom"/>
            <w:tcBorders>
              <w:bottom w:val="single" w:sz="8" w:color="003A70"/>
            </w:tcBorders>
          </w:tcPr>
          <w:p>
            <w:pPr>
              <w:jc w:val="right"/>
              <w:ind w:right="120"/>
              <w:spacing w:after="0" w:line="185" w:lineRule="exact"/>
              <w:rPr>
                <w:sz w:val="20"/>
                <w:szCs w:val="20"/>
                <w:color w:val="auto"/>
              </w:rPr>
            </w:pPr>
            <w:r>
              <w:rPr>
                <w:rFonts w:ascii="Arial" w:cs="Arial" w:eastAsia="Arial" w:hAnsi="Arial"/>
                <w:sz w:val="14"/>
                <w:szCs w:val="14"/>
                <w:b w:val="1"/>
                <w:bCs w:val="1"/>
                <w:color w:val="003A70"/>
              </w:rPr>
              <w:t>Class</w:t>
            </w:r>
            <w:r>
              <w:rPr>
                <w:rFonts w:ascii="Arial" w:cs="Arial" w:eastAsia="Arial" w:hAnsi="Arial"/>
                <w:sz w:val="17"/>
                <w:szCs w:val="17"/>
                <w:color w:val="003A70"/>
                <w:vertAlign w:val="superscript"/>
              </w:rPr>
              <w:t>1</w:t>
            </w:r>
          </w:p>
        </w:tc>
      </w:tr>
      <w:tr>
        <w:trPr>
          <w:trHeight w:val="174"/>
        </w:trPr>
        <w:tc>
          <w:tcPr>
            <w:tcW w:w="6520" w:type="dxa"/>
            <w:vAlign w:val="bottom"/>
          </w:tcPr>
          <w:p>
            <w:pPr>
              <w:spacing w:after="0" w:line="175" w:lineRule="exact"/>
              <w:rPr>
                <w:sz w:val="20"/>
                <w:szCs w:val="20"/>
                <w:color w:val="auto"/>
              </w:rPr>
            </w:pPr>
            <w:r>
              <w:rPr>
                <w:rFonts w:ascii="Arial" w:cs="Arial" w:eastAsia="Arial" w:hAnsi="Arial"/>
                <w:sz w:val="16"/>
                <w:szCs w:val="16"/>
                <w:b w:val="1"/>
                <w:bCs w:val="1"/>
                <w:color w:val="auto"/>
              </w:rPr>
              <w:t>Directors and Nominees</w:t>
            </w:r>
          </w:p>
        </w:tc>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C.E. Andrews</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28,144 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Lizanne Galbreath</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16,951 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Mary E. Galligan</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1,784 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Matthew E. Avril</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James A. Dausch</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Raymond L. Gellein, Jr.</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32,166 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John E. Geller, Jr.</w:t>
            </w:r>
          </w:p>
        </w:tc>
        <w:tc>
          <w:tcPr>
            <w:tcW w:w="3660" w:type="dxa"/>
            <w:vAlign w:val="bottom"/>
          </w:tcPr>
          <w:p>
            <w:pPr>
              <w:jc w:val="right"/>
              <w:ind w:right="100"/>
              <w:spacing w:after="0" w:line="188" w:lineRule="exact"/>
              <w:rPr>
                <w:sz w:val="20"/>
                <w:szCs w:val="20"/>
                <w:color w:val="auto"/>
              </w:rPr>
            </w:pPr>
            <w:r>
              <w:rPr>
                <w:rFonts w:ascii="Arial" w:cs="Arial" w:eastAsia="Arial" w:hAnsi="Arial"/>
                <w:sz w:val="16"/>
                <w:szCs w:val="16"/>
                <w:color w:val="auto"/>
              </w:rPr>
              <w:t>109,366 </w:t>
            </w:r>
            <w:r>
              <w:rPr>
                <w:rFonts w:ascii="Arial" w:cs="Arial" w:eastAsia="Arial" w:hAnsi="Arial"/>
                <w:sz w:val="20"/>
                <w:szCs w:val="20"/>
                <w:color w:val="auto"/>
                <w:vertAlign w:val="superscript"/>
              </w:rPr>
              <w:t>3,4</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Jonice M. Gray</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7,569 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Melquiades R. Martinez</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21,031 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William W. McCarten</w:t>
            </w:r>
          </w:p>
        </w:tc>
        <w:tc>
          <w:tcPr>
            <w:tcW w:w="3660" w:type="dxa"/>
            <w:vAlign w:val="bottom"/>
          </w:tcPr>
          <w:p>
            <w:pPr>
              <w:jc w:val="right"/>
              <w:ind w:right="100"/>
              <w:spacing w:after="0" w:line="188" w:lineRule="exact"/>
              <w:rPr>
                <w:sz w:val="20"/>
                <w:szCs w:val="20"/>
                <w:color w:val="auto"/>
              </w:rPr>
            </w:pPr>
            <w:r>
              <w:rPr>
                <w:rFonts w:ascii="Arial" w:cs="Arial" w:eastAsia="Arial" w:hAnsi="Arial"/>
                <w:sz w:val="16"/>
                <w:szCs w:val="16"/>
                <w:color w:val="auto"/>
              </w:rPr>
              <w:t>28,699 </w:t>
            </w:r>
            <w:r>
              <w:rPr>
                <w:rFonts w:ascii="Arial" w:cs="Arial" w:eastAsia="Arial" w:hAnsi="Arial"/>
                <w:sz w:val="20"/>
                <w:szCs w:val="20"/>
                <w:color w:val="auto"/>
                <w:vertAlign w:val="superscript"/>
              </w:rPr>
              <w:t>2,5</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Dianna F. Morgan</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19,588 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Stephen R. Quazzo</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19,084 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William J. Shaw</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179,500 </w:t>
            </w:r>
            <w:r>
              <w:rPr>
                <w:rFonts w:ascii="Arial" w:cs="Arial" w:eastAsia="Arial" w:hAnsi="Arial"/>
                <w:sz w:val="20"/>
                <w:szCs w:val="20"/>
                <w:color w:val="auto"/>
                <w:vertAlign w:val="superscript"/>
              </w:rPr>
              <w:t>2</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spacing w:after="0"/>
              <w:rPr>
                <w:sz w:val="20"/>
                <w:szCs w:val="20"/>
                <w:color w:val="auto"/>
              </w:rPr>
            </w:pPr>
            <w:r>
              <w:rPr>
                <w:rFonts w:ascii="Arial" w:cs="Arial" w:eastAsia="Arial" w:hAnsi="Arial"/>
                <w:sz w:val="16"/>
                <w:szCs w:val="16"/>
                <w:b w:val="1"/>
                <w:bCs w:val="1"/>
                <w:color w:val="auto"/>
              </w:rPr>
              <w:t>Named Executive Officers (other than Mr. Geller)</w:t>
            </w:r>
          </w:p>
        </w:tc>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Lori Gustafson</w:t>
            </w:r>
          </w:p>
        </w:tc>
        <w:tc>
          <w:tcPr>
            <w:tcW w:w="3660" w:type="dxa"/>
            <w:vAlign w:val="bottom"/>
          </w:tcPr>
          <w:p>
            <w:pPr>
              <w:jc w:val="right"/>
              <w:ind w:right="220"/>
              <w:spacing w:after="0"/>
              <w:rPr>
                <w:sz w:val="20"/>
                <w:szCs w:val="20"/>
                <w:color w:val="auto"/>
              </w:rPr>
            </w:pPr>
            <w:r>
              <w:rPr>
                <w:rFonts w:ascii="Arial" w:cs="Arial" w:eastAsia="Arial" w:hAnsi="Arial"/>
                <w:sz w:val="16"/>
                <w:szCs w:val="16"/>
                <w:color w:val="auto"/>
              </w:rPr>
              <w:t>1,745 </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James H Hunter, IV</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38,327 </w:t>
            </w:r>
            <w:r>
              <w:rPr>
                <w:rFonts w:ascii="Arial" w:cs="Arial" w:eastAsia="Arial" w:hAnsi="Arial"/>
                <w:sz w:val="20"/>
                <w:szCs w:val="20"/>
                <w:color w:val="auto"/>
                <w:vertAlign w:val="superscript"/>
              </w:rPr>
              <w:t>4</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Jeanette E. Marbert</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102,522 </w:t>
            </w:r>
            <w:r>
              <w:rPr>
                <w:rFonts w:ascii="Arial" w:cs="Arial" w:eastAsia="Arial" w:hAnsi="Arial"/>
                <w:sz w:val="20"/>
                <w:szCs w:val="20"/>
                <w:color w:val="auto"/>
                <w:vertAlign w:val="superscript"/>
              </w:rPr>
              <w:t>6</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Jason P. Marino</w:t>
            </w:r>
          </w:p>
        </w:tc>
        <w:tc>
          <w:tcPr>
            <w:tcW w:w="3660" w:type="dxa"/>
            <w:vAlign w:val="bottom"/>
          </w:tcPr>
          <w:p>
            <w:pPr>
              <w:jc w:val="right"/>
              <w:ind w:right="220"/>
              <w:spacing w:after="0"/>
              <w:rPr>
                <w:sz w:val="20"/>
                <w:szCs w:val="20"/>
                <w:color w:val="auto"/>
              </w:rPr>
            </w:pPr>
            <w:r>
              <w:rPr>
                <w:rFonts w:ascii="Arial" w:cs="Arial" w:eastAsia="Arial" w:hAnsi="Arial"/>
                <w:sz w:val="16"/>
                <w:szCs w:val="16"/>
                <w:color w:val="auto"/>
              </w:rPr>
              <w:t>6,534 </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Brian E. Miller</w:t>
            </w:r>
          </w:p>
        </w:tc>
        <w:tc>
          <w:tcPr>
            <w:tcW w:w="3660" w:type="dxa"/>
            <w:vAlign w:val="bottom"/>
          </w:tcPr>
          <w:p>
            <w:pPr>
              <w:jc w:val="right"/>
              <w:ind w:right="220"/>
              <w:spacing w:after="0"/>
              <w:rPr>
                <w:sz w:val="20"/>
                <w:szCs w:val="20"/>
                <w:color w:val="auto"/>
              </w:rPr>
            </w:pPr>
            <w:r>
              <w:rPr>
                <w:rFonts w:ascii="Arial" w:cs="Arial" w:eastAsia="Arial" w:hAnsi="Arial"/>
                <w:sz w:val="16"/>
                <w:szCs w:val="16"/>
                <w:color w:val="auto"/>
              </w:rPr>
              <w:t>29,888 </w:t>
            </w:r>
          </w:p>
        </w:tc>
        <w:tc>
          <w:tcPr>
            <w:tcW w:w="8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188"/>
        </w:trPr>
        <w:tc>
          <w:tcPr>
            <w:tcW w:w="6520" w:type="dxa"/>
            <w:vAlign w:val="bottom"/>
          </w:tcPr>
          <w:p>
            <w:pPr>
              <w:spacing w:after="0"/>
              <w:rPr>
                <w:sz w:val="20"/>
                <w:szCs w:val="20"/>
                <w:color w:val="auto"/>
              </w:rPr>
            </w:pPr>
            <w:r>
              <w:rPr>
                <w:rFonts w:ascii="Arial" w:cs="Arial" w:eastAsia="Arial" w:hAnsi="Arial"/>
                <w:sz w:val="16"/>
                <w:szCs w:val="16"/>
                <w:b w:val="1"/>
                <w:bCs w:val="1"/>
                <w:color w:val="auto"/>
              </w:rPr>
              <w:t>All Directors and Current Executive Officers as a Group</w:t>
            </w:r>
          </w:p>
        </w:tc>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(20 persons)</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553,768 </w:t>
            </w:r>
            <w:r>
              <w:rPr>
                <w:rFonts w:ascii="Arial" w:cs="Arial" w:eastAsia="Arial" w:hAnsi="Arial"/>
                <w:sz w:val="20"/>
                <w:szCs w:val="20"/>
                <w:color w:val="auto"/>
                <w:vertAlign w:val="superscript"/>
              </w:rPr>
              <w:t>7</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1.6%</w:t>
            </w:r>
          </w:p>
        </w:tc>
      </w:tr>
      <w:tr>
        <w:trPr>
          <w:trHeight w:val="188"/>
        </w:trPr>
        <w:tc>
          <w:tcPr>
            <w:tcW w:w="6520" w:type="dxa"/>
            <w:vAlign w:val="bottom"/>
          </w:tcPr>
          <w:p>
            <w:pPr>
              <w:spacing w:after="0"/>
              <w:rPr>
                <w:sz w:val="20"/>
                <w:szCs w:val="20"/>
                <w:color w:val="auto"/>
              </w:rPr>
            </w:pPr>
            <w:r>
              <w:rPr>
                <w:rFonts w:ascii="Arial" w:cs="Arial" w:eastAsia="Arial" w:hAnsi="Arial"/>
                <w:sz w:val="16"/>
                <w:szCs w:val="16"/>
                <w:b w:val="1"/>
                <w:bCs w:val="1"/>
                <w:color w:val="auto"/>
              </w:rPr>
              <w:t>Five Percent Beneficial Owners</w:t>
            </w:r>
          </w:p>
        </w:tc>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3,142,170 </w:t>
            </w:r>
            <w:r>
              <w:rPr>
                <w:rFonts w:ascii="Arial" w:cs="Arial" w:eastAsia="Arial" w:hAnsi="Arial"/>
                <w:sz w:val="20"/>
                <w:szCs w:val="20"/>
                <w:color w:val="auto"/>
                <w:vertAlign w:val="superscript"/>
              </w:rPr>
              <w:t>8</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9.1%</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The Vanguard Group, Inc.</w:t>
            </w:r>
          </w:p>
        </w:tc>
        <w:tc>
          <w:tcPr>
            <w:tcW w:w="3660" w:type="dxa"/>
            <w:vAlign w:val="bottom"/>
          </w:tcPr>
          <w:p>
            <w:pPr>
              <w:jc w:val="right"/>
              <w:ind w:right="180"/>
              <w:spacing w:after="0" w:line="188" w:lineRule="exact"/>
              <w:rPr>
                <w:sz w:val="20"/>
                <w:szCs w:val="20"/>
                <w:color w:val="auto"/>
              </w:rPr>
            </w:pPr>
            <w:r>
              <w:rPr>
                <w:rFonts w:ascii="Arial" w:cs="Arial" w:eastAsia="Arial" w:hAnsi="Arial"/>
                <w:sz w:val="16"/>
                <w:szCs w:val="16"/>
                <w:color w:val="auto"/>
              </w:rPr>
              <w:t>3,123,164 </w:t>
            </w:r>
            <w:r>
              <w:rPr>
                <w:rFonts w:ascii="Arial" w:cs="Arial" w:eastAsia="Arial" w:hAnsi="Arial"/>
                <w:sz w:val="20"/>
                <w:szCs w:val="20"/>
                <w:color w:val="auto"/>
                <w:vertAlign w:val="superscript"/>
              </w:rPr>
              <w:t>9</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9.0%</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Impactive Capital LP</w:t>
            </w:r>
          </w:p>
        </w:tc>
        <w:tc>
          <w:tcPr>
            <w:tcW w:w="3660" w:type="dxa"/>
            <w:vAlign w:val="bottom"/>
          </w:tcPr>
          <w:p>
            <w:pPr>
              <w:ind w:left="2600"/>
              <w:spacing w:after="0" w:line="188" w:lineRule="exact"/>
              <w:rPr>
                <w:sz w:val="20"/>
                <w:szCs w:val="20"/>
                <w:color w:val="auto"/>
              </w:rPr>
            </w:pPr>
            <w:r>
              <w:rPr>
                <w:rFonts w:ascii="Arial" w:cs="Arial" w:eastAsia="Arial" w:hAnsi="Arial"/>
                <w:sz w:val="16"/>
                <w:szCs w:val="16"/>
                <w:color w:val="auto"/>
              </w:rPr>
              <w:t>2,997,717 </w:t>
            </w:r>
            <w:r>
              <w:rPr>
                <w:rFonts w:ascii="Arial" w:cs="Arial" w:eastAsia="Arial" w:hAnsi="Arial"/>
                <w:sz w:val="20"/>
                <w:szCs w:val="20"/>
                <w:color w:val="auto"/>
                <w:vertAlign w:val="superscript"/>
              </w:rPr>
              <w:t>10</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8.7%</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JWM Family Enterprises</w:t>
            </w:r>
          </w:p>
        </w:tc>
        <w:tc>
          <w:tcPr>
            <w:tcW w:w="3660" w:type="dxa"/>
            <w:vAlign w:val="bottom"/>
          </w:tcPr>
          <w:p>
            <w:pPr>
              <w:ind w:left="2600"/>
              <w:spacing w:after="0" w:line="188" w:lineRule="exact"/>
              <w:rPr>
                <w:sz w:val="20"/>
                <w:szCs w:val="20"/>
                <w:color w:val="auto"/>
              </w:rPr>
            </w:pPr>
            <w:r>
              <w:rPr>
                <w:rFonts w:ascii="Arial" w:cs="Arial" w:eastAsia="Arial" w:hAnsi="Arial"/>
                <w:sz w:val="16"/>
                <w:szCs w:val="16"/>
                <w:color w:val="auto"/>
              </w:rPr>
              <w:t>2,002,797 </w:t>
            </w:r>
            <w:r>
              <w:rPr>
                <w:rFonts w:ascii="Arial" w:cs="Arial" w:eastAsia="Arial" w:hAnsi="Arial"/>
                <w:sz w:val="20"/>
                <w:szCs w:val="20"/>
                <w:color w:val="auto"/>
                <w:vertAlign w:val="superscript"/>
              </w:rPr>
              <w:t>11</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5.8%</w:t>
            </w:r>
          </w:p>
        </w:tc>
      </w:tr>
      <w:tr>
        <w:trPr>
          <w:trHeight w:val="188"/>
        </w:trPr>
        <w:tc>
          <w:tcPr>
            <w:tcW w:w="6520" w:type="dxa"/>
            <w:vAlign w:val="bottom"/>
          </w:tcPr>
          <w:p>
            <w:pPr>
              <w:ind w:left="160"/>
              <w:spacing w:after="0"/>
              <w:rPr>
                <w:sz w:val="20"/>
                <w:szCs w:val="20"/>
                <w:color w:val="auto"/>
              </w:rPr>
            </w:pPr>
            <w:r>
              <w:rPr>
                <w:rFonts w:ascii="Arial" w:cs="Arial" w:eastAsia="Arial" w:hAnsi="Arial"/>
                <w:sz w:val="16"/>
                <w:szCs w:val="16"/>
                <w:color w:val="auto"/>
              </w:rPr>
              <w:t>Senvest Management, LLC</w:t>
            </w:r>
          </w:p>
        </w:tc>
        <w:tc>
          <w:tcPr>
            <w:tcW w:w="3660" w:type="dxa"/>
            <w:vAlign w:val="bottom"/>
          </w:tcPr>
          <w:p>
            <w:pPr>
              <w:ind w:left="2600"/>
              <w:spacing w:after="0" w:line="188" w:lineRule="exact"/>
              <w:rPr>
                <w:sz w:val="20"/>
                <w:szCs w:val="20"/>
                <w:color w:val="auto"/>
              </w:rPr>
            </w:pPr>
            <w:r>
              <w:rPr>
                <w:rFonts w:ascii="Arial" w:cs="Arial" w:eastAsia="Arial" w:hAnsi="Arial"/>
                <w:sz w:val="16"/>
                <w:szCs w:val="16"/>
                <w:color w:val="auto"/>
              </w:rPr>
              <w:t>1,852,369 </w:t>
            </w:r>
            <w:r>
              <w:rPr>
                <w:rFonts w:ascii="Arial" w:cs="Arial" w:eastAsia="Arial" w:hAnsi="Arial"/>
                <w:sz w:val="20"/>
                <w:szCs w:val="20"/>
                <w:color w:val="auto"/>
                <w:vertAlign w:val="superscript"/>
              </w:rPr>
              <w:t>12</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5.3%</w:t>
            </w:r>
          </w:p>
        </w:tc>
      </w:tr>
      <w:tr>
        <w:trPr>
          <w:trHeight w:val="202"/>
        </w:trPr>
        <w:tc>
          <w:tcPr>
            <w:tcW w:w="6520" w:type="dxa"/>
            <w:vAlign w:val="bottom"/>
            <w:tcBorders>
              <w:bottom w:val="single" w:sz="8" w:color="003A70"/>
            </w:tcBorders>
          </w:tcPr>
          <w:p>
            <w:pPr>
              <w:ind w:left="160"/>
              <w:spacing w:after="0"/>
              <w:rPr>
                <w:sz w:val="20"/>
                <w:szCs w:val="20"/>
                <w:color w:val="auto"/>
              </w:rPr>
            </w:pPr>
            <w:r>
              <w:rPr>
                <w:rFonts w:ascii="Arial" w:cs="Arial" w:eastAsia="Arial" w:hAnsi="Arial"/>
                <w:sz w:val="16"/>
                <w:szCs w:val="16"/>
                <w:color w:val="auto"/>
              </w:rPr>
              <w:t>Dimensional Fund Advisors LP</w:t>
            </w:r>
          </w:p>
        </w:tc>
        <w:tc>
          <w:tcPr>
            <w:tcW w:w="3660" w:type="dxa"/>
            <w:vAlign w:val="bottom"/>
            <w:tcBorders>
              <w:bottom w:val="single" w:sz="8" w:color="003A70"/>
            </w:tcBorders>
          </w:tcPr>
          <w:p>
            <w:pPr>
              <w:ind w:left="2600"/>
              <w:spacing w:after="0" w:line="203" w:lineRule="exact"/>
              <w:rPr>
                <w:sz w:val="20"/>
                <w:szCs w:val="20"/>
                <w:color w:val="auto"/>
              </w:rPr>
            </w:pPr>
            <w:r>
              <w:rPr>
                <w:rFonts w:ascii="Arial" w:cs="Arial" w:eastAsia="Arial" w:hAnsi="Arial"/>
                <w:sz w:val="16"/>
                <w:szCs w:val="16"/>
                <w:color w:val="auto"/>
              </w:rPr>
              <w:t>1,766,343 </w:t>
            </w:r>
            <w:r>
              <w:rPr>
                <w:rFonts w:ascii="Arial" w:cs="Arial" w:eastAsia="Arial" w:hAnsi="Arial"/>
                <w:sz w:val="20"/>
                <w:szCs w:val="20"/>
                <w:color w:val="auto"/>
                <w:vertAlign w:val="superscript"/>
              </w:rPr>
              <w:t>13</w:t>
            </w:r>
          </w:p>
        </w:tc>
        <w:tc>
          <w:tcPr>
            <w:tcW w:w="800" w:type="dxa"/>
            <w:vAlign w:val="bottom"/>
            <w:tcBorders>
              <w:bottom w:val="single" w:sz="8" w:color="003A70"/>
            </w:tcBorders>
          </w:tcPr>
          <w:p>
            <w:pPr>
              <w:jc w:val="right"/>
              <w:ind w:right="60"/>
              <w:spacing w:after="0"/>
              <w:rPr>
                <w:sz w:val="20"/>
                <w:szCs w:val="20"/>
                <w:color w:val="auto"/>
              </w:rPr>
            </w:pPr>
            <w:r>
              <w:rPr>
                <w:rFonts w:ascii="Arial" w:cs="Arial" w:eastAsia="Arial" w:hAnsi="Arial"/>
                <w:sz w:val="16"/>
                <w:szCs w:val="16"/>
                <w:color w:val="auto"/>
              </w:rPr>
              <w:t>5.1%</w:t>
            </w:r>
          </w:p>
        </w:tc>
      </w:tr>
    </w:tbl>
    <w:p>
      <w:pPr>
        <w:spacing w:after="0" w:line="71" w:lineRule="exact"/>
        <w:rPr>
          <w:sz w:val="20"/>
          <w:szCs w:val="20"/>
          <w:color w:val="auto"/>
        </w:rPr>
      </w:pPr>
    </w:p>
    <w:p>
      <w:pPr>
        <w:ind w:left="460" w:hanging="325"/>
        <w:spacing w:after="0"/>
        <w:tabs>
          <w:tab w:leader="none" w:pos="4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1" w:lineRule="exact"/>
        <w:rPr>
          <w:sz w:val="20"/>
          <w:szCs w:val="20"/>
          <w:color w:val="auto"/>
        </w:rPr>
      </w:pPr>
    </w:p>
    <w:p>
      <w:pPr>
        <w:ind w:left="460" w:right="80" w:hanging="325"/>
        <w:spacing w:after="0" w:line="229" w:lineRule="auto"/>
        <w:tabs>
          <w:tab w:leader="none" w:pos="460"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Based on the number of shares outstanding 34,563,443 on March 14, 2025, plus the number of shares acquirable by the specified persons within 60 days of March 14, 2025 as described below.</w:t>
      </w:r>
    </w:p>
    <w:p>
      <w:pPr>
        <w:spacing w:after="0" w:line="116" w:lineRule="exact"/>
        <w:rPr>
          <w:sz w:val="20"/>
          <w:szCs w:val="20"/>
          <w:color w:val="auto"/>
        </w:rPr>
      </w:pPr>
    </w:p>
    <w:p>
      <w:pPr>
        <w:ind w:left="140"/>
        <w:spacing w:after="0"/>
        <w:tabs>
          <w:tab w:leader="none" w:pos="522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b w:val="1"/>
          <w:bCs w:val="1"/>
          <w:color w:val="003A7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1" w:lineRule="exact"/>
        <w:rPr>
          <w:sz w:val="20"/>
          <w:szCs w:val="20"/>
          <w:color w:val="auto"/>
        </w:rPr>
      </w:pPr>
    </w:p>
    <w:p>
      <w:pPr>
        <w:ind w:left="460" w:right="360" w:hanging="325"/>
        <w:spacing w:after="0" w:line="219" w:lineRule="auto"/>
        <w:tabs>
          <w:tab w:leader="none" w:pos="46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Includes shares subject to Non-Employee Director Share Awards currently exercisable or exercisable within 60 days after March 14, 2025 as follows: Mr. Andrews, 19,580 shares; Ms. Galbreath, 10,396 shares; Ms. Galligan, 1,784 shares; Mr. Gellein, 25,053 shares; Ms. Gray, 7,569 shares; Mr. Martinez, 12,837 shares;</w:t>
      </w:r>
    </w:p>
    <w:p>
      <w:pPr>
        <w:spacing w:after="0" w:line="1" w:lineRule="exact"/>
        <w:rPr>
          <w:rFonts w:ascii="Arial" w:cs="Arial" w:eastAsia="Arial" w:hAnsi="Arial"/>
          <w:sz w:val="18"/>
          <w:szCs w:val="18"/>
          <w:color w:val="auto"/>
          <w:vertAlign w:val="superscript"/>
        </w:rPr>
      </w:pPr>
    </w:p>
    <w:p>
      <w:pPr>
        <w:ind w:left="460"/>
        <w:spacing w:after="0"/>
        <w:rPr>
          <w:rFonts w:ascii="Arial" w:cs="Arial" w:eastAsia="Arial" w:hAnsi="Arial"/>
          <w:sz w:val="18"/>
          <w:szCs w:val="18"/>
          <w:color w:val="auto"/>
          <w:vertAlign w:val="superscript"/>
        </w:rPr>
      </w:pPr>
      <w:r>
        <w:rPr>
          <w:rFonts w:ascii="Arial" w:cs="Arial" w:eastAsia="Arial" w:hAnsi="Arial"/>
          <w:sz w:val="14"/>
          <w:szCs w:val="14"/>
          <w:color w:val="auto"/>
        </w:rPr>
        <w:t>Mr. McCarten, 21,039 shares; Ms. Morgan, 13,429 shares; Mr. Quazzo, 2,808 shares; and Mr. Shaw 33,433 shares.</w:t>
      </w:r>
    </w:p>
    <w:p>
      <w:pPr>
        <w:spacing w:after="0" w:line="50" w:lineRule="exact"/>
        <w:rPr>
          <w:sz w:val="20"/>
          <w:szCs w:val="20"/>
          <w:color w:val="auto"/>
        </w:rPr>
      </w:pPr>
    </w:p>
    <w:p>
      <w:pPr>
        <w:ind w:left="460" w:hanging="325"/>
        <w:spacing w:after="0"/>
        <w:tabs>
          <w:tab w:leader="none" w:pos="46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Includes 102,069 shares held in revocable trusts by Mr. Geller and Mr. Geller’s spouse and 2,150 shares in retirement accounts.</w:t>
      </w:r>
    </w:p>
    <w:p>
      <w:pPr>
        <w:spacing w:after="0" w:line="52" w:lineRule="exact"/>
        <w:rPr>
          <w:sz w:val="20"/>
          <w:szCs w:val="20"/>
          <w:color w:val="auto"/>
        </w:rPr>
      </w:pPr>
    </w:p>
    <w:p>
      <w:pPr>
        <w:ind w:left="460" w:right="120" w:hanging="325"/>
        <w:spacing w:after="0" w:line="234" w:lineRule="auto"/>
        <w:tabs>
          <w:tab w:leader="none" w:pos="46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Includes shares subject to SARs currently exercisable or exercisable within 60 days after March 14, 2025, as follows: Mr. Geller, 1,485 shares and Mr. Hunter, 540 shares. For purposes of determining the number of shares subject to SARs that are beneficially owned by each such person, we have calculated the number of shares that such person could obtain by exercising all in the money SARs that are currently exercisable or exercisable within 60 days after March 14, 2025, based on the closing price of our common stock on March 14, 2025.</w:t>
      </w:r>
    </w:p>
    <w:p>
      <w:pPr>
        <w:spacing w:after="0" w:line="54" w:lineRule="exact"/>
        <w:rPr>
          <w:sz w:val="20"/>
          <w:szCs w:val="20"/>
          <w:color w:val="auto"/>
        </w:rPr>
      </w:pPr>
    </w:p>
    <w:p>
      <w:pPr>
        <w:ind w:left="460" w:right="220" w:hanging="325"/>
        <w:spacing w:after="0" w:line="229" w:lineRule="auto"/>
        <w:tabs>
          <w:tab w:leader="none" w:pos="460" w:val="left"/>
        </w:tabs>
        <w:numPr>
          <w:ilvl w:val="0"/>
          <w:numId w:val="104"/>
        </w:numPr>
        <w:rPr>
          <w:rFonts w:ascii="Arial" w:cs="Arial" w:eastAsia="Arial" w:hAnsi="Arial"/>
          <w:sz w:val="18"/>
          <w:szCs w:val="18"/>
          <w:color w:val="auto"/>
          <w:vertAlign w:val="superscript"/>
        </w:rPr>
      </w:pPr>
      <w:r>
        <w:rPr>
          <w:rFonts w:ascii="Arial" w:cs="Arial" w:eastAsia="Arial" w:hAnsi="Arial"/>
          <w:sz w:val="14"/>
          <w:szCs w:val="14"/>
          <w:color w:val="auto"/>
        </w:rPr>
        <w:t>Includes 20,999 shares held as tenants in common with Mr. McCarten’s spouse and 1,966 shares held by a limited liability corporation in which Mr. McCarten owns a 2% interest and acts as Manager.</w:t>
      </w:r>
    </w:p>
    <w:p>
      <w:pPr>
        <w:spacing w:after="0" w:line="35" w:lineRule="exact"/>
        <w:rPr>
          <w:sz w:val="20"/>
          <w:szCs w:val="20"/>
          <w:color w:val="auto"/>
        </w:rPr>
      </w:pPr>
    </w:p>
    <w:p>
      <w:pPr>
        <w:ind w:left="460" w:hanging="325"/>
        <w:spacing w:after="0"/>
        <w:tabs>
          <w:tab w:leader="none" w:pos="46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Ms. Marbert retired as President, Exchange and Third-Party Management on August 31, 2024.</w:t>
      </w:r>
    </w:p>
    <w:p>
      <w:pPr>
        <w:spacing w:after="0" w:line="52" w:lineRule="exact"/>
        <w:rPr>
          <w:sz w:val="20"/>
          <w:szCs w:val="20"/>
          <w:color w:val="auto"/>
        </w:rPr>
      </w:pPr>
    </w:p>
    <w:p>
      <w:pPr>
        <w:ind w:left="460" w:right="200" w:hanging="325"/>
        <w:spacing w:after="0" w:line="234" w:lineRule="auto"/>
        <w:tabs>
          <w:tab w:leader="none" w:pos="46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Includes the aggregate number of shares subject to SARs and RSUs for all executive officers as a group, Non-Employee Director Share Awards and Non-Employee Director Stock Units currently exercisable or exercisable within 60 days after March 14, 2025. For purposes of determining the number of shares subject to SARs that are beneficially owned, we have calculated the number of shares that such persons could obtain by exercising all in the money SARs that are currently exercisable or exercisable within 60 days after March 11, 2024, based on the closing price of our common stock on March 14, 2025.</w:t>
      </w:r>
    </w:p>
    <w:p>
      <w:pPr>
        <w:spacing w:after="0" w:line="54" w:lineRule="exact"/>
        <w:rPr>
          <w:sz w:val="20"/>
          <w:szCs w:val="20"/>
          <w:color w:val="auto"/>
        </w:rPr>
      </w:pPr>
    </w:p>
    <w:p>
      <w:pPr>
        <w:ind w:left="460" w:right="240" w:hanging="325"/>
        <w:spacing w:after="0" w:line="229" w:lineRule="auto"/>
        <w:tabs>
          <w:tab w:leader="none" w:pos="46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13G/A filed with the SEC on January 25, 2024 by BlackRock, Inc. (“BlackRock”). BlackRock reported sole voting power as to 3,038,871 shares and sole dispositive power as to 3,142,170 shares. The address of BlackRock is 50 Hudson Yards, New York, New York 10001.</w:t>
      </w:r>
    </w:p>
    <w:p>
      <w:pPr>
        <w:spacing w:after="0" w:line="52" w:lineRule="exact"/>
        <w:rPr>
          <w:sz w:val="20"/>
          <w:szCs w:val="20"/>
          <w:color w:val="auto"/>
        </w:rPr>
      </w:pPr>
    </w:p>
    <w:p>
      <w:pPr>
        <w:ind w:left="460" w:right="20" w:hanging="325"/>
        <w:spacing w:after="0" w:line="232" w:lineRule="auto"/>
        <w:tabs>
          <w:tab w:leader="none" w:pos="460" w:val="left"/>
        </w:tabs>
        <w:numPr>
          <w:ilvl w:val="0"/>
          <w:numId w:val="108"/>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13G/A filed with the SEC on February 13, 2024 by The Vanguard Group, Inc. (“Vanguard”). Vanguard reported shared voting power as to 15,518 shares, sole dispositive power as to 3,071,793 shares, and shared dispositive power as to 51,371 shares. The address of Vanguard is 100 Vanguard Boulevard, Malvern, Pennsylvania 19355.</w:t>
      </w:r>
    </w:p>
    <w:p>
      <w:pPr>
        <w:spacing w:after="0" w:line="54" w:lineRule="exact"/>
        <w:rPr>
          <w:sz w:val="20"/>
          <w:szCs w:val="20"/>
          <w:color w:val="auto"/>
        </w:rPr>
      </w:pPr>
    </w:p>
    <w:p>
      <w:pPr>
        <w:ind w:left="460" w:right="20" w:hanging="325"/>
        <w:spacing w:after="0"/>
        <w:tabs>
          <w:tab w:leader="none" w:pos="4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13D/A filed with the SEC on August 7, 2024 by (i) Impactive Capital LP, a Delaware limited partnership (“Impactive Capital”), as the investment manager of certain funds and/or accounts (the “Impactive Funds”), with respect to the Shares directly owned by the Impactive Funds, (ii) Impactive Capital LLC, a Delaware limited liability company (“Impactive Capital GP”), as the general partner of Impactive Capital, and (iii) Lauren Taylor Wolfe and Christian Asmar, each a managing member of Impactive Capital GP. The reporting entities and persons each reported the shared voting power and shared dispositive power with respect to 2,997,717 shares. The business address for the reporting entities and persons is 152 West 57th Street, 17th Floor, New York, New York 10019.</w:t>
      </w:r>
    </w:p>
    <w:p>
      <w:pPr>
        <w:spacing w:after="0" w:line="198" w:lineRule="exact"/>
        <w:rPr>
          <w:rFonts w:ascii="Arial" w:cs="Arial" w:eastAsia="Arial" w:hAnsi="Arial"/>
          <w:sz w:val="18"/>
          <w:szCs w:val="18"/>
          <w:color w:val="auto"/>
          <w:vertAlign w:val="superscript"/>
        </w:rPr>
      </w:pPr>
    </w:p>
    <w:p>
      <w:pPr>
        <w:ind w:left="460" w:right="120" w:hanging="325"/>
        <w:spacing w:after="0"/>
        <w:tabs>
          <w:tab w:leader="none" w:pos="4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13G/A filed with the SEC on February 5, 2024 jointly by JWM Family Enterprises, Inc. and JWM Family Enterprises, L.P. Consists of the following: (a) 919,999 shares owned by Thomas Point Ventures, L.P., a Delaware limited partnership, whose sole general partner is JWM Family Enterprises, L.P.; (b) 70,000 shares held by Penny Lane Limited Holdings, LLC, a Delaware limited liability company, whose sole member is JWM Family Enterprises, L.P.; (c) 47,500 shares owned by Anchorage Partners, L.P., a Delaware limited partnership, whose sole general partner is JWM Family Enterprises, L.P.; and (d) 965,298 shares owned by JWM Family Enterprises, L.P. JWM Family Enterprises, Inc. is the sole general partner of JWM Family Enterprises, L.P. JWM Family Enterprises, Inc. reported shared voting and dispositive power as to 2,002,797 shares, and JWM Family Enterprises, L.P. reported shared voting and dispositive power as to 1,082,798 shares. The address of each of JWM Family Enterprises, Inc. and JWM Family Enterprises, L.P. is 540 Gaither Road, Suite 100, Rockville, Maryland 20850.</w:t>
      </w:r>
    </w:p>
    <w:p>
      <w:pPr>
        <w:spacing w:after="0" w:line="199" w:lineRule="exact"/>
        <w:rPr>
          <w:rFonts w:ascii="Arial" w:cs="Arial" w:eastAsia="Arial" w:hAnsi="Arial"/>
          <w:sz w:val="18"/>
          <w:szCs w:val="18"/>
          <w:color w:val="auto"/>
          <w:vertAlign w:val="superscript"/>
        </w:rPr>
      </w:pPr>
    </w:p>
    <w:p>
      <w:pPr>
        <w:ind w:left="460" w:right="80" w:hanging="325"/>
        <w:spacing w:after="0" w:line="235" w:lineRule="auto"/>
        <w:tabs>
          <w:tab w:leader="none" w:pos="4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13G/A filed with the SEC on January 26, 2024 jointly by Senvest Management, LLC (“Senvest Management”) and Richard Mashaal. Senvest Management may be deemed to beneficially own 1,852,369 shares held by Senvest Master Fund, LP (“Senvest Fund”) due to its being the investment manager of Senvest Fund. Mr. Mashaal may be deemed to beneficially own all such shares due to his being the managing member of Senvest Management. Senvest Management and Mr. Mashaal have shared voting power and shared dispositive power with respect to all such shares. The address for Senvest Management and Mr. Mashaal is 540 Madison Avenue, 32nd Floor, New York, New York 10022</w:t>
      </w:r>
    </w:p>
    <w:p>
      <w:pPr>
        <w:spacing w:after="0" w:line="54" w:lineRule="exact"/>
        <w:rPr>
          <w:rFonts w:ascii="Arial" w:cs="Arial" w:eastAsia="Arial" w:hAnsi="Arial"/>
          <w:sz w:val="18"/>
          <w:szCs w:val="18"/>
          <w:color w:val="auto"/>
          <w:vertAlign w:val="superscript"/>
        </w:rPr>
      </w:pPr>
    </w:p>
    <w:p>
      <w:pPr>
        <w:ind w:left="460" w:right="80" w:hanging="325"/>
        <w:spacing w:after="0" w:line="234" w:lineRule="auto"/>
        <w:tabs>
          <w:tab w:leader="none" w:pos="4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Based solely on the information contained in a Schedule 13G filed with the SEC on October 31, 2024. Represents an aggregate of 1,766,343 shares of common stock beneficially owned by Dimensional Fund Advisors LP in its capacity as investment adviser on behalf of its clients. Dimensional Fund Advisors LP has sole voting power over 1,719,442 shares and sole dispositive power over 1,766,343 shares. The address of record of Dimensional Fund Advisors LP is 6300 Bee Cave Road, Building One, Austin, Texas 78746.</w:t>
      </w:r>
    </w:p>
    <w:p>
      <w:pPr>
        <w:spacing w:after="0" w:line="117" w:lineRule="exact"/>
        <w:rPr>
          <w:sz w:val="20"/>
          <w:szCs w:val="20"/>
          <w:color w:val="auto"/>
        </w:rPr>
      </w:pPr>
    </w:p>
    <w:p>
      <w:pPr>
        <w:ind w:left="140"/>
        <w:spacing w:after="0"/>
        <w:tabs>
          <w:tab w:leader="none" w:pos="5220" w:val="left"/>
          <w:tab w:leader="none" w:pos="7820" w:val="left"/>
        </w:tabs>
        <w:rPr>
          <w:sz w:val="20"/>
          <w:szCs w:val="20"/>
          <w:color w:val="auto"/>
        </w:rPr>
      </w:pPr>
      <w:r>
        <w:rPr>
          <w:rFonts w:ascii="Arial" w:cs="Arial" w:eastAsia="Arial" w:hAnsi="Arial"/>
          <w:sz w:val="11"/>
          <w:szCs w:val="11"/>
          <w:b w:val="1"/>
          <w:bCs w:val="1"/>
          <w:color w:val="003A70"/>
        </w:rPr>
        <w:t>54</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right="2060"/>
        <w:spacing w:after="0" w:line="281" w:lineRule="auto"/>
        <w:rPr>
          <w:sz w:val="20"/>
          <w:szCs w:val="20"/>
          <w:color w:val="auto"/>
        </w:rPr>
      </w:pPr>
      <w:r>
        <w:rPr>
          <w:rFonts w:ascii="Arial" w:cs="Arial" w:eastAsia="Arial" w:hAnsi="Arial"/>
          <w:sz w:val="54"/>
          <w:szCs w:val="54"/>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-885190</wp:posOffset>
            </wp:positionV>
            <wp:extent cx="85725" cy="8286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8675"/>
                    </a:xfrm>
                    <a:prstGeom prst="rect">
                      <a:avLst/>
                    </a:prstGeom>
                    <a:noFill/>
                  </pic:spPr>
                </pic:pic>
              </a:graphicData>
            </a:graphic>
          </wp:anchor>
        </w:drawing>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POLICY ON TRANSACTIONS AND ARRANGEMENTS WITH RELATED PERSONS</w:t>
      </w:r>
    </w:p>
    <w:p>
      <w:pPr>
        <w:spacing w:after="0" w:line="111" w:lineRule="exact"/>
        <w:rPr>
          <w:sz w:val="20"/>
          <w:szCs w:val="20"/>
          <w:color w:val="auto"/>
        </w:rPr>
      </w:pPr>
    </w:p>
    <w:p>
      <w:pPr>
        <w:jc w:val="both"/>
        <w:ind w:left="140" w:right="60"/>
        <w:spacing w:after="0" w:line="265" w:lineRule="auto"/>
        <w:rPr>
          <w:sz w:val="20"/>
          <w:szCs w:val="20"/>
          <w:color w:val="auto"/>
        </w:rPr>
      </w:pPr>
      <w:r>
        <w:rPr>
          <w:rFonts w:ascii="Arial" w:cs="Arial" w:eastAsia="Arial" w:hAnsi="Arial"/>
          <w:sz w:val="16"/>
          <w:szCs w:val="16"/>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63" w:lineRule="exact"/>
        <w:rPr>
          <w:sz w:val="20"/>
          <w:szCs w:val="20"/>
          <w:color w:val="auto"/>
        </w:rPr>
      </w:pPr>
    </w:p>
    <w:p>
      <w:pPr>
        <w:ind w:left="140" w:right="240"/>
        <w:spacing w:after="0" w:line="250" w:lineRule="auto"/>
        <w:rPr>
          <w:sz w:val="20"/>
          <w:szCs w:val="20"/>
          <w:color w:val="auto"/>
        </w:rPr>
      </w:pPr>
      <w:r>
        <w:rPr>
          <w:rFonts w:ascii="Arial" w:cs="Arial" w:eastAsia="Arial" w:hAnsi="Arial"/>
          <w:sz w:val="16"/>
          <w:szCs w:val="16"/>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stockholders.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78" w:lineRule="exact"/>
        <w:rPr>
          <w:sz w:val="20"/>
          <w:szCs w:val="20"/>
          <w:color w:val="auto"/>
        </w:rPr>
      </w:pPr>
    </w:p>
    <w:p>
      <w:pPr>
        <w:ind w:left="140" w:right="60"/>
        <w:spacing w:after="0" w:line="253" w:lineRule="auto"/>
        <w:rPr>
          <w:sz w:val="20"/>
          <w:szCs w:val="20"/>
          <w:color w:val="auto"/>
        </w:rPr>
      </w:pPr>
      <w:r>
        <w:rPr>
          <w:rFonts w:ascii="Arial" w:cs="Arial" w:eastAsia="Arial" w:hAnsi="Arial"/>
          <w:sz w:val="16"/>
          <w:szCs w:val="16"/>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74" w:lineRule="exact"/>
        <w:rPr>
          <w:sz w:val="20"/>
          <w:szCs w:val="20"/>
          <w:color w:val="auto"/>
        </w:rPr>
      </w:pPr>
    </w:p>
    <w:p>
      <w:pPr>
        <w:jc w:val="both"/>
        <w:ind w:left="140" w:right="280"/>
        <w:spacing w:after="0" w:line="263" w:lineRule="auto"/>
        <w:rPr>
          <w:sz w:val="20"/>
          <w:szCs w:val="20"/>
          <w:color w:val="auto"/>
        </w:rPr>
      </w:pPr>
      <w:r>
        <w:rPr>
          <w:rFonts w:ascii="Arial" w:cs="Arial" w:eastAsia="Arial" w:hAnsi="Arial"/>
          <w:sz w:val="16"/>
          <w:szCs w:val="16"/>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spacing w:after="0" w:line="1" w:lineRule="exact"/>
        <w:rPr>
          <w:sz w:val="20"/>
          <w:szCs w:val="20"/>
          <w:color w:val="auto"/>
        </w:rPr>
      </w:pPr>
    </w:p>
    <w:p>
      <w:pPr>
        <w:ind w:left="360" w:right="300" w:hanging="225"/>
        <w:spacing w:after="0" w:line="271"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ordinary course sales of vacation ownership, fractional or similar ownership interests with specified maximum dollar thresholds at prices that are no lower than those available under Company-wide employee discount programs;</w:t>
      </w:r>
    </w:p>
    <w:p>
      <w:pPr>
        <w:spacing w:after="0" w:line="1" w:lineRule="exact"/>
        <w:rPr>
          <w:rFonts w:ascii="Arial" w:cs="Arial" w:eastAsia="Arial" w:hAnsi="Arial"/>
          <w:sz w:val="16"/>
          <w:szCs w:val="16"/>
          <w:color w:val="003A70"/>
        </w:rPr>
      </w:pPr>
    </w:p>
    <w:p>
      <w:pPr>
        <w:ind w:left="360" w:right="200" w:hanging="225"/>
        <w:spacing w:after="0" w:line="263"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rental of a time share unit, fractional unit, condominium or residence owned or controlled by a Related Person if the terms of the rental arrangement, including rental rate, are on terms that are no less favorable to the Company than terms generally available to an unaffiliated third-party under the same or similar circumstances;</w:t>
      </w:r>
    </w:p>
    <w:p>
      <w:pPr>
        <w:ind w:left="360" w:right="280" w:hanging="225"/>
        <w:spacing w:after="0" w:line="271"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1" w:lineRule="exact"/>
        <w:rPr>
          <w:rFonts w:ascii="Arial" w:cs="Arial" w:eastAsia="Arial" w:hAnsi="Arial"/>
          <w:sz w:val="16"/>
          <w:szCs w:val="16"/>
          <w:color w:val="003A70"/>
        </w:rPr>
      </w:pPr>
    </w:p>
    <w:p>
      <w:pPr>
        <w:ind w:left="360" w:right="720" w:hanging="225"/>
        <w:spacing w:after="0" w:line="271"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certain transactions with other companies and certain charitable contributions that satisfy the independence criteria under both our Corporate Governance Policies and the NYSE Listing Standards;</w:t>
      </w:r>
    </w:p>
    <w:p>
      <w:pPr>
        <w:spacing w:after="0" w:line="1" w:lineRule="exact"/>
        <w:rPr>
          <w:rFonts w:ascii="Arial" w:cs="Arial" w:eastAsia="Arial" w:hAnsi="Arial"/>
          <w:sz w:val="16"/>
          <w:szCs w:val="16"/>
          <w:color w:val="003A70"/>
        </w:rPr>
      </w:pPr>
    </w:p>
    <w:p>
      <w:pPr>
        <w:ind w:left="360" w:hanging="225"/>
        <w:spacing w:after="0"/>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certain transactions with Marriott International in the ordinary course of business;</w:t>
      </w:r>
    </w:p>
    <w:p>
      <w:pPr>
        <w:spacing w:after="0" w:line="44" w:lineRule="exact"/>
        <w:rPr>
          <w:rFonts w:ascii="Arial" w:cs="Arial" w:eastAsia="Arial" w:hAnsi="Arial"/>
          <w:sz w:val="16"/>
          <w:szCs w:val="16"/>
          <w:color w:val="003A70"/>
        </w:rPr>
      </w:pPr>
    </w:p>
    <w:p>
      <w:pPr>
        <w:ind w:left="360" w:right="420" w:hanging="225"/>
        <w:spacing w:after="0" w:line="271"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transactions where the related party’s interest arises solely from ownership of our common stock and all holders of our common stock receive the same benefit on a pro rata basis;</w:t>
      </w:r>
    </w:p>
    <w:p>
      <w:pPr>
        <w:spacing w:after="0" w:line="1" w:lineRule="exact"/>
        <w:rPr>
          <w:rFonts w:ascii="Arial" w:cs="Arial" w:eastAsia="Arial" w:hAnsi="Arial"/>
          <w:sz w:val="16"/>
          <w:szCs w:val="16"/>
          <w:color w:val="003A70"/>
        </w:rPr>
      </w:pPr>
    </w:p>
    <w:p>
      <w:pPr>
        <w:ind w:left="360" w:right="180" w:hanging="225"/>
        <w:spacing w:after="0" w:line="251" w:lineRule="auto"/>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currently include our Chief Financial Officer, General Counsel, Chief Human Resources Officer and other executive officers) who do not have any direct or indirect interest in the transaction determine that the terms and amount of such compensation (including salary and incentive awards) are commensurate with the Related Person’s qualifications and responsibilities and with the compensation of other employees holding similar positions; after initial hire, any promotion of or special award granted to such Related Person shall be submitted to the Nominating and Corporate Governance Committee for approval in accordance with the policy;</w:t>
      </w:r>
    </w:p>
    <w:p>
      <w:pPr>
        <w:spacing w:after="0" w:line="7" w:lineRule="exact"/>
        <w:rPr>
          <w:rFonts w:ascii="Arial" w:cs="Arial" w:eastAsia="Arial" w:hAnsi="Arial"/>
          <w:sz w:val="16"/>
          <w:szCs w:val="16"/>
          <w:color w:val="003A70"/>
        </w:rPr>
      </w:pPr>
    </w:p>
    <w:p>
      <w:pPr>
        <w:ind w:left="360" w:hanging="225"/>
        <w:spacing w:after="0"/>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44" w:lineRule="exact"/>
        <w:rPr>
          <w:rFonts w:ascii="Arial" w:cs="Arial" w:eastAsia="Arial" w:hAnsi="Arial"/>
          <w:sz w:val="16"/>
          <w:szCs w:val="16"/>
          <w:color w:val="003A70"/>
        </w:rPr>
      </w:pPr>
    </w:p>
    <w:p>
      <w:pPr>
        <w:ind w:left="360" w:hanging="225"/>
        <w:spacing w:after="0"/>
        <w:tabs>
          <w:tab w:leader="none" w:pos="360" w:val="left"/>
        </w:tabs>
        <w:numPr>
          <w:ilvl w:val="0"/>
          <w:numId w:val="110"/>
        </w:numPr>
        <w:rPr>
          <w:rFonts w:ascii="Arial" w:cs="Arial" w:eastAsia="Arial" w:hAnsi="Arial"/>
          <w:sz w:val="16"/>
          <w:szCs w:val="16"/>
          <w:color w:val="003A70"/>
        </w:rPr>
      </w:pPr>
      <w:r>
        <w:rPr>
          <w:rFonts w:ascii="Arial" w:cs="Arial" w:eastAsia="Arial" w:hAnsi="Arial"/>
          <w:sz w:val="16"/>
          <w:szCs w:val="16"/>
          <w:color w:val="auto"/>
        </w:rPr>
        <w:t>transactions involving banking-related services such as transfer agent, registrar, trustee under a trust indenture or similar services.</w:t>
      </w:r>
    </w:p>
    <w:p>
      <w:pPr>
        <w:spacing w:after="0" w:line="31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CERTAIN RELATIONSHIPS AND POTENTIAL CONFLICTS OF INTEREST</w:t>
      </w:r>
    </w:p>
    <w:p>
      <w:pPr>
        <w:spacing w:after="0" w:line="111" w:lineRule="exact"/>
        <w:rPr>
          <w:sz w:val="20"/>
          <w:szCs w:val="20"/>
          <w:color w:val="auto"/>
        </w:rPr>
      </w:pPr>
    </w:p>
    <w:p>
      <w:pPr>
        <w:ind w:left="140" w:right="140"/>
        <w:spacing w:after="0" w:line="255" w:lineRule="auto"/>
        <w:rPr>
          <w:sz w:val="20"/>
          <w:szCs w:val="20"/>
          <w:color w:val="auto"/>
        </w:rPr>
      </w:pPr>
      <w:r>
        <w:rPr>
          <w:rFonts w:ascii="Arial" w:cs="Arial" w:eastAsia="Arial" w:hAnsi="Arial"/>
          <w:sz w:val="16"/>
          <w:szCs w:val="16"/>
          <w:color w:val="auto"/>
        </w:rPr>
        <w:t>Since the acquisition of ILG, we have employed David Marbert, son of Jeanette E. Marbert, our former President, Exchange &amp; Third-Party Management. David Marbert is employed as Director, Products and Partnership, a position he has held since August 6, 2022. In 2024, he received compensation from the Company in the aggregate amount of $167,459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ectPr>
          <w:pgSz w:w="11900" w:h="16838" w:orient="portrait"/>
          <w:cols w:equalWidth="0" w:num="1">
            <w:col w:w="11120"/>
          </w:cols>
          <w:pgMar w:left="320" w:top="480" w:right="459" w:bottom="1440" w:gutter="0" w:footer="0" w:header="0"/>
        </w:sectPr>
      </w:pPr>
    </w:p>
    <w:p>
      <w:pPr>
        <w:spacing w:after="0" w:line="113" w:lineRule="exact"/>
        <w:rPr>
          <w:sz w:val="20"/>
          <w:szCs w:val="20"/>
          <w:color w:val="auto"/>
        </w:rPr>
      </w:pPr>
    </w:p>
    <w:p>
      <w:pPr>
        <w:ind w:left="140"/>
        <w:spacing w:after="0"/>
        <w:tabs>
          <w:tab w:leader="none" w:pos="4780" w:val="left"/>
          <w:tab w:leader="none" w:pos="109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Transactions with Related Persons</w:t>
      </w:r>
      <w:r>
        <w:rPr>
          <w:sz w:val="20"/>
          <w:szCs w:val="20"/>
          <w:color w:val="auto"/>
        </w:rPr>
        <w:tab/>
      </w:r>
      <w:r>
        <w:rPr>
          <w:rFonts w:ascii="Arial" w:cs="Arial" w:eastAsia="Arial" w:hAnsi="Arial"/>
          <w:sz w:val="10"/>
          <w:szCs w:val="10"/>
          <w:b w:val="1"/>
          <w:bCs w:val="1"/>
          <w:color w:val="003A7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right="840"/>
        <w:spacing w:after="0" w:line="257" w:lineRule="auto"/>
        <w:rPr>
          <w:sz w:val="20"/>
          <w:szCs w:val="20"/>
          <w:color w:val="auto"/>
        </w:rPr>
      </w:pPr>
      <w:r>
        <w:rPr>
          <w:rFonts w:ascii="Arial" w:cs="Arial" w:eastAsia="Arial" w:hAnsi="Arial"/>
          <w:sz w:val="54"/>
          <w:szCs w:val="54"/>
          <w:b w:val="1"/>
          <w:bCs w:val="1"/>
          <w:color w:val="auto"/>
        </w:rPr>
        <w:t>STOCKHOLDER PROPOSALS AND NOMINATIONS FOR DIRECTORS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-1228725</wp:posOffset>
            </wp:positionV>
            <wp:extent cx="85725" cy="1212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1212850"/>
                    </a:xfrm>
                    <a:prstGeom prst="rect">
                      <a:avLst/>
                    </a:prstGeom>
                    <a:noFill/>
                  </pic:spPr>
                </pic:pic>
              </a:graphicData>
            </a:graphic>
          </wp:anchor>
        </w:drawing>
      </w:r>
    </w:p>
    <w:p>
      <w:pPr>
        <w:spacing w:after="0" w:line="370" w:lineRule="exact"/>
        <w:rPr>
          <w:sz w:val="20"/>
          <w:szCs w:val="20"/>
          <w:color w:val="auto"/>
        </w:rPr>
      </w:pPr>
    </w:p>
    <w:p>
      <w:pPr>
        <w:ind w:left="140" w:right="20"/>
        <w:spacing w:after="0" w:line="255" w:lineRule="auto"/>
        <w:rPr>
          <w:sz w:val="20"/>
          <w:szCs w:val="20"/>
          <w:color w:val="auto"/>
        </w:rPr>
      </w:pPr>
      <w:r>
        <w:rPr>
          <w:rFonts w:ascii="Arial" w:cs="Arial" w:eastAsia="Arial" w:hAnsi="Arial"/>
          <w:sz w:val="16"/>
          <w:szCs w:val="16"/>
          <w:color w:val="auto"/>
        </w:rPr>
        <w:t>Under Rule 14a-8, any stockholder proposals intended to be presented at the Company’s 2026 Annual Meeting of Stockholders (the “2026 Annual Meeting”) must be received by the Company at 7812 Palm Parkway, Orlando, Florida 32836, Attn: Corporate Secretary, on or before November 27, 2025, to be eligible for inclusion in our Proxy Statement related to our 2026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72" w:lineRule="exact"/>
        <w:rPr>
          <w:sz w:val="20"/>
          <w:szCs w:val="20"/>
          <w:color w:val="auto"/>
        </w:rPr>
      </w:pPr>
    </w:p>
    <w:p>
      <w:pPr>
        <w:jc w:val="both"/>
        <w:ind w:left="140" w:right="180"/>
        <w:spacing w:after="0" w:line="252" w:lineRule="auto"/>
        <w:rPr>
          <w:sz w:val="20"/>
          <w:szCs w:val="20"/>
          <w:color w:val="auto"/>
        </w:rPr>
      </w:pPr>
      <w:r>
        <w:rPr>
          <w:rFonts w:ascii="Arial" w:cs="Arial" w:eastAsia="Arial" w:hAnsi="Arial"/>
          <w:sz w:val="16"/>
          <w:szCs w:val="16"/>
          <w:color w:val="auto"/>
        </w:rPr>
        <w:t>For proposals or director nominations to be considered for presentation at our next annual meeting, but not for inclusion in our Proxy Statement for that meeting, proposals must be delivered with the information required under the Restated Bylaws (which includes information required under Rule 14a-19) to the Company’s Corporate Secretary at its principal executive office not later than 6:00 p.m. Eastern Time on the 90th day nor earlier than 6:00 p.m.</w:t>
      </w:r>
    </w:p>
    <w:p>
      <w:pPr>
        <w:spacing w:after="0" w:line="1" w:lineRule="exact"/>
        <w:rPr>
          <w:sz w:val="20"/>
          <w:szCs w:val="20"/>
          <w:color w:val="auto"/>
        </w:rPr>
      </w:pPr>
    </w:p>
    <w:p>
      <w:pPr>
        <w:ind w:left="140" w:right="60"/>
        <w:spacing w:after="0" w:line="249" w:lineRule="auto"/>
        <w:rPr>
          <w:sz w:val="20"/>
          <w:szCs w:val="20"/>
          <w:color w:val="auto"/>
        </w:rPr>
      </w:pPr>
      <w:r>
        <w:rPr>
          <w:rFonts w:ascii="Arial" w:cs="Arial" w:eastAsia="Arial" w:hAnsi="Arial"/>
          <w:sz w:val="16"/>
          <w:szCs w:val="16"/>
          <w:color w:val="auto"/>
        </w:rPr>
        <w:t>Eastern Time on the 120th day prior to the first anniversary of the preceding year’s annual meeting. For the 2026 Annual Meeting, such nominations or proposals must be delivered to the Corporate Secretary no later than the 6:00 p.m. Eastern Time on February 12, 2026 nor earlier than 6:00 p.m. Eastern Time on January 13, 2026. In the event that the date of the Company’s annual meeting is more than 30 days before or more than 70 days after the first anniversary of the preceding year’s annual meeting, then, to be timely, such stockholder’s notice must be submitted in writing not earlier than 6:00 p.m. Eastern Time on the 120th day prior to such annual meeting and not later than 6:00 p.m. Eastern Time on the later of the 90th day prior to such annual meeting or the 10th day following the date on which public announcement of the date of such meeting is first made by the Company.</w:t>
      </w:r>
    </w:p>
    <w:p>
      <w:pPr>
        <w:spacing w:after="0" w:line="200" w:lineRule="exact"/>
        <w:rPr>
          <w:sz w:val="20"/>
          <w:szCs w:val="20"/>
          <w:color w:val="auto"/>
        </w:rPr>
      </w:pPr>
    </w:p>
    <w:p>
      <w:pPr>
        <w:spacing w:after="0" w:line="222" w:lineRule="exact"/>
        <w:rPr>
          <w:sz w:val="20"/>
          <w:szCs w:val="20"/>
          <w:color w:val="auto"/>
        </w:rPr>
      </w:pPr>
    </w:p>
    <w:p>
      <w:pPr>
        <w:ind w:left="620"/>
        <w:spacing w:after="0"/>
        <w:rPr>
          <w:sz w:val="20"/>
          <w:szCs w:val="20"/>
          <w:color w:val="auto"/>
        </w:rPr>
      </w:pPr>
      <w:r>
        <w:rPr>
          <w:rFonts w:ascii="Arial" w:cs="Arial" w:eastAsia="Arial" w:hAnsi="Arial"/>
          <w:sz w:val="54"/>
          <w:szCs w:val="5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-356235</wp:posOffset>
            </wp:positionV>
            <wp:extent cx="85725" cy="4445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40" w:right="120"/>
        <w:spacing w:after="0" w:line="255" w:lineRule="auto"/>
        <w:rPr>
          <w:sz w:val="20"/>
          <w:szCs w:val="20"/>
          <w:color w:val="auto"/>
        </w:rPr>
      </w:pPr>
      <w:r>
        <w:rPr>
          <w:rFonts w:ascii="Arial" w:cs="Arial" w:eastAsia="Arial" w:hAnsi="Arial"/>
          <w:sz w:val="16"/>
          <w:szCs w:val="16"/>
          <w:color w:val="auto"/>
        </w:rPr>
        <w:t>This Proxy is solicited on behalf of the Board.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72"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7812 Palm Parkway, Orlando, Florida 32836,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43078, Providence, Rhode Island 02940-3078.</w:t>
      </w:r>
    </w:p>
    <w:p>
      <w:pPr>
        <w:spacing w:after="0" w:line="77" w:lineRule="exact"/>
        <w:rPr>
          <w:sz w:val="20"/>
          <w:szCs w:val="20"/>
          <w:color w:val="auto"/>
        </w:rPr>
      </w:pPr>
    </w:p>
    <w:p>
      <w:pPr>
        <w:ind w:left="140" w:right="200"/>
        <w:spacing w:after="0" w:line="262" w:lineRule="auto"/>
        <w:rPr>
          <w:sz w:val="20"/>
          <w:szCs w:val="20"/>
          <w:color w:val="auto"/>
        </w:rPr>
      </w:pPr>
      <w:r>
        <w:rPr>
          <w:rFonts w:ascii="Arial" w:cs="Arial" w:eastAsia="Arial" w:hAnsi="Arial"/>
          <w:sz w:val="16"/>
          <w:szCs w:val="16"/>
          <w:b w:val="1"/>
          <w:bCs w:val="1"/>
          <w:color w:val="auto"/>
        </w:rPr>
        <w:t>Any stockholder who would like a copy of our 2024 Annual Report may obtain one, without charge, by addressing a request to the Corporate Secretary, Marriott Vacations Worldwide Corporation, 7812 Palm Parkway, Orlando, Florida 32836. The Company’s copying costs will be charged if copies of exhibits to the 2024 Annual Report are requested. You may also obtain a copy of the 2024 Annual Report, including exhibits, from the Investor Relations portion of our website (www.marriottvacationsworldwide.com) by clicking on “Financial Information”.</w:t>
      </w:r>
    </w:p>
    <w:p>
      <w:pPr>
        <w:spacing w:after="0" w:line="99" w:lineRule="exact"/>
        <w:rPr>
          <w:sz w:val="20"/>
          <w:szCs w:val="20"/>
          <w:color w:val="auto"/>
        </w:rPr>
      </w:pPr>
    </w:p>
    <w:p>
      <w:pPr>
        <w:ind w:left="140"/>
        <w:spacing w:after="0"/>
        <w:tabs>
          <w:tab w:leader="none" w:pos="3660" w:val="left"/>
          <w:tab w:leader="none" w:pos="7820" w:val="left"/>
        </w:tabs>
        <w:rPr>
          <w:sz w:val="20"/>
          <w:szCs w:val="20"/>
          <w:color w:val="auto"/>
        </w:rPr>
      </w:pPr>
      <w:r>
        <w:rPr>
          <w:rFonts w:ascii="Arial" w:cs="Arial" w:eastAsia="Arial" w:hAnsi="Arial"/>
          <w:sz w:val="11"/>
          <w:szCs w:val="11"/>
          <w:b w:val="1"/>
          <w:bCs w:val="1"/>
          <w:color w:val="003A70"/>
        </w:rPr>
        <w:t>56</w:t>
      </w:r>
      <w:r>
        <w:rPr>
          <w:sz w:val="20"/>
          <w:szCs w:val="20"/>
          <w:color w:val="auto"/>
        </w:rPr>
        <w:tab/>
      </w:r>
      <w:r>
        <w:rPr>
          <w:rFonts w:ascii="Arial" w:cs="Arial" w:eastAsia="Arial" w:hAnsi="Arial"/>
          <w:sz w:val="11"/>
          <w:szCs w:val="11"/>
          <w:color w:val="auto"/>
        </w:rPr>
        <w:t>Stockholder Proposals and Nominations for Directors for the 2026 Annual Meeting</w:t>
      </w:r>
      <w:r>
        <w:rPr>
          <w:sz w:val="20"/>
          <w:szCs w:val="20"/>
          <w:color w:val="auto"/>
        </w:rPr>
        <w:tab/>
      </w:r>
      <w:r>
        <w:rPr>
          <w:rFonts w:ascii="Arial" w:cs="Arial" w:eastAsia="Arial" w:hAnsi="Arial"/>
          <w:sz w:val="10"/>
          <w:szCs w:val="10"/>
          <w:color w:val="auto"/>
        </w:rPr>
        <w:t xml:space="preserve">2025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54"/>
          <w:szCs w:val="5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-356235</wp:posOffset>
            </wp:positionV>
            <wp:extent cx="85725" cy="4445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44450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Reconciliation of Non-GAAP Measures to GAAP Measures (Unaudited)</w:t>
      </w:r>
    </w:p>
    <w:p>
      <w:pPr>
        <w:spacing w:after="0" w:line="102" w:lineRule="exact"/>
        <w:rPr>
          <w:sz w:val="20"/>
          <w:szCs w:val="20"/>
          <w:color w:val="auto"/>
        </w:rPr>
      </w:pPr>
    </w:p>
    <w:p>
      <w:pPr>
        <w:ind w:left="140" w:right="160"/>
        <w:spacing w:after="0" w:line="252" w:lineRule="auto"/>
        <w:rPr>
          <w:sz w:val="20"/>
          <w:szCs w:val="20"/>
          <w:color w:val="auto"/>
        </w:rPr>
      </w:pPr>
      <w:r>
        <w:rPr>
          <w:rFonts w:ascii="Arial" w:cs="Arial" w:eastAsia="Arial" w:hAnsi="Arial"/>
          <w:sz w:val="16"/>
          <w:szCs w:val="16"/>
          <w:color w:val="auto"/>
        </w:rPr>
        <w:t>In this Proxy Statement, we present Adjusted net income attributable to common stockholders, Adjusted diluted earnings per share, EBITDA, and Adjusted EBITDA, financial measures that are not prescribed by GAAP. The tables below reconcile these non-GAAP financial measures to the most directly comparable GAAP financial measure. We evaluate and present these non-GAAP financial measures for the reasons described below. Further, Adjusted EBITDA is one of the financial objectives we use to determine amounts payable under the Bonus Plan to our named executive officers. Please be aware that these non-financial measures have limitations and should not be considered in isolation or as a substitute for any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74" w:lineRule="exact"/>
        <w:rPr>
          <w:sz w:val="20"/>
          <w:szCs w:val="20"/>
          <w:color w:val="auto"/>
        </w:rPr>
      </w:pPr>
    </w:p>
    <w:p>
      <w:pPr>
        <w:ind w:left="140" w:right="40"/>
        <w:spacing w:after="0" w:line="247"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89" w:lineRule="exact"/>
        <w:rPr>
          <w:sz w:val="20"/>
          <w:szCs w:val="20"/>
          <w:color w:val="auto"/>
        </w:rPr>
      </w:pPr>
    </w:p>
    <w:p>
      <w:pPr>
        <w:jc w:val="both"/>
        <w:ind w:left="140" w:right="60"/>
        <w:spacing w:after="0" w:line="265" w:lineRule="auto"/>
        <w:rPr>
          <w:sz w:val="20"/>
          <w:szCs w:val="20"/>
          <w:color w:val="auto"/>
        </w:rPr>
      </w:pPr>
      <w:r>
        <w:rPr>
          <w:rFonts w:ascii="Arial" w:cs="Arial" w:eastAsia="Arial" w:hAnsi="Arial"/>
          <w:sz w:val="16"/>
          <w:szCs w:val="16"/>
          <w:color w:val="auto"/>
        </w:rPr>
        <w:t>Similarly, we believe non-GAAP financial measures including Adjusted net income attributable to common stockholders and Adjusted diluted earnings per share provide useful information to investors because these non-GAAP financial measures facilitate period-over-period comparisons of our ongoing core operations and comparison of our results from our ongoing core operations with results from other companies.</w:t>
      </w:r>
    </w:p>
    <w:p>
      <w:pPr>
        <w:spacing w:after="0" w:line="63" w:lineRule="exact"/>
        <w:rPr>
          <w:sz w:val="20"/>
          <w:szCs w:val="20"/>
          <w:color w:val="auto"/>
        </w:rPr>
      </w:pPr>
    </w:p>
    <w:p>
      <w:pPr>
        <w:ind w:left="140" w:right="940"/>
        <w:spacing w:after="0" w:line="284" w:lineRule="auto"/>
        <w:rPr>
          <w:sz w:val="20"/>
          <w:szCs w:val="20"/>
          <w:color w:val="auto"/>
        </w:rPr>
      </w:pPr>
      <w:r>
        <w:rPr>
          <w:rFonts w:ascii="Arial" w:cs="Arial" w:eastAsia="Arial" w:hAnsi="Arial"/>
          <w:sz w:val="16"/>
          <w:szCs w:val="16"/>
          <w:color w:val="auto"/>
        </w:rPr>
        <w:t>The tables below show our EBITDA and Adjusted EBITDA calculation and reconcile these measures with Net income attributable to common stockholders, which is the most directly comparable GAAP financial measure.</w:t>
      </w:r>
    </w:p>
    <w:p>
      <w:pPr>
        <w:spacing w:after="0" w:line="90" w:lineRule="exact"/>
        <w:rPr>
          <w:sz w:val="20"/>
          <w:szCs w:val="20"/>
          <w:color w:val="auto"/>
        </w:rPr>
      </w:pPr>
    </w:p>
    <w:p>
      <w:pPr>
        <w:ind w:left="140"/>
        <w:spacing w:after="0"/>
        <w:tabs>
          <w:tab w:leader="none" w:pos="5340" w:val="left"/>
          <w:tab w:leader="none" w:pos="1092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003A7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69703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is a reconciliation of Net income attributable to common stockholders to Adjusted net income attributable to common stockholders and</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Adjusted earnings per share - diluted:</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003A70"/>
              </w:rPr>
              <w:t>(in millions, except per share amounts)</w:t>
            </w:r>
          </w:p>
        </w:tc>
        <w:tc>
          <w:tcPr>
            <w:tcW w:w="1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Borders>
              <w:bottom w:val="single" w:sz="8" w:color="003A70"/>
            </w:tcBorders>
          </w:tcPr>
          <w:p>
            <w:pPr>
              <w:spacing w:after="0"/>
              <w:rPr>
                <w:sz w:val="14"/>
                <w:szCs w:val="14"/>
                <w:color w:val="auto"/>
              </w:rPr>
            </w:pPr>
          </w:p>
        </w:tc>
        <w:tc>
          <w:tcPr>
            <w:tcW w:w="90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b w:val="1"/>
                <w:bCs w:val="1"/>
                <w:color w:val="003A70"/>
              </w:rPr>
              <w:t>Fiscal Years</w:t>
            </w:r>
          </w:p>
        </w:tc>
        <w:tc>
          <w:tcPr>
            <w:tcW w:w="54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003A70"/>
            </w:tcBorders>
            <w:gridSpan w:val="2"/>
            <w:vMerge w:val="continue"/>
          </w:tcPr>
          <w:p>
            <w:pPr>
              <w:spacing w:after="0"/>
              <w:rPr>
                <w:sz w:val="13"/>
                <w:szCs w:val="13"/>
                <w:color w:val="auto"/>
              </w:rPr>
            </w:pPr>
          </w:p>
        </w:tc>
        <w:tc>
          <w:tcPr>
            <w:tcW w:w="1600" w:type="dxa"/>
            <w:vAlign w:val="bottom"/>
            <w:tcBorders>
              <w:bottom w:val="single" w:sz="8" w:color="003A70"/>
            </w:tcBorders>
          </w:tcPr>
          <w:p>
            <w:pPr>
              <w:spacing w:after="0"/>
              <w:rPr>
                <w:sz w:val="13"/>
                <w:szCs w:val="13"/>
                <w:color w:val="auto"/>
              </w:rPr>
            </w:pPr>
          </w:p>
        </w:tc>
        <w:tc>
          <w:tcPr>
            <w:tcW w:w="2220" w:type="dxa"/>
            <w:vAlign w:val="bottom"/>
            <w:tcBorders>
              <w:bottom w:val="single" w:sz="8" w:color="003A70"/>
            </w:tcBorders>
          </w:tcPr>
          <w:p>
            <w:pPr>
              <w:spacing w:after="0"/>
              <w:rPr>
                <w:sz w:val="13"/>
                <w:szCs w:val="13"/>
                <w:color w:val="auto"/>
              </w:rPr>
            </w:pPr>
          </w:p>
        </w:tc>
        <w:tc>
          <w:tcPr>
            <w:tcW w:w="580" w:type="dxa"/>
            <w:vAlign w:val="bottom"/>
            <w:tcBorders>
              <w:bottom w:val="single" w:sz="8" w:color="003A70"/>
            </w:tcBorders>
          </w:tcPr>
          <w:p>
            <w:pPr>
              <w:jc w:val="right"/>
              <w:ind w:right="20"/>
              <w:spacing w:after="0" w:line="155" w:lineRule="exact"/>
              <w:rPr>
                <w:sz w:val="20"/>
                <w:szCs w:val="20"/>
                <w:color w:val="auto"/>
              </w:rPr>
            </w:pPr>
            <w:r>
              <w:rPr>
                <w:rFonts w:ascii="Arial" w:cs="Arial" w:eastAsia="Arial" w:hAnsi="Arial"/>
                <w:sz w:val="14"/>
                <w:szCs w:val="14"/>
                <w:b w:val="1"/>
                <w:bCs w:val="1"/>
                <w:color w:val="003A70"/>
              </w:rPr>
              <w:t>2024</w:t>
            </w:r>
          </w:p>
        </w:tc>
        <w:tc>
          <w:tcPr>
            <w:tcW w:w="740" w:type="dxa"/>
            <w:vAlign w:val="bottom"/>
            <w:tcBorders>
              <w:bottom w:val="single" w:sz="8" w:color="003A70"/>
            </w:tcBorders>
          </w:tcPr>
          <w:p>
            <w:pPr>
              <w:jc w:val="right"/>
              <w:ind w:right="120"/>
              <w:spacing w:after="0" w:line="155" w:lineRule="exact"/>
              <w:rPr>
                <w:sz w:val="20"/>
                <w:szCs w:val="20"/>
                <w:color w:val="auto"/>
              </w:rPr>
            </w:pPr>
            <w:r>
              <w:rPr>
                <w:rFonts w:ascii="Arial" w:cs="Arial" w:eastAsia="Arial" w:hAnsi="Arial"/>
                <w:sz w:val="14"/>
                <w:szCs w:val="14"/>
                <w:b w:val="1"/>
                <w:bCs w:val="1"/>
                <w:color w:val="003A70"/>
              </w:rPr>
              <w:t>2023</w:t>
            </w:r>
          </w:p>
        </w:tc>
        <w:tc>
          <w:tcPr>
            <w:tcW w:w="160" w:type="dxa"/>
            <w:vAlign w:val="bottom"/>
            <w:tcBorders>
              <w:bottom w:val="single" w:sz="8" w:color="003A70"/>
            </w:tcBorders>
          </w:tcPr>
          <w:p>
            <w:pPr>
              <w:spacing w:after="0"/>
              <w:rPr>
                <w:sz w:val="13"/>
                <w:szCs w:val="13"/>
                <w:color w:val="auto"/>
              </w:rPr>
            </w:pPr>
          </w:p>
        </w:tc>
        <w:tc>
          <w:tcPr>
            <w:tcW w:w="540" w:type="dxa"/>
            <w:vAlign w:val="bottom"/>
            <w:tcBorders>
              <w:bottom w:val="single" w:sz="8" w:color="003A70"/>
            </w:tcBorders>
          </w:tcPr>
          <w:p>
            <w:pPr>
              <w:jc w:val="right"/>
              <w:ind w:right="140"/>
              <w:spacing w:after="0" w:line="155" w:lineRule="exact"/>
              <w:rPr>
                <w:sz w:val="20"/>
                <w:szCs w:val="20"/>
                <w:color w:val="auto"/>
              </w:rPr>
            </w:pPr>
            <w:r>
              <w:rPr>
                <w:rFonts w:ascii="Arial" w:cs="Arial" w:eastAsia="Arial" w:hAnsi="Arial"/>
                <w:sz w:val="14"/>
                <w:szCs w:val="14"/>
                <w:b w:val="1"/>
                <w:bCs w:val="1"/>
                <w:color w:val="003A70"/>
                <w:w w:val="96"/>
              </w:rPr>
              <w:t>2022</w:t>
            </w:r>
          </w:p>
        </w:tc>
        <w:tc>
          <w:tcPr>
            <w:tcW w:w="0" w:type="dxa"/>
            <w:vAlign w:val="bottom"/>
          </w:tcPr>
          <w:p>
            <w:pPr>
              <w:spacing w:after="0"/>
              <w:rPr>
                <w:sz w:val="1"/>
                <w:szCs w:val="1"/>
                <w:color w:val="auto"/>
              </w:rPr>
            </w:pPr>
          </w:p>
        </w:tc>
      </w:tr>
      <w:tr>
        <w:trPr>
          <w:trHeight w:val="168"/>
        </w:trPr>
        <w:tc>
          <w:tcPr>
            <w:tcW w:w="5140" w:type="dxa"/>
            <w:vAlign w:val="bottom"/>
            <w:gridSpan w:val="2"/>
          </w:tcPr>
          <w:p>
            <w:pPr>
              <w:spacing w:after="0" w:line="168" w:lineRule="exact"/>
              <w:rPr>
                <w:sz w:val="20"/>
                <w:szCs w:val="20"/>
                <w:color w:val="auto"/>
              </w:rPr>
            </w:pPr>
            <w:r>
              <w:rPr>
                <w:rFonts w:ascii="Arial" w:cs="Arial" w:eastAsia="Arial" w:hAnsi="Arial"/>
                <w:sz w:val="16"/>
                <w:szCs w:val="16"/>
                <w:color w:val="auto"/>
              </w:rPr>
              <w:t>Net income attributable to common stockholders</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$ 218</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$ 254</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Provision for income taxes</w:t>
            </w:r>
          </w:p>
        </w:tc>
        <w:tc>
          <w:tcPr>
            <w:tcW w:w="1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spacing w:after="0" w:line="168" w:lineRule="exact"/>
              <w:rPr>
                <w:sz w:val="20"/>
                <w:szCs w:val="20"/>
                <w:color w:val="auto"/>
              </w:rPr>
            </w:pPr>
            <w:r>
              <w:rPr>
                <w:rFonts w:ascii="Arial" w:cs="Arial" w:eastAsia="Arial" w:hAnsi="Arial"/>
                <w:sz w:val="16"/>
                <w:szCs w:val="16"/>
                <w:color w:val="auto"/>
              </w:rPr>
              <w:t>Income before income taxes attributable to common stockholders</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307</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400</w:t>
            </w:r>
          </w:p>
        </w:tc>
        <w:tc>
          <w:tcPr>
            <w:tcW w:w="160" w:type="dxa"/>
            <w:vAlign w:val="bottom"/>
          </w:tcPr>
          <w:p>
            <w:pPr>
              <w:spacing w:after="0"/>
              <w:rPr>
                <w:sz w:val="14"/>
                <w:szCs w:val="14"/>
                <w:color w:val="auto"/>
              </w:rPr>
            </w:pP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88"/>
        </w:trPr>
        <w:tc>
          <w:tcPr>
            <w:tcW w:w="5140" w:type="dxa"/>
            <w:vAlign w:val="bottom"/>
            <w:gridSpan w:val="2"/>
          </w:tcPr>
          <w:p>
            <w:pPr>
              <w:spacing w:after="0"/>
              <w:rPr>
                <w:sz w:val="20"/>
                <w:szCs w:val="20"/>
                <w:color w:val="auto"/>
              </w:rPr>
            </w:pPr>
            <w:r>
              <w:rPr>
                <w:rFonts w:ascii="Arial" w:cs="Arial" w:eastAsia="Arial" w:hAnsi="Arial"/>
                <w:sz w:val="16"/>
                <w:szCs w:val="16"/>
                <w:color w:val="auto"/>
              </w:rPr>
              <w:t>Certain items: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ILG integration</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Welk acquisition and integration</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Other transformation initiatives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transaction costs</w:t>
            </w:r>
          </w:p>
        </w:tc>
        <w:tc>
          <w:tcPr>
            <w:tcW w:w="1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spacing w:after="0" w:line="168" w:lineRule="exact"/>
              <w:rPr>
                <w:sz w:val="20"/>
                <w:szCs w:val="20"/>
                <w:color w:val="auto"/>
              </w:rPr>
            </w:pPr>
            <w:r>
              <w:rPr>
                <w:rFonts w:ascii="Arial" w:cs="Arial" w:eastAsia="Arial" w:hAnsi="Arial"/>
                <w:sz w:val="16"/>
                <w:szCs w:val="16"/>
                <w:color w:val="auto"/>
              </w:rPr>
              <w:t>Transaction and integration costs</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18</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37</w:t>
            </w:r>
          </w:p>
        </w:tc>
        <w:tc>
          <w:tcPr>
            <w:tcW w:w="160" w:type="dxa"/>
            <w:vAlign w:val="bottom"/>
          </w:tcPr>
          <w:p>
            <w:pPr>
              <w:spacing w:after="0"/>
              <w:rPr>
                <w:sz w:val="14"/>
                <w:szCs w:val="14"/>
                <w:color w:val="auto"/>
              </w:rPr>
            </w:pP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Early redemption of senior secured notes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Gain on disposition of hotel, land, and other</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Gain on disposition of VRI Americas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Foreign currency translation loss (gain)</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Insurance proceeds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Change in indemnification asset</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Change in estimates relating to pre-acquisition contingencies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140"/>
              <w:spacing w:after="0" w:line="168" w:lineRule="exact"/>
              <w:rPr>
                <w:sz w:val="20"/>
                <w:szCs w:val="20"/>
                <w:color w:val="auto"/>
              </w:rPr>
            </w:pPr>
            <w:r>
              <w:rPr>
                <w:rFonts w:ascii="Arial" w:cs="Arial" w:eastAsia="Arial" w:hAnsi="Arial"/>
                <w:sz w:val="16"/>
                <w:szCs w:val="16"/>
                <w:color w:val="auto"/>
              </w:rPr>
              <w:t>Losses (gains) and other expense (income), net</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w:t>
            </w:r>
          </w:p>
        </w:tc>
        <w:tc>
          <w:tcPr>
            <w:tcW w:w="74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Purchase accounting adjustments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Litigation charges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60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Early termination of VRI management contract</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Change in estimate relating to pre-acquisition contingencies</w:t>
            </w:r>
          </w:p>
        </w:tc>
        <w:tc>
          <w:tcPr>
            <w:tcW w:w="1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spacing w:after="0" w:line="168" w:lineRule="exact"/>
              <w:rPr>
                <w:sz w:val="20"/>
                <w:szCs w:val="20"/>
                <w:color w:val="auto"/>
              </w:rPr>
            </w:pPr>
            <w:r>
              <w:rPr>
                <w:rFonts w:ascii="Arial" w:cs="Arial" w:eastAsia="Arial" w:hAnsi="Arial"/>
                <w:sz w:val="16"/>
                <w:szCs w:val="16"/>
                <w:color w:val="auto"/>
              </w:rPr>
              <w:t>Adjusted pretax income</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386</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450</w:t>
            </w:r>
          </w:p>
        </w:tc>
        <w:tc>
          <w:tcPr>
            <w:tcW w:w="160" w:type="dxa"/>
            <w:vAlign w:val="bottom"/>
          </w:tcPr>
          <w:p>
            <w:pPr>
              <w:spacing w:after="0"/>
              <w:rPr>
                <w:sz w:val="14"/>
                <w:szCs w:val="14"/>
                <w:color w:val="auto"/>
              </w:rPr>
            </w:pP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2"/>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Provision for income taxes</w:t>
            </w:r>
          </w:p>
        </w:tc>
        <w:tc>
          <w:tcPr>
            <w:tcW w:w="1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6"/>
                <w:szCs w:val="16"/>
                <w:color w:val="auto"/>
              </w:rPr>
              <w:t>Adjusted net income attributable to common stockholders</w:t>
            </w:r>
          </w:p>
        </w:tc>
        <w:tc>
          <w:tcPr>
            <w:tcW w:w="16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rPr>
              <w:t>$ 258</w:t>
            </w:r>
          </w:p>
        </w:tc>
        <w:tc>
          <w:tcPr>
            <w:tcW w:w="74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6"/>
                <w:szCs w:val="16"/>
                <w:color w:val="auto"/>
              </w:rPr>
              <w:t>$ 322</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line="182" w:lineRule="exact"/>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68"/>
        </w:trPr>
        <w:tc>
          <w:tcPr>
            <w:tcW w:w="5140" w:type="dxa"/>
            <w:vAlign w:val="bottom"/>
            <w:gridSpan w:val="2"/>
          </w:tcPr>
          <w:p>
            <w:pPr>
              <w:spacing w:after="0" w:line="168" w:lineRule="exact"/>
              <w:rPr>
                <w:sz w:val="20"/>
                <w:szCs w:val="20"/>
                <w:color w:val="auto"/>
              </w:rPr>
            </w:pPr>
            <w:r>
              <w:rPr>
                <w:rFonts w:ascii="Arial" w:cs="Arial" w:eastAsia="Arial" w:hAnsi="Arial"/>
                <w:sz w:val="16"/>
                <w:szCs w:val="16"/>
                <w:color w:val="auto"/>
              </w:rPr>
              <w:t>Diluted shares</w:t>
            </w:r>
          </w:p>
        </w:tc>
        <w:tc>
          <w:tcPr>
            <w:tcW w:w="160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42.1</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43.5</w:t>
            </w:r>
          </w:p>
        </w:tc>
        <w:tc>
          <w:tcPr>
            <w:tcW w:w="160" w:type="dxa"/>
            <w:vAlign w:val="bottom"/>
          </w:tcPr>
          <w:p>
            <w:pPr>
              <w:spacing w:after="0"/>
              <w:rPr>
                <w:sz w:val="14"/>
                <w:szCs w:val="14"/>
                <w:color w:val="auto"/>
              </w:rPr>
            </w:pP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4"/>
        </w:trPr>
        <w:tc>
          <w:tcPr>
            <w:tcW w:w="5140" w:type="dxa"/>
            <w:vAlign w:val="bottom"/>
            <w:gridSpan w:val="2"/>
          </w:tcPr>
          <w:p>
            <w:pPr>
              <w:spacing w:after="0"/>
              <w:rPr>
                <w:sz w:val="20"/>
                <w:szCs w:val="20"/>
                <w:color w:val="auto"/>
              </w:rPr>
            </w:pPr>
            <w:r>
              <w:rPr>
                <w:rFonts w:ascii="Arial" w:cs="Arial" w:eastAsia="Arial" w:hAnsi="Arial"/>
                <w:sz w:val="16"/>
                <w:szCs w:val="16"/>
                <w:color w:val="auto"/>
              </w:rPr>
              <w:t>Adjusted earnings per share - Diluted</w:t>
            </w:r>
          </w:p>
        </w:tc>
        <w:tc>
          <w:tcPr>
            <w:tcW w:w="160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$ 6.56</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$ 7.83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10.26</w:t>
            </w:r>
          </w:p>
        </w:tc>
        <w:tc>
          <w:tcPr>
            <w:tcW w:w="0" w:type="dxa"/>
            <w:vAlign w:val="bottom"/>
          </w:tcPr>
          <w:p>
            <w:pPr>
              <w:spacing w:after="0"/>
              <w:rPr>
                <w:sz w:val="1"/>
                <w:szCs w:val="1"/>
                <w:color w:val="auto"/>
              </w:rPr>
            </w:pPr>
          </w:p>
        </w:tc>
      </w:tr>
      <w:tr>
        <w:trPr>
          <w:trHeight w:val="257"/>
        </w:trPr>
        <w:tc>
          <w:tcPr>
            <w:tcW w:w="514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A-2</w:t>
            </w:r>
          </w:p>
        </w:tc>
        <w:tc>
          <w:tcPr>
            <w:tcW w:w="1600" w:type="dxa"/>
            <w:vAlign w:val="bottom"/>
            <w:tcBorders>
              <w:bottom w:val="single" w:sz="8" w:color="003A70"/>
            </w:tcBorders>
          </w:tcPr>
          <w:p>
            <w:pPr>
              <w:ind w:left="80"/>
              <w:spacing w:after="0"/>
              <w:rPr>
                <w:sz w:val="20"/>
                <w:szCs w:val="20"/>
                <w:color w:val="auto"/>
              </w:rPr>
            </w:pPr>
            <w:r>
              <w:rPr>
                <w:rFonts w:ascii="Arial" w:cs="Arial" w:eastAsia="Arial" w:hAnsi="Arial"/>
                <w:sz w:val="11"/>
                <w:szCs w:val="11"/>
                <w:color w:val="auto"/>
              </w:rPr>
              <w:t>Appendix A</w:t>
            </w:r>
          </w:p>
        </w:tc>
        <w:tc>
          <w:tcPr>
            <w:tcW w:w="4240" w:type="dxa"/>
            <w:vAlign w:val="bottom"/>
            <w:tcBorders>
              <w:bottom w:val="single" w:sz="8" w:color="003A70"/>
            </w:tcBorders>
            <w:gridSpan w:val="5"/>
          </w:tcPr>
          <w:p>
            <w:pPr>
              <w:jc w:val="right"/>
              <w:spacing w:after="0"/>
              <w:rPr>
                <w:sz w:val="20"/>
                <w:szCs w:val="20"/>
                <w:color w:val="auto"/>
              </w:rPr>
            </w:pPr>
            <w:r>
              <w:rPr>
                <w:rFonts w:ascii="Arial" w:cs="Arial" w:eastAsia="Arial" w:hAnsi="Arial"/>
                <w:sz w:val="11"/>
                <w:szCs w:val="11"/>
                <w:color w:val="auto"/>
              </w:rPr>
              <w:t xml:space="preserve">2025 PROXY STATEMENT </w:t>
            </w:r>
            <w:r>
              <w:rPr>
                <w:rFonts w:ascii="Arial" w:cs="Arial" w:eastAsia="Arial" w:hAnsi="Arial"/>
                <w:sz w:val="11"/>
                <w:szCs w:val="11"/>
                <w:b w:val="1"/>
                <w:bCs w:val="1"/>
                <w:color w:val="003A70"/>
              </w:rPr>
              <w:t>MARRIOTT VACATIONS WORLDWIDE</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0"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is a reconciliation of Net income attributable to common stockholders to EBITDA and Adjusted EBITDA:</w:t>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003A70"/>
              </w:rPr>
              <w:t>(in millions)</w:t>
            </w:r>
          </w:p>
        </w:tc>
        <w:tc>
          <w:tcPr>
            <w:tcW w:w="3740" w:type="dxa"/>
            <w:vAlign w:val="bottom"/>
          </w:tcPr>
          <w:p>
            <w:pPr>
              <w:spacing w:after="0"/>
              <w:rPr>
                <w:sz w:val="14"/>
                <w:szCs w:val="14"/>
                <w:color w:val="auto"/>
              </w:rPr>
            </w:pPr>
          </w:p>
        </w:tc>
        <w:tc>
          <w:tcPr>
            <w:tcW w:w="660" w:type="dxa"/>
            <w:vAlign w:val="bottom"/>
            <w:tcBorders>
              <w:bottom w:val="single" w:sz="8" w:color="003A70"/>
            </w:tcBorders>
          </w:tcPr>
          <w:p>
            <w:pPr>
              <w:spacing w:after="0"/>
              <w:rPr>
                <w:sz w:val="14"/>
                <w:szCs w:val="14"/>
                <w:color w:val="auto"/>
              </w:rPr>
            </w:pPr>
          </w:p>
        </w:tc>
        <w:tc>
          <w:tcPr>
            <w:tcW w:w="900" w:type="dxa"/>
            <w:vAlign w:val="bottom"/>
            <w:tcBorders>
              <w:bottom w:val="single" w:sz="8" w:color="003A70"/>
            </w:tcBorders>
          </w:tcPr>
          <w:p>
            <w:pPr>
              <w:jc w:val="right"/>
              <w:spacing w:after="0"/>
              <w:rPr>
                <w:sz w:val="20"/>
                <w:szCs w:val="20"/>
                <w:color w:val="auto"/>
              </w:rPr>
            </w:pPr>
            <w:r>
              <w:rPr>
                <w:rFonts w:ascii="Arial" w:cs="Arial" w:eastAsia="Arial" w:hAnsi="Arial"/>
                <w:sz w:val="14"/>
                <w:szCs w:val="14"/>
                <w:b w:val="1"/>
                <w:bCs w:val="1"/>
                <w:color w:val="003A70"/>
              </w:rPr>
              <w:t>Fiscal Years</w:t>
            </w:r>
          </w:p>
        </w:tc>
        <w:tc>
          <w:tcPr>
            <w:tcW w:w="54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003A70"/>
            </w:tcBorders>
            <w:gridSpan w:val="2"/>
            <w:vMerge w:val="continue"/>
          </w:tcPr>
          <w:p>
            <w:pPr>
              <w:spacing w:after="0"/>
              <w:rPr>
                <w:sz w:val="13"/>
                <w:szCs w:val="13"/>
                <w:color w:val="auto"/>
              </w:rPr>
            </w:pPr>
          </w:p>
        </w:tc>
        <w:tc>
          <w:tcPr>
            <w:tcW w:w="3740" w:type="dxa"/>
            <w:vAlign w:val="bottom"/>
            <w:tcBorders>
              <w:bottom w:val="single" w:sz="8" w:color="003A70"/>
            </w:tcBorders>
          </w:tcPr>
          <w:p>
            <w:pPr>
              <w:spacing w:after="0"/>
              <w:rPr>
                <w:sz w:val="13"/>
                <w:szCs w:val="13"/>
                <w:color w:val="auto"/>
              </w:rPr>
            </w:pPr>
          </w:p>
        </w:tc>
        <w:tc>
          <w:tcPr>
            <w:tcW w:w="660" w:type="dxa"/>
            <w:vAlign w:val="bottom"/>
            <w:tcBorders>
              <w:bottom w:val="single" w:sz="8" w:color="003A70"/>
            </w:tcBorders>
          </w:tcPr>
          <w:p>
            <w:pPr>
              <w:jc w:val="right"/>
              <w:ind w:right="20"/>
              <w:spacing w:after="0" w:line="155" w:lineRule="exact"/>
              <w:rPr>
                <w:sz w:val="20"/>
                <w:szCs w:val="20"/>
                <w:color w:val="auto"/>
              </w:rPr>
            </w:pPr>
            <w:r>
              <w:rPr>
                <w:rFonts w:ascii="Arial" w:cs="Arial" w:eastAsia="Arial" w:hAnsi="Arial"/>
                <w:sz w:val="14"/>
                <w:szCs w:val="14"/>
                <w:b w:val="1"/>
                <w:bCs w:val="1"/>
                <w:color w:val="003A70"/>
              </w:rPr>
              <w:t>2024</w:t>
            </w:r>
          </w:p>
        </w:tc>
        <w:tc>
          <w:tcPr>
            <w:tcW w:w="900" w:type="dxa"/>
            <w:vAlign w:val="bottom"/>
            <w:tcBorders>
              <w:bottom w:val="single" w:sz="8" w:color="003A70"/>
            </w:tcBorders>
          </w:tcPr>
          <w:p>
            <w:pPr>
              <w:jc w:val="right"/>
              <w:ind w:right="220"/>
              <w:spacing w:after="0" w:line="155" w:lineRule="exact"/>
              <w:rPr>
                <w:sz w:val="20"/>
                <w:szCs w:val="20"/>
                <w:color w:val="auto"/>
              </w:rPr>
            </w:pPr>
            <w:r>
              <w:rPr>
                <w:rFonts w:ascii="Arial" w:cs="Arial" w:eastAsia="Arial" w:hAnsi="Arial"/>
                <w:sz w:val="14"/>
                <w:szCs w:val="14"/>
                <w:b w:val="1"/>
                <w:bCs w:val="1"/>
                <w:color w:val="003A70"/>
              </w:rPr>
              <w:t>2023</w:t>
            </w:r>
          </w:p>
        </w:tc>
        <w:tc>
          <w:tcPr>
            <w:tcW w:w="540" w:type="dxa"/>
            <w:vAlign w:val="bottom"/>
            <w:tcBorders>
              <w:bottom w:val="single" w:sz="8" w:color="003A70"/>
            </w:tcBorders>
          </w:tcPr>
          <w:p>
            <w:pPr>
              <w:jc w:val="right"/>
              <w:ind w:right="60"/>
              <w:spacing w:after="0" w:line="155" w:lineRule="exact"/>
              <w:rPr>
                <w:sz w:val="20"/>
                <w:szCs w:val="20"/>
                <w:color w:val="auto"/>
              </w:rPr>
            </w:pPr>
            <w:r>
              <w:rPr>
                <w:rFonts w:ascii="Arial" w:cs="Arial" w:eastAsia="Arial" w:hAnsi="Arial"/>
                <w:sz w:val="14"/>
                <w:szCs w:val="14"/>
                <w:b w:val="1"/>
                <w:bCs w:val="1"/>
                <w:color w:val="003A70"/>
              </w:rPr>
              <w:t>2022</w:t>
            </w:r>
          </w:p>
        </w:tc>
        <w:tc>
          <w:tcPr>
            <w:tcW w:w="0" w:type="dxa"/>
            <w:vAlign w:val="bottom"/>
          </w:tcPr>
          <w:p>
            <w:pPr>
              <w:spacing w:after="0"/>
              <w:rPr>
                <w:sz w:val="1"/>
                <w:szCs w:val="1"/>
                <w:color w:val="auto"/>
              </w:rPr>
            </w:pPr>
          </w:p>
        </w:tc>
      </w:tr>
      <w:tr>
        <w:trPr>
          <w:trHeight w:val="168"/>
        </w:trPr>
        <w:tc>
          <w:tcPr>
            <w:tcW w:w="5140" w:type="dxa"/>
            <w:vAlign w:val="bottom"/>
            <w:gridSpan w:val="2"/>
          </w:tcPr>
          <w:p>
            <w:pPr>
              <w:spacing w:after="0" w:line="168" w:lineRule="exact"/>
              <w:rPr>
                <w:sz w:val="20"/>
                <w:szCs w:val="20"/>
                <w:color w:val="auto"/>
              </w:rPr>
            </w:pPr>
            <w:r>
              <w:rPr>
                <w:rFonts w:ascii="Arial" w:cs="Arial" w:eastAsia="Arial" w:hAnsi="Arial"/>
                <w:sz w:val="16"/>
                <w:szCs w:val="16"/>
                <w:color w:val="auto"/>
              </w:rPr>
              <w:t>Net income attributable to common stockholders</w:t>
            </w:r>
          </w:p>
        </w:tc>
        <w:tc>
          <w:tcPr>
            <w:tcW w:w="3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6"/>
                <w:szCs w:val="16"/>
                <w:color w:val="auto"/>
              </w:rPr>
              <w:t>$ 218</w:t>
            </w:r>
          </w:p>
        </w:tc>
        <w:tc>
          <w:tcPr>
            <w:tcW w:w="90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$ 254</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w w:val="99"/>
              </w:rPr>
              <w:t>$ 391</w:t>
            </w:r>
          </w:p>
        </w:tc>
        <w:tc>
          <w:tcPr>
            <w:tcW w:w="0" w:type="dxa"/>
            <w:vAlign w:val="bottom"/>
          </w:tcPr>
          <w:p>
            <w:pPr>
              <w:spacing w:after="0"/>
              <w:rPr>
                <w:sz w:val="1"/>
                <w:szCs w:val="1"/>
                <w:color w:val="auto"/>
              </w:rPr>
            </w:pPr>
          </w:p>
        </w:tc>
      </w:tr>
      <w:tr>
        <w:trPr>
          <w:trHeight w:val="188"/>
        </w:trPr>
        <w:tc>
          <w:tcPr>
            <w:tcW w:w="514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145</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8"/>
        </w:trPr>
        <w:tc>
          <w:tcPr>
            <w:tcW w:w="514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146</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2"/>
        </w:trPr>
        <w:tc>
          <w:tcPr>
            <w:tcW w:w="51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7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135</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tcBorders>
              <w:top w:val="single" w:sz="8" w:color="auto"/>
              <w:bottom w:val="single" w:sz="8" w:color="auto"/>
            </w:tcBorders>
          </w:tcPr>
          <w:p>
            <w:pPr>
              <w:ind w:left="140"/>
              <w:spacing w:after="0" w:line="182" w:lineRule="exact"/>
              <w:rPr>
                <w:sz w:val="20"/>
                <w:szCs w:val="20"/>
                <w:color w:val="auto"/>
              </w:rPr>
            </w:pPr>
            <w:r>
              <w:rPr>
                <w:rFonts w:ascii="Arial" w:cs="Arial" w:eastAsia="Arial" w:hAnsi="Arial"/>
                <w:sz w:val="16"/>
                <w:szCs w:val="16"/>
                <w:color w:val="auto"/>
              </w:rPr>
              <w:t>EBITDA</w:t>
            </w:r>
          </w:p>
        </w:tc>
        <w:tc>
          <w:tcPr>
            <w:tcW w:w="37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615</w:t>
            </w:r>
          </w:p>
        </w:tc>
        <w:tc>
          <w:tcPr>
            <w:tcW w:w="900" w:type="dxa"/>
            <w:vAlign w:val="bottom"/>
            <w:tcBorders>
              <w:top w:val="single" w:sz="8" w:color="auto"/>
              <w:bottom w:val="single" w:sz="8" w:color="auto"/>
            </w:tcBorders>
          </w:tcPr>
          <w:p>
            <w:pPr>
              <w:jc w:val="right"/>
              <w:ind w:right="200"/>
              <w:spacing w:after="0" w:line="182" w:lineRule="exact"/>
              <w:rPr>
                <w:sz w:val="20"/>
                <w:szCs w:val="20"/>
                <w:color w:val="auto"/>
              </w:rPr>
            </w:pPr>
            <w:r>
              <w:rPr>
                <w:rFonts w:ascii="Arial" w:cs="Arial" w:eastAsia="Arial" w:hAnsi="Arial"/>
                <w:sz w:val="16"/>
                <w:szCs w:val="16"/>
                <w:color w:val="auto"/>
              </w:rPr>
              <w:t>680</w:t>
            </w:r>
          </w:p>
        </w:tc>
        <w:tc>
          <w:tcPr>
            <w:tcW w:w="540" w:type="dxa"/>
            <w:vAlign w:val="bottom"/>
            <w:tcBorders>
              <w:top w:val="single" w:sz="8" w:color="auto"/>
              <w:bottom w:val="single" w:sz="8" w:color="auto"/>
            </w:tcBorders>
          </w:tcPr>
          <w:p>
            <w:pPr>
              <w:jc w:val="right"/>
              <w:ind w:right="40"/>
              <w:spacing w:after="0" w:line="182" w:lineRule="exact"/>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spacing w:after="0" w:line="168" w:lineRule="exact"/>
              <w:rPr>
                <w:sz w:val="20"/>
                <w:szCs w:val="20"/>
                <w:color w:val="auto"/>
              </w:rPr>
            </w:pPr>
            <w:r>
              <w:rPr>
                <w:rFonts w:ascii="Arial" w:cs="Arial" w:eastAsia="Arial" w:hAnsi="Arial"/>
                <w:sz w:val="16"/>
                <w:szCs w:val="16"/>
                <w:color w:val="auto"/>
              </w:rPr>
              <w:t>Share-based compensation</w:t>
            </w:r>
          </w:p>
        </w:tc>
        <w:tc>
          <w:tcPr>
            <w:tcW w:w="3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6"/>
                <w:szCs w:val="16"/>
                <w:color w:val="auto"/>
              </w:rPr>
              <w:t>33</w:t>
            </w:r>
          </w:p>
        </w:tc>
        <w:tc>
          <w:tcPr>
            <w:tcW w:w="90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31</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ILG integration</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15</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Welk acquisition and integration</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22</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Other transformation initiatives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transaction costs</w:t>
            </w:r>
          </w:p>
        </w:tc>
        <w:tc>
          <w:tcPr>
            <w:tcW w:w="3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140"/>
              <w:spacing w:after="0" w:line="168" w:lineRule="exact"/>
              <w:rPr>
                <w:sz w:val="20"/>
                <w:szCs w:val="20"/>
                <w:color w:val="auto"/>
              </w:rPr>
            </w:pPr>
            <w:r>
              <w:rPr>
                <w:rFonts w:ascii="Arial" w:cs="Arial" w:eastAsia="Arial" w:hAnsi="Arial"/>
                <w:sz w:val="16"/>
                <w:szCs w:val="16"/>
                <w:color w:val="auto"/>
              </w:rPr>
              <w:t>Transaction and integration costs</w:t>
            </w:r>
          </w:p>
        </w:tc>
        <w:tc>
          <w:tcPr>
            <w:tcW w:w="3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6"/>
                <w:szCs w:val="16"/>
                <w:color w:val="auto"/>
              </w:rPr>
              <w:t>18</w:t>
            </w:r>
          </w:p>
        </w:tc>
        <w:tc>
          <w:tcPr>
            <w:tcW w:w="90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37</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Early redemption of senior secured notes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Gain on disposition of hotel, land, and other</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Gain on disposition of VRI Americas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Foreign currency translation loss (gain)</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Insurance proceeds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Change in indemnification asset</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(31)</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Change in estimates relating to pre-acquisition contingencies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w:t>
            </w:r>
          </w:p>
        </w:tc>
        <w:tc>
          <w:tcPr>
            <w:tcW w:w="3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140"/>
              <w:spacing w:after="0" w:line="168" w:lineRule="exact"/>
              <w:rPr>
                <w:sz w:val="20"/>
                <w:szCs w:val="20"/>
                <w:color w:val="auto"/>
              </w:rPr>
            </w:pPr>
            <w:r>
              <w:rPr>
                <w:rFonts w:ascii="Arial" w:cs="Arial" w:eastAsia="Arial" w:hAnsi="Arial"/>
                <w:sz w:val="16"/>
                <w:szCs w:val="16"/>
                <w:color w:val="auto"/>
              </w:rPr>
              <w:t>Losses (gains) and other expense (income), net</w:t>
            </w:r>
          </w:p>
        </w:tc>
        <w:tc>
          <w:tcPr>
            <w:tcW w:w="3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900" w:type="dxa"/>
            <w:vAlign w:val="bottom"/>
          </w:tcPr>
          <w:p>
            <w:pPr>
              <w:jc w:val="right"/>
              <w:ind w:right="140"/>
              <w:spacing w:after="0" w:line="168" w:lineRule="exact"/>
              <w:rPr>
                <w:sz w:val="20"/>
                <w:szCs w:val="20"/>
                <w:color w:val="auto"/>
              </w:rPr>
            </w:pPr>
            <w:r>
              <w:rPr>
                <w:rFonts w:ascii="Arial" w:cs="Arial" w:eastAsia="Arial" w:hAnsi="Arial"/>
                <w:sz w:val="16"/>
                <w:szCs w:val="16"/>
                <w:color w:val="auto"/>
              </w:rPr>
              <w:t>(47)</w:t>
            </w:r>
          </w:p>
        </w:tc>
        <w:tc>
          <w:tcPr>
            <w:tcW w:w="54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Purchase accounting adjustments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Litigation charges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32</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Early termination of VRI management contract</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auto"/>
              </w:rPr>
              <w:t>Change in estimate relating to pre-acquisition contingencies</w:t>
            </w:r>
          </w:p>
        </w:tc>
        <w:tc>
          <w:tcPr>
            <w:tcW w:w="3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3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tcBorders>
              <w:bottom w:val="single" w:sz="8" w:color="003A70"/>
            </w:tcBorders>
          </w:tcPr>
          <w:p>
            <w:pPr>
              <w:ind w:left="140"/>
              <w:spacing w:after="0" w:line="182" w:lineRule="exact"/>
              <w:rPr>
                <w:sz w:val="20"/>
                <w:szCs w:val="20"/>
                <w:color w:val="auto"/>
              </w:rPr>
            </w:pPr>
            <w:r>
              <w:rPr>
                <w:rFonts w:ascii="Arial" w:cs="Arial" w:eastAsia="Arial" w:hAnsi="Arial"/>
                <w:sz w:val="16"/>
                <w:szCs w:val="16"/>
                <w:color w:val="auto"/>
              </w:rPr>
              <w:t>Adjusted EBITDA</w:t>
            </w:r>
          </w:p>
        </w:tc>
        <w:tc>
          <w:tcPr>
            <w:tcW w:w="3740" w:type="dxa"/>
            <w:vAlign w:val="bottom"/>
            <w:tcBorders>
              <w:bottom w:val="single" w:sz="8" w:color="003A70"/>
            </w:tcBorders>
          </w:tcPr>
          <w:p>
            <w:pPr>
              <w:spacing w:after="0"/>
              <w:rPr>
                <w:sz w:val="15"/>
                <w:szCs w:val="15"/>
                <w:color w:val="auto"/>
              </w:rPr>
            </w:pPr>
          </w:p>
        </w:tc>
        <w:tc>
          <w:tcPr>
            <w:tcW w:w="66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color w:val="auto"/>
              </w:rPr>
              <w:t>$ 727</w:t>
            </w:r>
          </w:p>
        </w:tc>
        <w:tc>
          <w:tcPr>
            <w:tcW w:w="900" w:type="dxa"/>
            <w:vAlign w:val="bottom"/>
            <w:tcBorders>
              <w:bottom w:val="single" w:sz="8" w:color="003A70"/>
            </w:tcBorders>
          </w:tcPr>
          <w:p>
            <w:pPr>
              <w:jc w:val="right"/>
              <w:ind w:right="200"/>
              <w:spacing w:after="0" w:line="182" w:lineRule="exact"/>
              <w:rPr>
                <w:sz w:val="20"/>
                <w:szCs w:val="20"/>
                <w:color w:val="auto"/>
              </w:rPr>
            </w:pPr>
            <w:r>
              <w:rPr>
                <w:rFonts w:ascii="Arial" w:cs="Arial" w:eastAsia="Arial" w:hAnsi="Arial"/>
                <w:sz w:val="16"/>
                <w:szCs w:val="16"/>
                <w:color w:val="auto"/>
              </w:rPr>
              <w:t>$ 761</w:t>
            </w:r>
          </w:p>
        </w:tc>
        <w:tc>
          <w:tcPr>
            <w:tcW w:w="540" w:type="dxa"/>
            <w:vAlign w:val="bottom"/>
            <w:tcBorders>
              <w:bottom w:val="single" w:sz="8" w:color="003A70"/>
            </w:tcBorders>
          </w:tcPr>
          <w:p>
            <w:pPr>
              <w:jc w:val="right"/>
              <w:ind w:right="40"/>
              <w:spacing w:after="0" w:line="182" w:lineRule="exact"/>
              <w:rPr>
                <w:sz w:val="20"/>
                <w:szCs w:val="20"/>
                <w:color w:val="auto"/>
              </w:rPr>
            </w:pPr>
            <w:r>
              <w:rPr>
                <w:rFonts w:ascii="Arial" w:cs="Arial" w:eastAsia="Arial" w:hAnsi="Arial"/>
                <w:sz w:val="16"/>
                <w:szCs w:val="16"/>
                <w:color w:val="auto"/>
                <w:w w:val="99"/>
              </w:rPr>
              <w:t>$ 966</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2025 PROXY STATEMENT</w:t>
            </w:r>
          </w:p>
        </w:tc>
        <w:tc>
          <w:tcPr>
            <w:tcW w:w="3740" w:type="dxa"/>
            <w:vAlign w:val="bottom"/>
            <w:tcBorders>
              <w:bottom w:val="single" w:sz="8" w:color="003A70"/>
            </w:tcBorders>
          </w:tcPr>
          <w:p>
            <w:pPr>
              <w:ind w:left="80"/>
              <w:spacing w:after="0"/>
              <w:rPr>
                <w:sz w:val="20"/>
                <w:szCs w:val="20"/>
                <w:color w:val="auto"/>
              </w:rPr>
            </w:pPr>
            <w:r>
              <w:rPr>
                <w:rFonts w:ascii="Arial" w:cs="Arial" w:eastAsia="Arial" w:hAnsi="Arial"/>
                <w:sz w:val="11"/>
                <w:szCs w:val="11"/>
                <w:color w:val="auto"/>
              </w:rPr>
              <w:t>Appendix A</w:t>
            </w:r>
          </w:p>
        </w:tc>
        <w:tc>
          <w:tcPr>
            <w:tcW w:w="660" w:type="dxa"/>
            <w:vAlign w:val="bottom"/>
            <w:tcBorders>
              <w:bottom w:val="single" w:sz="8" w:color="003A70"/>
            </w:tcBorders>
          </w:tcPr>
          <w:p>
            <w:pPr>
              <w:spacing w:after="0"/>
              <w:rPr>
                <w:sz w:val="22"/>
                <w:szCs w:val="22"/>
                <w:color w:val="auto"/>
              </w:rPr>
            </w:pPr>
          </w:p>
        </w:tc>
        <w:tc>
          <w:tcPr>
            <w:tcW w:w="900" w:type="dxa"/>
            <w:vAlign w:val="bottom"/>
            <w:tcBorders>
              <w:bottom w:val="single" w:sz="8" w:color="003A70"/>
            </w:tcBorders>
          </w:tcPr>
          <w:p>
            <w:pPr>
              <w:spacing w:after="0"/>
              <w:rPr>
                <w:sz w:val="22"/>
                <w:szCs w:val="22"/>
                <w:color w:val="auto"/>
              </w:rPr>
            </w:pPr>
          </w:p>
        </w:tc>
        <w:tc>
          <w:tcPr>
            <w:tcW w:w="54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A-3</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0"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266065</wp:posOffset>
            </wp:positionV>
            <wp:extent cx="1358265" cy="4527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58265" cy="45275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283210</wp:posOffset>
            </wp:positionV>
            <wp:extent cx="1939290" cy="4699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39290" cy="469900"/>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MARRIOTT VACATIONS WORLDWIDE CORPORATION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7812 PALM PARKWAY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ORLANDO, FL 32836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5"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or scan the QR Barcode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on May 12, 2025. Have your proxy card in hand when you access the website and follow the instructions to obtain your records and to create an electronic voting instruction form.</w:t>
      </w:r>
    </w:p>
    <w:p>
      <w:pPr>
        <w:spacing w:after="0" w:line="68" w:lineRule="exact"/>
        <w:rPr>
          <w:sz w:val="20"/>
          <w:szCs w:val="20"/>
          <w:color w:val="auto"/>
        </w:rPr>
      </w:pPr>
    </w:p>
    <w:p>
      <w:pPr>
        <w:ind w:right="640"/>
        <w:spacing w:after="0" w:line="235" w:lineRule="auto"/>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www.virtualshareholdermeeting.com/VAC2025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You may attend the meeting via the Internet and vote during the meeting. Have the information that is printed in the box marked by the arrow available and follow the instructions.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on May 12, 2025. Have your proxy card in hand when you call and then follow the instructions.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5"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4"/>
          <w:szCs w:val="14"/>
          <w:color w:val="auto"/>
        </w:rPr>
        <w:t>To receive all future proxy statements, proxy cards, and annual reports electronically via email or the Internet please follow the instructions above to vote using the Internet and, when prompted, indicate that you agree to receive or access proxy materials electronically in future years.</w:t>
      </w:r>
    </w:p>
    <w:p>
      <w:pPr>
        <w:spacing w:after="0" w:line="785" w:lineRule="exact"/>
        <w:rPr>
          <w:sz w:val="20"/>
          <w:szCs w:val="20"/>
          <w:color w:val="auto"/>
        </w:rPr>
      </w:pPr>
    </w:p>
    <w:p>
      <w:pPr>
        <w:sectPr>
          <w:pgSz w:w="11900" w:h="16838" w:orient="portrait"/>
          <w:cols w:equalWidth="0" w:num="2">
            <w:col w:w="5020" w:space="720"/>
            <w:col w:w="5380"/>
          </w:cols>
          <w:pgMar w:left="320" w:top="480" w:right="459" w:bottom="1440" w:gutter="0" w:footer="0" w:header="0"/>
          <w:type w:val="continuous"/>
        </w:sectPr>
      </w:pPr>
    </w:p>
    <w:tbl>
      <w:tblPr>
        <w:tblLayout w:type="fixed"/>
        <w:tblInd w:w="140" w:type="dxa"/>
        <w:tblCellMar>
          <w:top w:w="0" w:type="dxa"/>
          <w:left w:w="0" w:type="dxa"/>
          <w:bottom w:w="0" w:type="dxa"/>
          <w:right w:w="0" w:type="dxa"/>
        </w:tblCellMar>
      </w:tblPr>
      <w:tr>
        <w:trPr>
          <w:trHeight w:val="131"/>
        </w:trPr>
        <w:tc>
          <w:tcPr>
            <w:tcW w:w="4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4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color w:val="auto"/>
              </w:rPr>
              <w:t>V65966-P27015                      KEEP THIS PORTION FOR YOUR RECORDS  </w:t>
            </w:r>
          </w:p>
        </w:tc>
        <w:tc>
          <w:tcPr>
            <w:tcW w:w="0" w:type="dxa"/>
            <w:vAlign w:val="bottom"/>
          </w:tcPr>
          <w:p>
            <w:pPr>
              <w:spacing w:after="0"/>
              <w:rPr>
                <w:sz w:val="1"/>
                <w:szCs w:val="1"/>
                <w:color w:val="auto"/>
              </w:rPr>
            </w:pPr>
          </w:p>
        </w:tc>
      </w:tr>
      <w:tr>
        <w:trPr>
          <w:trHeight w:val="98"/>
        </w:trPr>
        <w:tc>
          <w:tcPr>
            <w:tcW w:w="10980" w:type="dxa"/>
            <w:vAlign w:val="bottom"/>
            <w:gridSpan w:val="7"/>
          </w:tcPr>
          <w:p>
            <w:pPr>
              <w:jc w:val="center"/>
              <w:ind w:right="40"/>
              <w:spacing w:after="0" w:line="99" w:lineRule="exact"/>
              <w:rPr>
                <w:sz w:val="20"/>
                <w:szCs w:val="20"/>
                <w:color w:val="auto"/>
              </w:rPr>
            </w:pPr>
            <w:r>
              <w:rPr>
                <w:rFonts w:ascii="Times New Roman" w:cs="Times New Roman" w:eastAsia="Times New Roman" w:hAnsi="Times New Roman"/>
                <w:sz w:val="11"/>
                <w:szCs w:val="11"/>
                <w:color w:val="auto"/>
              </w:rPr>
              <w:t>— — — — — — — — — — — — — — — — — — — — — — — — — — — — — — — — — — — — — — — — — — — — — — — — — — —</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94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DETACH AND RETURN THIS PORTION ONLY  </w:t>
            </w:r>
          </w:p>
        </w:tc>
        <w:tc>
          <w:tcPr>
            <w:tcW w:w="0" w:type="dxa"/>
            <w:vAlign w:val="bottom"/>
          </w:tcPr>
          <w:p>
            <w:pPr>
              <w:spacing w:after="0"/>
              <w:rPr>
                <w:sz w:val="1"/>
                <w:szCs w:val="1"/>
                <w:color w:val="auto"/>
              </w:rPr>
            </w:pPr>
          </w:p>
        </w:tc>
      </w:tr>
      <w:tr>
        <w:trPr>
          <w:trHeight w:val="188"/>
        </w:trPr>
        <w:tc>
          <w:tcPr>
            <w:tcW w:w="1098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256"/>
        </w:trPr>
        <w:tc>
          <w:tcPr>
            <w:tcW w:w="4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MARRIOTT VACATIONS WORLDWIDE CORPORATION</w:t>
            </w: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49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To withhold authority to vote for any individual</w:t>
            </w: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520" w:type="dxa"/>
            <w:vAlign w:val="bottom"/>
          </w:tcPr>
          <w:p>
            <w:pPr>
              <w:ind w:left="240"/>
              <w:spacing w:after="0" w:line="150" w:lineRule="exact"/>
              <w:rPr>
                <w:sz w:val="20"/>
                <w:szCs w:val="20"/>
                <w:color w:val="auto"/>
              </w:rPr>
            </w:pPr>
            <w:r>
              <w:rPr>
                <w:rFonts w:ascii="Times New Roman" w:cs="Times New Roman" w:eastAsia="Times New Roman" w:hAnsi="Times New Roman"/>
                <w:sz w:val="14"/>
                <w:szCs w:val="14"/>
                <w:b w:val="1"/>
                <w:bCs w:val="1"/>
                <w:color w:val="auto"/>
              </w:rPr>
              <w:t>All</w:t>
            </w:r>
          </w:p>
        </w:tc>
        <w:tc>
          <w:tcPr>
            <w:tcW w:w="7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All</w:t>
            </w:r>
          </w:p>
        </w:tc>
        <w:tc>
          <w:tcPr>
            <w:tcW w:w="580" w:type="dxa"/>
            <w:vAlign w:val="bottom"/>
          </w:tcPr>
          <w:p>
            <w:pPr>
              <w:ind w:left="100"/>
              <w:spacing w:after="0" w:line="150" w:lineRule="exact"/>
              <w:rPr>
                <w:sz w:val="20"/>
                <w:szCs w:val="20"/>
                <w:color w:val="auto"/>
              </w:rPr>
            </w:pPr>
            <w:r>
              <w:rPr>
                <w:rFonts w:ascii="Times New Roman" w:cs="Times New Roman" w:eastAsia="Times New Roman" w:hAnsi="Times New Roman"/>
                <w:sz w:val="14"/>
                <w:szCs w:val="14"/>
                <w:b w:val="1"/>
                <w:bCs w:val="1"/>
                <w:color w:val="auto"/>
              </w:rPr>
              <w:t>Except</w:t>
            </w:r>
          </w:p>
        </w:tc>
        <w:tc>
          <w:tcPr>
            <w:tcW w:w="4940" w:type="dxa"/>
            <w:vAlign w:val="bottom"/>
            <w:gridSpan w:val="3"/>
          </w:tcPr>
          <w:p>
            <w:pPr>
              <w:ind w:left="540"/>
              <w:spacing w:after="0" w:line="150" w:lineRule="exact"/>
              <w:rPr>
                <w:sz w:val="20"/>
                <w:szCs w:val="20"/>
                <w:color w:val="auto"/>
              </w:rPr>
            </w:pPr>
            <w:r>
              <w:rPr>
                <w:rFonts w:ascii="Times New Roman" w:cs="Times New Roman" w:eastAsia="Times New Roman" w:hAnsi="Times New Roman"/>
                <w:sz w:val="14"/>
                <w:szCs w:val="14"/>
                <w:color w:val="auto"/>
              </w:rPr>
              <w:t>nominee(s), mark “For All Except” and write the</w:t>
            </w:r>
          </w:p>
        </w:tc>
        <w:tc>
          <w:tcPr>
            <w:tcW w:w="0" w:type="dxa"/>
            <w:vAlign w:val="bottom"/>
          </w:tcPr>
          <w:p>
            <w:pPr>
              <w:spacing w:after="0"/>
              <w:rPr>
                <w:sz w:val="1"/>
                <w:szCs w:val="1"/>
                <w:color w:val="auto"/>
              </w:rPr>
            </w:pPr>
          </w:p>
        </w:tc>
      </w:tr>
      <w:tr>
        <w:trPr>
          <w:trHeight w:val="30"/>
        </w:trPr>
        <w:tc>
          <w:tcPr>
            <w:tcW w:w="4200" w:type="dxa"/>
            <w:vAlign w:val="bottom"/>
            <w:vMerge w:val="restart"/>
          </w:tcPr>
          <w:p>
            <w:pPr>
              <w:ind w:left="400"/>
              <w:spacing w:after="0" w:line="159" w:lineRule="exact"/>
              <w:rPr>
                <w:sz w:val="20"/>
                <w:szCs w:val="20"/>
                <w:color w:val="auto"/>
              </w:rPr>
            </w:pPr>
            <w:r>
              <w:rPr>
                <w:rFonts w:ascii="Times New Roman" w:cs="Times New Roman" w:eastAsia="Times New Roman" w:hAnsi="Times New Roman"/>
                <w:sz w:val="14"/>
                <w:szCs w:val="14"/>
                <w:b w:val="1"/>
                <w:bCs w:val="1"/>
                <w:color w:val="auto"/>
              </w:rPr>
              <w:t>The Board of Directors recommends that you vote</w:t>
            </w: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20" w:type="dxa"/>
            <w:vAlign w:val="bottom"/>
            <w:vMerge w:val="restart"/>
          </w:tcPr>
          <w:p>
            <w:pPr>
              <w:ind w:left="540"/>
              <w:spacing w:after="0" w:line="159" w:lineRule="exact"/>
              <w:rPr>
                <w:sz w:val="20"/>
                <w:szCs w:val="20"/>
                <w:color w:val="auto"/>
              </w:rPr>
            </w:pPr>
            <w:r>
              <w:rPr>
                <w:rFonts w:ascii="Times New Roman" w:cs="Times New Roman" w:eastAsia="Times New Roman" w:hAnsi="Times New Roman"/>
                <w:sz w:val="14"/>
                <w:szCs w:val="14"/>
                <w:color w:val="auto"/>
              </w:rPr>
              <w:t>number(s) of the nominee(s) on the line below.</w:t>
            </w:r>
          </w:p>
        </w:tc>
        <w:tc>
          <w:tcPr>
            <w:tcW w:w="6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4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following director nominees:</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-440055</wp:posOffset>
            </wp:positionV>
            <wp:extent cx="6978650" cy="4740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78650" cy="4740910"/>
                    </a:xfrm>
                    <a:prstGeom prst="rect">
                      <a:avLst/>
                    </a:prstGeom>
                    <a:noFill/>
                  </pic:spPr>
                </pic:pic>
              </a:graphicData>
            </a:graphic>
          </wp:anchor>
        </w:drawing>
      </w:r>
    </w:p>
    <w:p>
      <w:pPr>
        <w:sectPr>
          <w:pgSz w:w="11900" w:h="16838" w:orient="portrait"/>
          <w:cols w:equalWidth="0" w:num="1">
            <w:col w:w="11120"/>
          </w:cols>
          <w:pgMar w:left="320" w:top="480" w:right="459" w:bottom="1440" w:gutter="0" w:footer="0" w:header="0"/>
          <w:type w:val="continuous"/>
        </w:sectPr>
      </w:pPr>
    </w:p>
    <w:p>
      <w:pPr>
        <w:spacing w:after="0" w:line="83" w:lineRule="exact"/>
        <w:rPr>
          <w:sz w:val="20"/>
          <w:szCs w:val="20"/>
          <w:color w:val="auto"/>
        </w:rPr>
      </w:pPr>
    </w:p>
    <w:p>
      <w:pPr>
        <w:ind w:left="880" w:hanging="332"/>
        <w:spacing w:after="0"/>
        <w:tabs>
          <w:tab w:leader="none" w:pos="8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w:t>
      </w:r>
    </w:p>
    <w:p>
      <w:pPr>
        <w:spacing w:after="0" w:line="20" w:lineRule="exact"/>
        <w:rPr>
          <w:sz w:val="20"/>
          <w:szCs w:val="20"/>
          <w:color w:val="auto"/>
        </w:rPr>
      </w:pPr>
      <w:r>
        <w:rPr>
          <w:sz w:val="20"/>
          <w:szCs w:val="20"/>
          <w:color w:val="auto"/>
        </w:rPr>
        <w:br w:type="column"/>
      </w:r>
    </w:p>
    <w:p>
      <w:pPr>
        <w:spacing w:after="0" w:line="233" w:lineRule="exact"/>
        <w:tabs>
          <w:tab w:leader="none" w:pos="520" w:val="left"/>
          <w:tab w:leader="none" w:pos="1220" w:val="left"/>
          <w:tab w:leader="none" w:pos="2120" w:val="left"/>
          <w:tab w:leader="none" w:pos="586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6"/>
          <w:szCs w:val="6"/>
          <w:color w:val="auto"/>
        </w:rPr>
        <w:t> </w:t>
      </w:r>
    </w:p>
    <w:p>
      <w:pPr>
        <w:spacing w:after="0" w:line="97" w:lineRule="exact"/>
        <w:rPr>
          <w:sz w:val="20"/>
          <w:szCs w:val="20"/>
          <w:color w:val="auto"/>
        </w:rPr>
      </w:pPr>
    </w:p>
    <w:p>
      <w:pPr>
        <w:sectPr>
          <w:pgSz w:w="11900" w:h="16838" w:orient="portrait"/>
          <w:cols w:equalWidth="0" w:num="2">
            <w:col w:w="3860" w:space="720"/>
            <w:col w:w="6540"/>
          </w:cols>
          <w:pgMar w:left="320" w:top="480" w:right="459" w:bottom="1440" w:gutter="0" w:footer="0" w:header="0"/>
          <w:type w:val="continuous"/>
        </w:sectPr>
      </w:pPr>
    </w:p>
    <w:tbl>
      <w:tblPr>
        <w:tblLayout w:type="fixed"/>
        <w:tblInd w:w="880" w:type="dxa"/>
        <w:tblCellMar>
          <w:top w:w="0" w:type="dxa"/>
          <w:left w:w="0" w:type="dxa"/>
          <w:bottom w:w="0" w:type="dxa"/>
          <w:right w:w="0" w:type="dxa"/>
        </w:tblCellMar>
      </w:tblPr>
      <w:tr>
        <w:trPr>
          <w:trHeight w:val="188"/>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4"/>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77"/>
              </w:rPr>
              <w:t>01)  </w:t>
            </w: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Matthew E. Avril</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2"/>
              </w:rPr>
              <w:t>05)  </w:t>
            </w:r>
          </w:p>
        </w:tc>
        <w:tc>
          <w:tcPr>
            <w:tcW w:w="1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John E. Geller, Jr.</w:t>
            </w:r>
          </w:p>
        </w:tc>
      </w:tr>
      <w:tr>
        <w:trPr>
          <w:trHeight w:val="148"/>
        </w:trPr>
        <w:tc>
          <w:tcPr>
            <w:tcW w:w="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w w:val="77"/>
              </w:rPr>
              <w:t>02)  </w:t>
            </w:r>
          </w:p>
        </w:tc>
        <w:tc>
          <w:tcPr>
            <w:tcW w:w="132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James A. Dausch</w:t>
            </w:r>
          </w:p>
        </w:tc>
        <w:tc>
          <w:tcPr>
            <w:tcW w:w="540" w:type="dxa"/>
            <w:vAlign w:val="bottom"/>
          </w:tcPr>
          <w:p>
            <w:pPr>
              <w:ind w:left="220"/>
              <w:spacing w:after="0" w:line="148" w:lineRule="exact"/>
              <w:rPr>
                <w:sz w:val="20"/>
                <w:szCs w:val="20"/>
                <w:color w:val="auto"/>
              </w:rPr>
            </w:pPr>
            <w:r>
              <w:rPr>
                <w:rFonts w:ascii="Times New Roman" w:cs="Times New Roman" w:eastAsia="Times New Roman" w:hAnsi="Times New Roman"/>
                <w:sz w:val="14"/>
                <w:szCs w:val="14"/>
                <w:color w:val="auto"/>
                <w:w w:val="82"/>
              </w:rPr>
              <w:t>06)  </w:t>
            </w:r>
          </w:p>
        </w:tc>
        <w:tc>
          <w:tcPr>
            <w:tcW w:w="114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color w:val="auto"/>
              </w:rPr>
              <w:t>Jonice M. Gray</w:t>
            </w:r>
          </w:p>
        </w:tc>
      </w:tr>
      <w:tr>
        <w:trPr>
          <w:trHeight w:val="148"/>
        </w:trPr>
        <w:tc>
          <w:tcPr>
            <w:tcW w:w="3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w w:val="77"/>
              </w:rPr>
              <w:t>03)  </w:t>
            </w:r>
          </w:p>
        </w:tc>
        <w:tc>
          <w:tcPr>
            <w:tcW w:w="132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Lizanne Galbreath</w:t>
            </w:r>
          </w:p>
        </w:tc>
        <w:tc>
          <w:tcPr>
            <w:tcW w:w="540" w:type="dxa"/>
            <w:vAlign w:val="bottom"/>
          </w:tcPr>
          <w:p>
            <w:pPr>
              <w:ind w:left="220"/>
              <w:spacing w:after="0" w:line="148" w:lineRule="exact"/>
              <w:rPr>
                <w:sz w:val="20"/>
                <w:szCs w:val="20"/>
                <w:color w:val="auto"/>
              </w:rPr>
            </w:pPr>
            <w:r>
              <w:rPr>
                <w:rFonts w:ascii="Times New Roman" w:cs="Times New Roman" w:eastAsia="Times New Roman" w:hAnsi="Times New Roman"/>
                <w:sz w:val="14"/>
                <w:szCs w:val="14"/>
                <w:color w:val="auto"/>
                <w:w w:val="82"/>
              </w:rPr>
              <w:t>07)  </w:t>
            </w:r>
          </w:p>
        </w:tc>
        <w:tc>
          <w:tcPr>
            <w:tcW w:w="114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color w:val="auto"/>
              </w:rPr>
              <w:t>Dianna F. Morgan</w:t>
            </w:r>
          </w:p>
        </w:tc>
      </w:tr>
      <w:tr>
        <w:trPr>
          <w:trHeight w:val="18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77"/>
              </w:rPr>
              <w:t>04)  </w:t>
            </w: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Mary E. Galligan</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2"/>
              </w:rPr>
              <w:t>08)  </w:t>
            </w:r>
          </w:p>
        </w:tc>
        <w:tc>
          <w:tcPr>
            <w:tcW w:w="1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Stephen R. Quazzo</w:t>
            </w:r>
          </w:p>
        </w:tc>
      </w:tr>
    </w:tbl>
    <w:p>
      <w:pPr>
        <w:spacing w:after="0" w:line="95" w:lineRule="exact"/>
        <w:rPr>
          <w:sz w:val="20"/>
          <w:szCs w:val="20"/>
          <w:color w:val="auto"/>
        </w:rPr>
      </w:pPr>
    </w:p>
    <w:p>
      <w:pPr>
        <w:sectPr>
          <w:pgSz w:w="11900" w:h="16838" w:orient="portrait"/>
          <w:cols w:equalWidth="0" w:num="1">
            <w:col w:w="11120"/>
          </w:cols>
          <w:pgMar w:left="320" w:top="480" w:right="4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 FOR Proposals 2 and 3:</w:t>
      </w:r>
    </w:p>
    <w:p>
      <w:pPr>
        <w:spacing w:after="0" w:line="164" w:lineRule="exact"/>
        <w:rPr>
          <w:sz w:val="20"/>
          <w:szCs w:val="20"/>
          <w:color w:val="auto"/>
        </w:rPr>
      </w:pPr>
    </w:p>
    <w:p>
      <w:pPr>
        <w:ind w:left="900" w:hanging="325"/>
        <w:spacing w:after="0" w:line="257" w:lineRule="auto"/>
        <w:tabs>
          <w:tab w:leader="none" w:pos="9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Ernst &amp; Young LLP as the Company’s independent registered public accounting firm for its 2025 fiscal year.</w:t>
      </w:r>
    </w:p>
    <w:p>
      <w:pPr>
        <w:spacing w:after="0" w:line="233" w:lineRule="exact"/>
        <w:rPr>
          <w:rFonts w:ascii="Times New Roman" w:cs="Times New Roman" w:eastAsia="Times New Roman" w:hAnsi="Times New Roman"/>
          <w:sz w:val="14"/>
          <w:szCs w:val="14"/>
          <w:color w:val="auto"/>
        </w:rPr>
      </w:pPr>
    </w:p>
    <w:p>
      <w:pPr>
        <w:ind w:left="900" w:hanging="325"/>
        <w:spacing w:after="0"/>
        <w:tabs>
          <w:tab w:leader="none" w:pos="9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Advisory vote to approve named executive officer compensation.</w:t>
      </w:r>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ONE Year for Proposal 4:</w:t>
      </w:r>
    </w:p>
    <w:p>
      <w:pPr>
        <w:spacing w:after="0" w:line="20" w:lineRule="exact"/>
        <w:rPr>
          <w:sz w:val="20"/>
          <w:szCs w:val="20"/>
          <w:color w:val="auto"/>
        </w:rPr>
      </w:pPr>
      <w:r>
        <w:rPr>
          <w:sz w:val="20"/>
          <w:szCs w:val="20"/>
          <w:color w:val="auto"/>
        </w:rPr>
        <w:br w:type="column"/>
      </w:r>
    </w:p>
    <w:p>
      <w:pPr>
        <w:jc w:val="both"/>
        <w:ind w:left="500"/>
        <w:spacing w:after="0"/>
        <w:tabs>
          <w:tab w:leader="none" w:pos="940" w:val="left"/>
          <w:tab w:leader="none" w:pos="156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165" w:lineRule="exact"/>
        <w:rPr>
          <w:sz w:val="20"/>
          <w:szCs w:val="20"/>
          <w:color w:val="auto"/>
        </w:rPr>
      </w:pPr>
    </w:p>
    <w:p>
      <w:pPr>
        <w:ind w:left="520"/>
        <w:spacing w:after="0" w:line="221" w:lineRule="exact"/>
        <w:tabs>
          <w:tab w:leader="none" w:pos="1080" w:val="left"/>
          <w:tab w:leader="none" w:pos="17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10" w:lineRule="exact"/>
        <w:rPr>
          <w:sz w:val="20"/>
          <w:szCs w:val="20"/>
          <w:color w:val="auto"/>
        </w:rPr>
      </w:pPr>
    </w:p>
    <w:p>
      <w:pPr>
        <w:ind w:left="520"/>
        <w:spacing w:after="0" w:line="221" w:lineRule="exact"/>
        <w:tabs>
          <w:tab w:leader="none" w:pos="1080" w:val="left"/>
          <w:tab w:leader="none" w:pos="17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48" w:lineRule="exact"/>
        <w:rPr>
          <w:sz w:val="20"/>
          <w:szCs w:val="20"/>
          <w:color w:val="auto"/>
        </w:rPr>
      </w:pPr>
    </w:p>
    <w:p>
      <w:pPr>
        <w:spacing w:after="0"/>
        <w:tabs>
          <w:tab w:leader="none" w:pos="460" w:val="left"/>
          <w:tab w:leader="none" w:pos="980" w:val="left"/>
        </w:tabs>
        <w:rPr>
          <w:sz w:val="20"/>
          <w:szCs w:val="20"/>
          <w:color w:val="auto"/>
        </w:rPr>
      </w:pPr>
      <w:r>
        <w:rPr>
          <w:rFonts w:ascii="Times New Roman" w:cs="Times New Roman" w:eastAsia="Times New Roman" w:hAnsi="Times New Roman"/>
          <w:sz w:val="14"/>
          <w:szCs w:val="14"/>
          <w:b w:val="1"/>
          <w:bCs w:val="1"/>
          <w:color w:val="auto"/>
        </w:rPr>
        <w:t>One</w:t>
        <w:tab/>
        <w:t>Two</w:t>
      </w:r>
      <w:r>
        <w:rPr>
          <w:sz w:val="20"/>
          <w:szCs w:val="20"/>
          <w:color w:val="auto"/>
        </w:rPr>
        <w:tab/>
      </w:r>
      <w:r>
        <w:rPr>
          <w:rFonts w:ascii="Times New Roman" w:cs="Times New Roman" w:eastAsia="Times New Roman" w:hAnsi="Times New Roman"/>
          <w:sz w:val="14"/>
          <w:szCs w:val="14"/>
          <w:b w:val="1"/>
          <w:bCs w:val="1"/>
          <w:color w:val="auto"/>
        </w:rPr>
        <w:t>Three</w:t>
      </w:r>
    </w:p>
    <w:p>
      <w:pPr>
        <w:spacing w:after="0" w:line="5" w:lineRule="exact"/>
        <w:rPr>
          <w:sz w:val="20"/>
          <w:szCs w:val="20"/>
          <w:color w:val="auto"/>
        </w:rPr>
      </w:pPr>
    </w:p>
    <w:p>
      <w:pPr>
        <w:spacing w:after="0"/>
        <w:tabs>
          <w:tab w:leader="none" w:pos="420" w:val="left"/>
          <w:tab w:leader="none" w:pos="1000" w:val="left"/>
          <w:tab w:leader="none" w:pos="1560" w:val="left"/>
        </w:tabs>
        <w:rPr>
          <w:sz w:val="20"/>
          <w:szCs w:val="20"/>
          <w:color w:val="auto"/>
        </w:rPr>
      </w:pPr>
      <w:r>
        <w:rPr>
          <w:rFonts w:ascii="Times New Roman" w:cs="Times New Roman" w:eastAsia="Times New Roman" w:hAnsi="Times New Roman"/>
          <w:sz w:val="14"/>
          <w:szCs w:val="14"/>
          <w:b w:val="1"/>
          <w:bCs w:val="1"/>
          <w:color w:val="auto"/>
        </w:rPr>
        <w:t>Year</w:t>
        <w:tab/>
        <w:t>Years</w:t>
      </w:r>
      <w:r>
        <w:rPr>
          <w:sz w:val="20"/>
          <w:szCs w:val="20"/>
          <w:color w:val="auto"/>
        </w:rPr>
        <w:tab/>
      </w:r>
      <w:r>
        <w:rPr>
          <w:rFonts w:ascii="Times New Roman" w:cs="Times New Roman" w:eastAsia="Times New Roman" w:hAnsi="Times New Roman"/>
          <w:sz w:val="14"/>
          <w:szCs w:val="14"/>
          <w:b w:val="1"/>
          <w:bCs w:val="1"/>
          <w:color w:val="auto"/>
        </w:rPr>
        <w:t>Years</w:t>
        <w:tab/>
        <w:t>Abstain</w:t>
      </w:r>
    </w:p>
    <w:p>
      <w:pPr>
        <w:spacing w:after="0" w:line="107" w:lineRule="exact"/>
        <w:rPr>
          <w:sz w:val="20"/>
          <w:szCs w:val="20"/>
          <w:color w:val="auto"/>
        </w:rPr>
      </w:pPr>
    </w:p>
    <w:p>
      <w:pPr>
        <w:sectPr>
          <w:pgSz w:w="11900" w:h="16838" w:orient="portrait"/>
          <w:cols w:equalWidth="0" w:num="2">
            <w:col w:w="8460" w:space="400"/>
            <w:col w:w="2260"/>
          </w:cols>
          <w:pgMar w:left="320" w:top="480" w:right="459" w:bottom="1440" w:gutter="0" w:footer="0" w:header="0"/>
          <w:type w:val="continuous"/>
        </w:sectPr>
      </w:pPr>
    </w:p>
    <w:p>
      <w:pPr>
        <w:spacing w:after="0" w:line="146" w:lineRule="exact"/>
        <w:rPr>
          <w:sz w:val="20"/>
          <w:szCs w:val="20"/>
          <w:color w:val="auto"/>
        </w:rPr>
      </w:pPr>
    </w:p>
    <w:p>
      <w:pPr>
        <w:ind w:left="900" w:hanging="325"/>
        <w:spacing w:after="0"/>
        <w:tabs>
          <w:tab w:leader="none" w:pos="9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Advisory vote on the frequency of future advisory votes on executive compensation.</w:t>
      </w:r>
    </w:p>
    <w:p>
      <w:pPr>
        <w:spacing w:after="0" w:line="20" w:lineRule="exact"/>
        <w:rPr>
          <w:sz w:val="20"/>
          <w:szCs w:val="20"/>
          <w:color w:val="auto"/>
        </w:rPr>
      </w:pPr>
      <w:r>
        <w:rPr>
          <w:sz w:val="20"/>
          <w:szCs w:val="20"/>
          <w:color w:val="auto"/>
        </w:rPr>
        <w:br w:type="column"/>
      </w:r>
    </w:p>
    <w:p>
      <w:pPr>
        <w:spacing w:after="0" w:line="201" w:lineRule="exact"/>
        <w:tabs>
          <w:tab w:leader="none" w:pos="460" w:val="left"/>
          <w:tab w:leader="none" w:pos="1040" w:val="left"/>
          <w:tab w:leader="none" w:pos="1740" w:val="left"/>
        </w:tabs>
        <w:rPr>
          <w:sz w:val="20"/>
          <w:szCs w:val="20"/>
          <w:color w:val="auto"/>
        </w:rPr>
      </w:pPr>
      <w:r>
        <w:rPr>
          <w:rFonts w:ascii="MS PGothic" w:cs="MS PGothic" w:eastAsia="MS PGothic" w:hAnsi="MS PGothic"/>
          <w:sz w:val="22"/>
          <w:szCs w:val="22"/>
          <w:color w:val="auto"/>
        </w:rPr>
        <w:t>☐</w:t>
        <w:tab/>
        <w:t>☐</w:t>
        <w:tab/>
        <w:t>☐</w:t>
      </w:r>
      <w:r>
        <w:rPr>
          <w:sz w:val="20"/>
          <w:szCs w:val="20"/>
          <w:color w:val="auto"/>
        </w:rPr>
        <w:tab/>
      </w:r>
      <w:r>
        <w:rPr>
          <w:rFonts w:ascii="MS PGothic" w:cs="MS PGothic" w:eastAsia="MS PGothic" w:hAnsi="MS PGothic"/>
          <w:sz w:val="18"/>
          <w:szCs w:val="18"/>
          <w:color w:val="auto"/>
        </w:rPr>
        <w:t>☐</w:t>
      </w:r>
    </w:p>
    <w:p>
      <w:pPr>
        <w:spacing w:after="0" w:line="180" w:lineRule="exact"/>
        <w:rPr>
          <w:sz w:val="20"/>
          <w:szCs w:val="20"/>
          <w:color w:val="auto"/>
        </w:rPr>
      </w:pPr>
    </w:p>
    <w:p>
      <w:pPr>
        <w:sectPr>
          <w:pgSz w:w="11900" w:h="16838" w:orient="portrait"/>
          <w:cols w:equalWidth="0" w:num="2">
            <w:col w:w="8180" w:space="720"/>
            <w:col w:w="2220"/>
          </w:cols>
          <w:pgMar w:left="320" w:top="480" w:right="459" w:bottom="1440" w:gutter="0" w:footer="0" w:header="0"/>
          <w:type w:val="continuous"/>
        </w:sectPr>
      </w:pPr>
    </w:p>
    <w:p>
      <w:pPr>
        <w:ind w:left="580" w:right="184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the proxies are authorized to vote upon such other business as may properly come before the meeting or any adjournment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postponement thereof.</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ADDRESS OF RECORD CHANGES</w:t>
      </w:r>
    </w:p>
    <w:p>
      <w:pPr>
        <w:spacing w:after="0" w:line="3" w:lineRule="exact"/>
        <w:rPr>
          <w:sz w:val="20"/>
          <w:szCs w:val="20"/>
          <w:color w:val="auto"/>
        </w:rPr>
      </w:pPr>
    </w:p>
    <w:p>
      <w:pPr>
        <w:ind w:left="580" w:right="1880"/>
        <w:spacing w:after="0" w:line="228" w:lineRule="auto"/>
        <w:rPr>
          <w:sz w:val="20"/>
          <w:szCs w:val="20"/>
          <w:color w:val="auto"/>
        </w:rPr>
      </w:pPr>
      <w:r>
        <w:rPr>
          <w:rFonts w:ascii="Times New Roman" w:cs="Times New Roman" w:eastAsia="Times New Roman" w:hAnsi="Times New Roman"/>
          <w:sz w:val="14"/>
          <w:szCs w:val="14"/>
          <w:color w:val="auto"/>
        </w:rPr>
        <w:t>If you are a registered stockholder possessing a physical stock certificate and you need to update the address on the stock certificate, please contact our transfer agent, Computershare Trust Company, N.A., to make this change. Computershare’s contact information is as follows: Internet: www.computershare.com/investor Phone: (800) 884-4225 For shares handled by another Transfer Agent, please contact them to update your address of record.</w:t>
      </w:r>
    </w:p>
    <w:p>
      <w:pPr>
        <w:spacing w:after="0" w:line="200" w:lineRule="exact"/>
        <w:rPr>
          <w:sz w:val="20"/>
          <w:szCs w:val="20"/>
          <w:color w:val="auto"/>
        </w:rPr>
      </w:pPr>
    </w:p>
    <w:p>
      <w:pPr>
        <w:spacing w:after="0" w:line="3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sign exactly as your name appears on the records of Marriott Vacations Worldwide</w:t>
      </w:r>
    </w:p>
    <w:p>
      <w:pPr>
        <w:ind w:left="520"/>
        <w:spacing w:after="0" w:line="225" w:lineRule="auto"/>
        <w:rPr>
          <w:sz w:val="20"/>
          <w:szCs w:val="20"/>
          <w:color w:val="auto"/>
        </w:rPr>
      </w:pPr>
      <w:r>
        <w:rPr>
          <w:rFonts w:ascii="Times New Roman" w:cs="Times New Roman" w:eastAsia="Times New Roman" w:hAnsi="Times New Roman"/>
          <w:sz w:val="14"/>
          <w:szCs w:val="14"/>
          <w:color w:val="auto"/>
        </w:rPr>
        <w:t>Corporation and date. If the shares are held jointly, each holder should sign. When signing</w:t>
      </w:r>
    </w:p>
    <w:p>
      <w:pPr>
        <w:ind w:left="520"/>
        <w:spacing w:after="0" w:line="220" w:lineRule="auto"/>
        <w:rPr>
          <w:sz w:val="20"/>
          <w:szCs w:val="20"/>
          <w:color w:val="auto"/>
        </w:rPr>
      </w:pPr>
      <w:r>
        <w:rPr>
          <w:rFonts w:ascii="Times New Roman" w:cs="Times New Roman" w:eastAsia="Times New Roman" w:hAnsi="Times New Roman"/>
          <w:sz w:val="14"/>
          <w:szCs w:val="14"/>
          <w:color w:val="auto"/>
        </w:rPr>
        <w:t>as an attorney, executor, administrator, trustee, guardian, officer of a corporation or other</w:t>
      </w:r>
    </w:p>
    <w:p>
      <w:pPr>
        <w:ind w:left="520"/>
        <w:spacing w:after="0"/>
        <w:rPr>
          <w:sz w:val="20"/>
          <w:szCs w:val="20"/>
          <w:color w:val="auto"/>
        </w:rPr>
      </w:pPr>
      <w:r>
        <w:rPr>
          <w:rFonts w:ascii="Times New Roman" w:cs="Times New Roman" w:eastAsia="Times New Roman" w:hAnsi="Times New Roman"/>
          <w:sz w:val="14"/>
          <w:szCs w:val="14"/>
          <w:color w:val="auto"/>
        </w:rPr>
        <w:t>entity or in another representative capacity, please give the full title under signature(s).</w:t>
      </w:r>
    </w:p>
    <w:p>
      <w:pPr>
        <w:spacing w:after="0" w:line="200" w:lineRule="exact"/>
        <w:rPr>
          <w:sz w:val="20"/>
          <w:szCs w:val="20"/>
          <w:color w:val="auto"/>
        </w:rPr>
      </w:pP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280"/>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w:t>
            </w:r>
          </w:p>
        </w:tc>
        <w:tc>
          <w:tcPr>
            <w:tcW w:w="36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 xml:space="preserve">     </w:t>
            </w:r>
          </w:p>
        </w:tc>
        <w:tc>
          <w:tcPr>
            <w:tcW w:w="2520" w:type="dxa"/>
            <w:vAlign w:val="bottom"/>
          </w:tcPr>
          <w:p>
            <w:pPr>
              <w:ind w:left="2180"/>
              <w:spacing w:after="0"/>
              <w:rPr>
                <w:sz w:val="20"/>
                <w:szCs w:val="20"/>
                <w:color w:val="auto"/>
              </w:rPr>
            </w:pPr>
            <w:r>
              <w:rPr>
                <w:rFonts w:ascii="Times New Roman" w:cs="Times New Roman" w:eastAsia="Times New Roman" w:hAnsi="Times New Roman"/>
                <w:sz w:val="22"/>
                <w:szCs w:val="22"/>
                <w:color w:val="auto"/>
              </w:rPr>
              <w:t xml:space="preserve">     </w:t>
            </w:r>
          </w:p>
        </w:tc>
      </w:tr>
    </w:tbl>
    <w:p>
      <w:pPr>
        <w:spacing w:after="0" w:line="21" w:lineRule="exact"/>
        <w:rPr>
          <w:sz w:val="20"/>
          <w:szCs w:val="20"/>
          <w:color w:val="auto"/>
        </w:rPr>
      </w:pPr>
    </w:p>
    <w:p>
      <w:pPr>
        <w:sectPr>
          <w:pgSz w:w="11900" w:h="16838" w:orient="portrait"/>
          <w:cols w:equalWidth="0" w:num="1">
            <w:col w:w="11120"/>
          </w:cols>
          <w:pgMar w:left="320" w:top="480" w:right="459" w:bottom="1440" w:gutter="0" w:footer="0" w:header="0"/>
          <w:type w:val="continuous"/>
        </w:sectPr>
      </w:pPr>
    </w:p>
    <w:p>
      <w:pPr>
        <w:ind w:left="440"/>
        <w:spacing w:after="0"/>
        <w:tabs>
          <w:tab w:leader="none" w:pos="3040" w:val="left"/>
          <w:tab w:leader="none" w:pos="5340" w:val="left"/>
          <w:tab w:leader="none" w:pos="7740" w:val="left"/>
        </w:tabs>
        <w:rPr>
          <w:sz w:val="20"/>
          <w:szCs w:val="20"/>
          <w:color w:val="auto"/>
        </w:rPr>
      </w:pPr>
      <w:r>
        <w:rPr>
          <w:rFonts w:ascii="Times New Roman" w:cs="Times New Roman" w:eastAsia="Times New Roman" w:hAnsi="Times New Roman"/>
          <w:sz w:val="14"/>
          <w:szCs w:val="14"/>
          <w:color w:val="auto"/>
        </w:rPr>
        <w:t>Signature [PLEASE SIGN WITHIN BOX] </w:t>
        <w:tab/>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ectPr>
          <w:pgSz w:w="11900" w:h="16838" w:orient="portrait"/>
          <w:cols w:equalWidth="0" w:num="1">
            <w:col w:w="11120"/>
          </w:cols>
          <w:pgMar w:left="320" w:top="480" w:right="4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On May 13, 2025:</w:t>
      </w:r>
    </w:p>
    <w:p>
      <w:pPr>
        <w:spacing w:after="0" w:line="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2025 Notice of Annual Meeting and Proxy Statement and the 2024 Annual Report are available at</w:t>
      </w:r>
    </w:p>
    <w:p>
      <w:pPr>
        <w:spacing w:after="0" w:line="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www.proxyvote.com.</w:t>
      </w: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We will be conducting our 2025 Annual Meeting of Stockholders virtually at</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www.virtualshareholdermeeting.com/VAC2025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 — — — — — — — — — — — — — — — — — — — — — — — — — — — — — — — — — — — — — — — — — — — — — — — — —</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V65967-P27015 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48895</wp:posOffset>
            </wp:positionV>
            <wp:extent cx="6970395" cy="37668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70395" cy="376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1440"/>
        <w:spacing w:after="0"/>
        <w:rPr>
          <w:sz w:val="20"/>
          <w:szCs w:val="20"/>
          <w:color w:val="auto"/>
        </w:rPr>
      </w:pPr>
      <w:r>
        <w:rPr>
          <w:rFonts w:ascii="Times New Roman" w:cs="Times New Roman" w:eastAsia="Times New Roman" w:hAnsi="Times New Roman"/>
          <w:sz w:val="22"/>
          <w:szCs w:val="22"/>
          <w:b w:val="1"/>
          <w:bCs w:val="1"/>
          <w:color w:val="auto"/>
        </w:rPr>
        <w:t>PROXY SOLICITED BY BOARD OF DIRECTORS</w:t>
      </w:r>
    </w:p>
    <w:p>
      <w:pPr>
        <w:spacing w:after="0" w:line="17" w:lineRule="exact"/>
        <w:rPr>
          <w:sz w:val="20"/>
          <w:szCs w:val="20"/>
          <w:color w:val="auto"/>
        </w:rPr>
      </w:pPr>
    </w:p>
    <w:p>
      <w:pPr>
        <w:jc w:val="center"/>
        <w:ind w:left="1440"/>
        <w:spacing w:after="0"/>
        <w:rPr>
          <w:sz w:val="20"/>
          <w:szCs w:val="20"/>
          <w:color w:val="auto"/>
        </w:rPr>
      </w:pPr>
      <w:r>
        <w:rPr>
          <w:rFonts w:ascii="Times New Roman" w:cs="Times New Roman" w:eastAsia="Times New Roman" w:hAnsi="Times New Roman"/>
          <w:sz w:val="22"/>
          <w:szCs w:val="22"/>
          <w:b w:val="1"/>
          <w:bCs w:val="1"/>
          <w:color w:val="auto"/>
        </w:rPr>
        <w:t>FOR ANNUAL MEETING, MAY 13, 2025</w:t>
      </w:r>
    </w:p>
    <w:p>
      <w:pPr>
        <w:spacing w:after="0" w:line="203" w:lineRule="exact"/>
        <w:rPr>
          <w:sz w:val="20"/>
          <w:szCs w:val="20"/>
          <w:color w:val="auto"/>
        </w:rPr>
      </w:pPr>
    </w:p>
    <w:p>
      <w:pPr>
        <w:ind w:left="500" w:right="380"/>
        <w:spacing w:after="0" w:line="253" w:lineRule="auto"/>
        <w:rPr>
          <w:sz w:val="20"/>
          <w:szCs w:val="20"/>
          <w:color w:val="auto"/>
        </w:rPr>
      </w:pPr>
      <w:r>
        <w:rPr>
          <w:rFonts w:ascii="Times New Roman" w:cs="Times New Roman" w:eastAsia="Times New Roman" w:hAnsi="Times New Roman"/>
          <w:sz w:val="18"/>
          <w:szCs w:val="18"/>
          <w:color w:val="auto"/>
        </w:rPr>
        <w:t>The undersigned holder of common stock of Marriott Vacations Worldwide Corporation, a Delaware corporation (the “Company”), hereby appoints John E. Geller, Jr. and James H Hunter, IV, or either of them, as proxies for the undersigned, with full power of substitution in each of them, to attend the Annual Meeting of Stockholders of the Company to be held via live webcast at www.virtualshareholdermeeting.com/VAC2025, on May 13, 2025, at 9:00 a.m. Eastern Time, or any postponement or adjournment thereof, to cast on behalf of the undersigned all votes that the undersigned is entitled to cast at such meeting and otherwise to represent the undersigned at the meeting with all powers possessed by the undersigned if personally present at the meeting. The undersigned hereby acknowledges receipt of the Notice of the Annual Meeting of Stockholders and of the accompanying Proxy Statement, the terms of each of which are incorporated by reference, and revokes any proxy heretofore given with respect to such meeting. The votes entitled to be cast by the undersigned will be cast as instructed.</w:t>
      </w:r>
    </w:p>
    <w:p>
      <w:pPr>
        <w:spacing w:after="0" w:line="185" w:lineRule="exact"/>
        <w:rPr>
          <w:sz w:val="20"/>
          <w:szCs w:val="20"/>
          <w:color w:val="auto"/>
        </w:rPr>
      </w:pPr>
    </w:p>
    <w:p>
      <w:pPr>
        <w:ind w:left="500" w:right="400"/>
        <w:spacing w:after="0" w:line="254" w:lineRule="auto"/>
        <w:rPr>
          <w:sz w:val="20"/>
          <w:szCs w:val="20"/>
          <w:color w:val="auto"/>
        </w:rPr>
      </w:pPr>
      <w:r>
        <w:rPr>
          <w:rFonts w:ascii="Times New Roman" w:cs="Times New Roman" w:eastAsia="Times New Roman" w:hAnsi="Times New Roman"/>
          <w:sz w:val="18"/>
          <w:szCs w:val="18"/>
          <w:b w:val="1"/>
          <w:bCs w:val="1"/>
          <w:color w:val="auto"/>
        </w:rPr>
        <w:t>If this proxy is executed, but no instruction is given, the votes entitled to be cast by the undersigned will be cast FOR each of the eight nominees for director listed in Proposal 1, FOR Proposals 2 and 3, and ONE Year for Proposal 4, all of which are set forth on the reverse side hereof. The votes entitled to be cast by the undersigned will be cast in the discretion of the Proxy holders on any other matter that may properly come before the meeting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director nominee named in Proposal 1 becomes unable to serve or for good cause will not serve). The Board of Directors recommends a vote FOR each of the eight nominees for director listed in Proposal 1, FOR Proposals 2 and 3, and ONE Year for Proposal 4.</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080"/>
      </w:cols>
      <w:pgMar w:left="320" w:top="4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bullet"/>
      <w:start w:val="1"/>
    </w:lvl>
  </w:abstractNum>
  <w:abstractNum w:abstractNumId="5">
    <w:nsid w:val="15B5AF5C"/>
    <w:multiLevelType w:val="hybridMultilevel"/>
    <w:lvl w:ilvl="0">
      <w:lvlJc w:val="left"/>
      <w:lvlText w:val="4"/>
      <w:numFmt w:val="bullet"/>
      <w:start w:val="1"/>
    </w:lvl>
  </w:abstractNum>
  <w:abstractNum w:abstractNumId="6">
    <w:nsid w:val="741226BB"/>
    <w:multiLevelType w:val="hybridMultilevel"/>
    <w:lvl w:ilvl="0">
      <w:lvlJc w:val="left"/>
      <w:lvlText w:val="7"/>
      <w:numFmt w:val="bullet"/>
      <w:start w:val="1"/>
    </w:lvl>
  </w:abstractNum>
  <w:abstractNum w:abstractNumId="7">
    <w:nsid w:val="D34B6A8"/>
    <w:multiLevelType w:val="hybridMultilevel"/>
    <w:lvl w:ilvl="0">
      <w:lvlJc w:val="left"/>
      <w:lvlText w:val="7"/>
      <w:numFmt w:val="bullet"/>
      <w:start w:val="1"/>
    </w:lvl>
  </w:abstractNum>
  <w:abstractNum w:abstractNumId="8">
    <w:nsid w:val="10233C99"/>
    <w:multiLevelType w:val="hybridMultilevel"/>
    <w:lvl w:ilvl="0">
      <w:lvlJc w:val="left"/>
      <w:lvlText w:val="8"/>
      <w:numFmt w:val="bullet"/>
      <w:start w:val="1"/>
    </w:lvl>
  </w:abstractNum>
  <w:abstractNum w:abstractNumId="9">
    <w:nsid w:val="3F6AB60F"/>
    <w:multiLevelType w:val="hybridMultilevel"/>
    <w:lvl w:ilvl="0">
      <w:lvlJc w:val="left"/>
      <w:lvlText w:val="9"/>
      <w:numFmt w:val="bullet"/>
      <w:start w:val="1"/>
    </w:lvl>
  </w:abstractNum>
  <w:abstractNum w:abstractNumId="10">
    <w:nsid w:val="61574095"/>
    <w:multiLevelType w:val="hybridMultilevel"/>
    <w:lvl w:ilvl="0">
      <w:lvlJc w:val="left"/>
      <w:lvlText w:val="%1"/>
      <w:numFmt w:val="decimal"/>
      <w:start w:val="10"/>
    </w:lvl>
  </w:abstractNum>
  <w:abstractNum w:abstractNumId="11">
    <w:nsid w:val="7E0C57B1"/>
    <w:multiLevelType w:val="hybridMultilevel"/>
    <w:lvl w:ilvl="0">
      <w:lvlJc w:val="left"/>
      <w:lvlText w:val="%1"/>
      <w:numFmt w:val="decimal"/>
      <w:start w:val="19"/>
    </w:lvl>
  </w:abstractNum>
  <w:abstractNum w:abstractNumId="12">
    <w:nsid w:val="77AE35EB"/>
    <w:multiLevelType w:val="hybridMultilevel"/>
    <w:lvl w:ilvl="0">
      <w:lvlJc w:val="left"/>
      <w:lvlText w:val="%1"/>
      <w:numFmt w:val="decimal"/>
      <w:start w:val="24"/>
    </w:lvl>
  </w:abstractNum>
  <w:abstractNum w:abstractNumId="13">
    <w:nsid w:val="579BE4F1"/>
    <w:multiLevelType w:val="hybridMultilevel"/>
    <w:lvl w:ilvl="0">
      <w:lvlJc w:val="left"/>
      <w:lvlText w:val="%1"/>
      <w:numFmt w:val="decimal"/>
      <w:start w:val="26"/>
    </w:lvl>
  </w:abstractNum>
  <w:abstractNum w:abstractNumId="14">
    <w:nsid w:val="310C50B3"/>
    <w:multiLevelType w:val="hybridMultilevel"/>
    <w:lvl w:ilvl="0">
      <w:lvlJc w:val="left"/>
      <w:lvlText w:val="%1"/>
      <w:numFmt w:val="decimal"/>
      <w:start w:val="53"/>
    </w:lvl>
  </w:abstractNum>
  <w:abstractNum w:abstractNumId="15">
    <w:nsid w:val="5FF87E05"/>
    <w:multiLevelType w:val="hybridMultilevel"/>
    <w:lvl w:ilvl="0">
      <w:lvlJc w:val="left"/>
      <w:lvlText w:val="%1"/>
      <w:numFmt w:val="decimal"/>
      <w:start w:val="55"/>
    </w:lvl>
  </w:abstractNum>
  <w:abstractNum w:abstractNumId="16">
    <w:nsid w:val="2F305DEF"/>
    <w:multiLevelType w:val="hybridMultilevel"/>
    <w:lvl w:ilvl="0">
      <w:lvlJc w:val="left"/>
      <w:lvlText w:val="%1"/>
      <w:numFmt w:val="decimal"/>
      <w:start w:val="56"/>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lvl w:ilvl="1">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1"/>
      <w:numFmt w:val="bullet"/>
      <w:start w:val="1"/>
    </w:lvl>
  </w:abstractNum>
  <w:abstractNum w:abstractNumId="23">
    <w:nsid w:val="100F8FCA"/>
    <w:multiLevelType w:val="hybridMultilevel"/>
    <w:lvl w:ilvl="0">
      <w:lvlJc w:val="left"/>
      <w:lvlText w:val="2"/>
      <w:numFmt w:val="bullet"/>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bullet"/>
      <w:start w:val="1"/>
    </w:lvl>
  </w:abstractNum>
  <w:abstractNum w:abstractNumId="32">
    <w:nsid w:val="1EBA5D23"/>
    <w:multiLevelType w:val="hybridMultilevel"/>
    <w:lvl w:ilvl="0">
      <w:lvlJc w:val="left"/>
      <w:lvlText w:val="2"/>
      <w:numFmt w:val="bullet"/>
      <w:start w:val="1"/>
    </w:lvl>
  </w:abstractNum>
  <w:abstractNum w:abstractNumId="33">
    <w:nsid w:val="661E3F1E"/>
    <w:multiLevelType w:val="hybridMultilevel"/>
    <w:lvl w:ilvl="0">
      <w:lvlJc w:val="left"/>
      <w:lvlText w:val="3"/>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bullet"/>
      <w:start w:val="1"/>
    </w:lvl>
  </w:abstractNum>
  <w:abstractNum w:abstractNumId="46">
    <w:nsid w:val="68EB2F63"/>
    <w:multiLevelType w:val="hybridMultilevel"/>
    <w:lvl w:ilvl="0">
      <w:lvlJc w:val="left"/>
      <w:lvlText w:val="1"/>
      <w:numFmt w:val="bullet"/>
      <w:start w:val="1"/>
    </w:lvl>
  </w:abstractNum>
  <w:abstractNum w:abstractNumId="47">
    <w:nsid w:val="4962813B"/>
    <w:multiLevelType w:val="hybridMultilevel"/>
    <w:lvl w:ilvl="0">
      <w:lvlJc w:val="left"/>
      <w:lvlText w:val="2"/>
      <w:numFmt w:val="bullet"/>
      <w:start w:val="1"/>
    </w:lvl>
  </w:abstractNum>
  <w:abstractNum w:abstractNumId="48">
    <w:nsid w:val="60B6DF70"/>
    <w:multiLevelType w:val="hybridMultilevel"/>
    <w:lvl w:ilvl="0">
      <w:lvlJc w:val="left"/>
      <w:lvlText w:val="3"/>
      <w:numFmt w:val="bullet"/>
      <w:start w:val="1"/>
    </w:lvl>
  </w:abstractNum>
  <w:abstractNum w:abstractNumId="49">
    <w:nsid w:val="6A5EE64"/>
    <w:multiLevelType w:val="hybridMultilevel"/>
    <w:lvl w:ilvl="0">
      <w:lvlJc w:val="left"/>
      <w:lvlText w:val="4"/>
      <w:numFmt w:val="bullet"/>
      <w:start w:val="1"/>
    </w:lvl>
  </w:abstractNum>
  <w:abstractNum w:abstractNumId="50">
    <w:nsid w:val="14330624"/>
    <w:multiLevelType w:val="hybridMultilevel"/>
    <w:lvl w:ilvl="0">
      <w:lvlJc w:val="left"/>
      <w:lvlText w:val="5"/>
      <w:numFmt w:val="bullet"/>
      <w:start w:val="1"/>
    </w:lvl>
  </w:abstractNum>
  <w:abstractNum w:abstractNumId="51">
    <w:nsid w:val="7FFFCA11"/>
    <w:multiLevelType w:val="hybridMultilevel"/>
    <w:lvl w:ilvl="0">
      <w:lvlJc w:val="left"/>
      <w:lvlText w:val="1"/>
      <w:numFmt w:val="bullet"/>
      <w:start w:val="1"/>
    </w:lvl>
  </w:abstractNum>
  <w:abstractNum w:abstractNumId="52">
    <w:nsid w:val="1A27709E"/>
    <w:multiLevelType w:val="hybridMultilevel"/>
    <w:lvl w:ilvl="0">
      <w:lvlJc w:val="left"/>
      <w:lvlText w:val="2"/>
      <w:numFmt w:val="bullet"/>
      <w:start w:val="1"/>
    </w:lvl>
  </w:abstractNum>
  <w:abstractNum w:abstractNumId="53">
    <w:nsid w:val="71EA1109"/>
    <w:multiLevelType w:val="hybridMultilevel"/>
    <w:lvl w:ilvl="0">
      <w:lvlJc w:val="left"/>
      <w:lvlText w:val="3"/>
      <w:numFmt w:val="bullet"/>
      <w:start w:val="1"/>
    </w:lvl>
  </w:abstractNum>
  <w:abstractNum w:abstractNumId="54">
    <w:nsid w:val="100F59DC"/>
    <w:multiLevelType w:val="hybridMultilevel"/>
    <w:lvl w:ilvl="0">
      <w:lvlJc w:val="left"/>
      <w:lvlText w:val="4"/>
      <w:numFmt w:val="bullet"/>
      <w:start w:val="1"/>
    </w:lvl>
  </w:abstractNum>
  <w:abstractNum w:abstractNumId="55">
    <w:nsid w:val="7FB7E0AA"/>
    <w:multiLevelType w:val="hybridMultilevel"/>
    <w:lvl w:ilvl="0">
      <w:lvlJc w:val="left"/>
      <w:lvlText w:val="5"/>
      <w:numFmt w:val="bullet"/>
      <w:start w:val="1"/>
    </w:lvl>
  </w:abstractNum>
  <w:abstractNum w:abstractNumId="56">
    <w:nsid w:val="6EB5BD4"/>
    <w:multiLevelType w:val="hybridMultilevel"/>
    <w:lvl w:ilvl="0">
      <w:lvlJc w:val="left"/>
      <w:lvlText w:val="1"/>
      <w:numFmt w:val="bullet"/>
      <w:start w:val="1"/>
    </w:lvl>
  </w:abstractNum>
  <w:abstractNum w:abstractNumId="57">
    <w:nsid w:val="6F6DD9AC"/>
    <w:multiLevelType w:val="hybridMultilevel"/>
    <w:lvl w:ilvl="0">
      <w:lvlJc w:val="left"/>
      <w:lvlText w:val="2"/>
      <w:numFmt w:val="bullet"/>
      <w:start w:val="1"/>
    </w:lvl>
  </w:abstractNum>
  <w:abstractNum w:abstractNumId="58">
    <w:nsid w:val="94211F2"/>
    <w:multiLevelType w:val="hybridMultilevel"/>
    <w:lvl w:ilvl="0">
      <w:lvlJc w:val="left"/>
      <w:lvlText w:val="3"/>
      <w:numFmt w:val="bullet"/>
      <w:start w:val="1"/>
    </w:lvl>
  </w:abstractNum>
  <w:abstractNum w:abstractNumId="59">
    <w:nsid w:val="885E1B"/>
    <w:multiLevelType w:val="hybridMultilevel"/>
    <w:lvl w:ilvl="0">
      <w:lvlJc w:val="left"/>
      <w:lvlText w:val="4"/>
      <w:numFmt w:val="bullet"/>
      <w:start w:val="1"/>
    </w:lvl>
  </w:abstractNum>
  <w:abstractNum w:abstractNumId="60">
    <w:nsid w:val="76272110"/>
    <w:multiLevelType w:val="hybridMultilevel"/>
    <w:lvl w:ilvl="0">
      <w:lvlJc w:val="left"/>
      <w:lvlText w:val="5"/>
      <w:numFmt w:val="bullet"/>
      <w:start w:val="1"/>
    </w:lvl>
  </w:abstractNum>
  <w:abstractNum w:abstractNumId="61">
    <w:nsid w:val="4C04A8AF"/>
    <w:multiLevelType w:val="hybridMultilevel"/>
    <w:lvl w:ilvl="0">
      <w:lvlJc w:val="left"/>
      <w:lvlText w:val="6"/>
      <w:numFmt w:val="bullet"/>
      <w:start w:val="1"/>
    </w:lvl>
  </w:abstractNum>
  <w:abstractNum w:abstractNumId="62">
    <w:nsid w:val="1716703B"/>
    <w:multiLevelType w:val="hybridMultilevel"/>
    <w:lvl w:ilvl="0">
      <w:lvlJc w:val="left"/>
      <w:lvlText w:val="7"/>
      <w:numFmt w:val="bullet"/>
      <w:start w:val="1"/>
    </w:lvl>
  </w:abstractNum>
  <w:abstractNum w:abstractNumId="63">
    <w:nsid w:val="14E17E33"/>
    <w:multiLevelType w:val="hybridMultilevel"/>
    <w:lvl w:ilvl="0">
      <w:lvlJc w:val="left"/>
      <w:lvlText w:val="1"/>
      <w:numFmt w:val="bullet"/>
      <w:start w:val="1"/>
    </w:lvl>
  </w:abstractNum>
  <w:abstractNum w:abstractNumId="64">
    <w:nsid w:val="3222E7CD"/>
    <w:multiLevelType w:val="hybridMultilevel"/>
    <w:lvl w:ilvl="0">
      <w:lvlJc w:val="left"/>
      <w:lvlText w:val="2"/>
      <w:numFmt w:val="bullet"/>
      <w:start w:val="1"/>
    </w:lvl>
  </w:abstractNum>
  <w:abstractNum w:abstractNumId="65">
    <w:nsid w:val="74DE0EE3"/>
    <w:multiLevelType w:val="hybridMultilevel"/>
    <w:lvl w:ilvl="0">
      <w:lvlJc w:val="left"/>
      <w:lvlText w:val="1"/>
      <w:numFmt w:val="bullet"/>
      <w:start w:val="1"/>
    </w:lvl>
  </w:abstractNum>
  <w:abstractNum w:abstractNumId="66">
    <w:nsid w:val="68EBC550"/>
    <w:multiLevelType w:val="hybridMultilevel"/>
    <w:lvl w:ilvl="0">
      <w:lvlJc w:val="left"/>
      <w:lvlText w:val="2"/>
      <w:numFmt w:val="bullet"/>
      <w:start w:val="1"/>
    </w:lvl>
  </w:abstractNum>
  <w:abstractNum w:abstractNumId="67">
    <w:nsid w:val="2DF6D648"/>
    <w:multiLevelType w:val="hybridMultilevel"/>
    <w:lvl w:ilvl="0">
      <w:lvlJc w:val="left"/>
      <w:lvlText w:val="3"/>
      <w:numFmt w:val="bullet"/>
      <w:start w:val="1"/>
    </w:lvl>
  </w:abstractNum>
  <w:abstractNum w:abstractNumId="68">
    <w:nsid w:val="46B7D447"/>
    <w:multiLevelType w:val="hybridMultilevel"/>
    <w:lvl w:ilvl="0">
      <w:lvlJc w:val="left"/>
      <w:lvlText w:val="4"/>
      <w:numFmt w:val="bullet"/>
      <w:start w:val="1"/>
    </w:lvl>
  </w:abstractNum>
  <w:abstractNum w:abstractNumId="69">
    <w:nsid w:val="4A2AC315"/>
    <w:multiLevelType w:val="hybridMultilevel"/>
    <w:lvl w:ilvl="0">
      <w:lvlJc w:val="left"/>
      <w:lvlText w:val="5"/>
      <w:numFmt w:val="bullet"/>
      <w:start w:val="1"/>
    </w:lvl>
  </w:abstractNum>
  <w:abstractNum w:abstractNumId="70">
    <w:nsid w:val="39EE015C"/>
    <w:multiLevelType w:val="hybridMultilevel"/>
    <w:lvl w:ilvl="0">
      <w:lvlJc w:val="left"/>
      <w:lvlText w:val="6"/>
      <w:numFmt w:val="bullet"/>
      <w:start w:val="1"/>
    </w:lvl>
  </w:abstractNum>
  <w:abstractNum w:abstractNumId="71">
    <w:nsid w:val="57FC4FBB"/>
    <w:multiLevelType w:val="hybridMultilevel"/>
    <w:lvl w:ilvl="0">
      <w:lvlJc w:val="left"/>
      <w:lvlText w:val="7"/>
      <w:numFmt w:val="bullet"/>
      <w:start w:val="1"/>
    </w:lvl>
  </w:abstractNum>
  <w:abstractNum w:abstractNumId="72">
    <w:nsid w:val="CC1016F"/>
    <w:multiLevelType w:val="hybridMultilevel"/>
    <w:lvl w:ilvl="0">
      <w:lvlJc w:val="left"/>
      <w:lvlText w:val="1"/>
      <w:numFmt w:val="bullet"/>
      <w:start w:val="1"/>
    </w:lvl>
  </w:abstractNum>
  <w:abstractNum w:abstractNumId="73">
    <w:nsid w:val="43F18422"/>
    <w:multiLevelType w:val="hybridMultilevel"/>
    <w:lvl w:ilvl="0">
      <w:lvlJc w:val="left"/>
      <w:lvlText w:val="2"/>
      <w:numFmt w:val="bullet"/>
      <w:start w:val="1"/>
    </w:lvl>
  </w:abstractNum>
  <w:abstractNum w:abstractNumId="74">
    <w:nsid w:val="60EF0119"/>
    <w:multiLevelType w:val="hybridMultilevel"/>
    <w:lvl w:ilvl="0">
      <w:lvlJc w:val="left"/>
      <w:lvlText w:val="3"/>
      <w:numFmt w:val="bullet"/>
      <w:start w:val="1"/>
    </w:lvl>
  </w:abstractNum>
  <w:abstractNum w:abstractNumId="75">
    <w:nsid w:val="26F324BA"/>
    <w:multiLevelType w:val="hybridMultilevel"/>
    <w:lvl w:ilvl="0">
      <w:lvlJc w:val="left"/>
      <w:lvlText w:val="4"/>
      <w:numFmt w:val="bullet"/>
      <w:start w:val="1"/>
    </w:lvl>
  </w:abstractNum>
  <w:abstractNum w:abstractNumId="76">
    <w:nsid w:val="7F01579B"/>
    <w:multiLevelType w:val="hybridMultilevel"/>
    <w:lvl w:ilvl="0">
      <w:lvlJc w:val="left"/>
      <w:lvlText w:val="5"/>
      <w:numFmt w:val="bullet"/>
      <w:start w:val="1"/>
    </w:lvl>
  </w:abstractNum>
  <w:abstractNum w:abstractNumId="77">
    <w:nsid w:val="49DA307D"/>
    <w:multiLevelType w:val="hybridMultilevel"/>
    <w:lvl w:ilvl="0">
      <w:lvlJc w:val="left"/>
      <w:lvlText w:val="6"/>
      <w:numFmt w:val="bullet"/>
      <w:start w:val="1"/>
    </w:lvl>
  </w:abstractNum>
  <w:abstractNum w:abstractNumId="78">
    <w:nsid w:val="7055A5F5"/>
    <w:multiLevelType w:val="hybridMultilevel"/>
    <w:lvl w:ilvl="0">
      <w:lvlJc w:val="left"/>
      <w:lvlText w:val="7"/>
      <w:numFmt w:val="bullet"/>
      <w:start w:val="1"/>
    </w:lvl>
  </w:abstractNum>
  <w:abstractNum w:abstractNumId="79">
    <w:nsid w:val="5FB8370B"/>
    <w:multiLevelType w:val="hybridMultilevel"/>
    <w:lvl w:ilvl="0">
      <w:lvlJc w:val="left"/>
      <w:lvlText w:val="8"/>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bullet"/>
      <w:start w:val="1"/>
    </w:lvl>
  </w:abstractNum>
  <w:abstractNum w:abstractNumId="82">
    <w:nsid w:val="5FB8011C"/>
    <w:multiLevelType w:val="hybridMultilevel"/>
    <w:lvl w:ilvl="0">
      <w:lvlJc w:val="left"/>
      <w:lvlText w:val="2"/>
      <w:numFmt w:val="bullet"/>
      <w:start w:val="1"/>
    </w:lvl>
  </w:abstractNum>
  <w:abstractNum w:abstractNumId="83">
    <w:nsid w:val="6AA78F7F"/>
    <w:multiLevelType w:val="hybridMultilevel"/>
    <w:lvl w:ilvl="0">
      <w:lvlJc w:val="left"/>
      <w:lvlText w:val="3"/>
      <w:numFmt w:val="bullet"/>
      <w:start w:val="1"/>
    </w:lvl>
  </w:abstractNum>
  <w:abstractNum w:abstractNumId="84">
    <w:nsid w:val="7672BD23"/>
    <w:multiLevelType w:val="hybridMultilevel"/>
    <w:lvl w:ilvl="0">
      <w:lvlJc w:val="left"/>
      <w:lvlText w:val="4"/>
      <w:numFmt w:val="bullet"/>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5"/>
      <w:numFmt w:val="bullet"/>
      <w:start w:val="1"/>
    </w:lvl>
  </w:abstractNum>
  <w:abstractNum w:abstractNumId="87">
    <w:nsid w:val="7D5E18F8"/>
    <w:multiLevelType w:val="hybridMultilevel"/>
    <w:lvl w:ilvl="0">
      <w:lvlJc w:val="left"/>
      <w:lvlText w:val="6"/>
      <w:numFmt w:val="bullet"/>
      <w:start w:val="1"/>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7"/>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1"/>
      <w:numFmt w:val="bullet"/>
      <w:start w:val="1"/>
    </w:lvl>
  </w:abstractNum>
  <w:abstractNum w:abstractNumId="93">
    <w:nsid w:val="14FCE74E"/>
    <w:multiLevelType w:val="hybridMultilevel"/>
    <w:lvl w:ilvl="0">
      <w:lvlJc w:val="left"/>
      <w:lvlText w:val="2"/>
      <w:numFmt w:val="bullet"/>
      <w:start w:val="1"/>
    </w:lvl>
  </w:abstractNum>
  <w:abstractNum w:abstractNumId="94">
    <w:nsid w:val="6A3DD3E8"/>
    <w:multiLevelType w:val="hybridMultilevel"/>
    <w:lvl w:ilvl="0">
      <w:lvlJc w:val="left"/>
      <w:lvlText w:val="3"/>
      <w:numFmt w:val="bullet"/>
      <w:start w:val="1"/>
    </w:lvl>
  </w:abstractNum>
  <w:abstractNum w:abstractNumId="95">
    <w:nsid w:val="71C91298"/>
    <w:multiLevelType w:val="hybridMultilevel"/>
    <w:lvl w:ilvl="0">
      <w:lvlJc w:val="left"/>
      <w:lvlText w:val="1"/>
      <w:numFmt w:val="bullet"/>
      <w:start w:val="1"/>
    </w:lvl>
  </w:abstractNum>
  <w:abstractNum w:abstractNumId="96">
    <w:nsid w:val="9DAF632"/>
    <w:multiLevelType w:val="hybridMultilevel"/>
    <w:lvl w:ilvl="0">
      <w:lvlJc w:val="left"/>
      <w:lvlText w:val="2"/>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1"/>
      <w:numFmt w:val="bullet"/>
      <w:start w:val="1"/>
    </w:lvl>
  </w:abstractNum>
  <w:abstractNum w:abstractNumId="100">
    <w:nsid w:val="1D545C4D"/>
    <w:multiLevelType w:val="hybridMultilevel"/>
    <w:lvl w:ilvl="0">
      <w:lvlJc w:val="left"/>
      <w:lvlText w:val="2"/>
      <w:numFmt w:val="bullet"/>
      <w:start w:val="1"/>
    </w:lvl>
  </w:abstractNum>
  <w:abstractNum w:abstractNumId="101">
    <w:nsid w:val="59ADEA3D"/>
    <w:multiLevelType w:val="hybridMultilevel"/>
    <w:lvl w:ilvl="0">
      <w:lvlJc w:val="left"/>
      <w:lvlText w:val="3"/>
      <w:numFmt w:val="bullet"/>
      <w:start w:val="1"/>
    </w:lvl>
  </w:abstractNum>
  <w:abstractNum w:abstractNumId="102">
    <w:nsid w:val="288F1A34"/>
    <w:multiLevelType w:val="hybridMultilevel"/>
    <w:lvl w:ilvl="0">
      <w:lvlJc w:val="left"/>
      <w:lvlText w:val="4"/>
      <w:numFmt w:val="bullet"/>
      <w:start w:val="1"/>
    </w:lvl>
  </w:abstractNum>
  <w:abstractNum w:abstractNumId="103">
    <w:nsid w:val="2A155DBC"/>
    <w:multiLevelType w:val="hybridMultilevel"/>
    <w:lvl w:ilvl="0">
      <w:lvlJc w:val="left"/>
      <w:lvlText w:val="5"/>
      <w:numFmt w:val="bullet"/>
      <w:start w:val="1"/>
    </w:lvl>
  </w:abstractNum>
  <w:abstractNum w:abstractNumId="104">
    <w:nsid w:val="1D9F6E5F"/>
    <w:multiLevelType w:val="hybridMultilevel"/>
    <w:lvl w:ilvl="0">
      <w:lvlJc w:val="left"/>
      <w:lvlText w:val="6"/>
      <w:numFmt w:val="bullet"/>
      <w:start w:val="1"/>
    </w:lvl>
  </w:abstractNum>
  <w:abstractNum w:abstractNumId="105">
    <w:nsid w:val="97E1B4E"/>
    <w:multiLevelType w:val="hybridMultilevel"/>
    <w:lvl w:ilvl="0">
      <w:lvlJc w:val="left"/>
      <w:lvlText w:val="7"/>
      <w:numFmt w:val="bullet"/>
      <w:start w:val="1"/>
    </w:lvl>
  </w:abstractNum>
  <w:abstractNum w:abstractNumId="106">
    <w:nsid w:val="51088277"/>
    <w:multiLevelType w:val="hybridMultilevel"/>
    <w:lvl w:ilvl="0">
      <w:lvlJc w:val="left"/>
      <w:lvlText w:val="8"/>
      <w:numFmt w:val="bullet"/>
      <w:start w:val="1"/>
    </w:lvl>
  </w:abstractNum>
  <w:abstractNum w:abstractNumId="107">
    <w:nsid w:val="1CA0C5FA"/>
    <w:multiLevelType w:val="hybridMultilevel"/>
    <w:lvl w:ilvl="0">
      <w:lvlJc w:val="left"/>
      <w:lvlText w:val="9"/>
      <w:numFmt w:val="bullet"/>
      <w:start w:val="1"/>
    </w:lvl>
  </w:abstractNum>
  <w:abstractNum w:abstractNumId="108">
    <w:nsid w:val="53584BCB"/>
    <w:multiLevelType w:val="hybridMultilevel"/>
    <w:lvl w:ilvl="0">
      <w:lvlJc w:val="left"/>
      <w:lvlText w:val="%1"/>
      <w:numFmt w:val="decimal"/>
      <w:start w:val="10"/>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2"/>
    </w:lvl>
  </w:abstractNum>
  <w:abstractNum w:abstractNumId="112">
    <w:nsid w:val="45E6D48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2025-03-27T08:53:20Z</dcterms:created>
  <dcterms:modified xsi:type="dcterms:W3CDTF">2025-03-27T08:53:20Z</dcterms:modified>
</cp:coreProperties>
</file>